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50" w:lineRule="exact"/>
        <w:rPr>
          <w:sz w:val="24"/>
          <w:szCs w:val="24"/>
          <w:color w:val="auto"/>
        </w:rPr>
      </w:pPr>
    </w:p>
    <w:p>
      <w:pPr>
        <w:ind w:left="580" w:right="120" w:hanging="559"/>
        <w:spacing w:after="0" w:line="23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9" w:lineRule="exact"/>
        <w:rPr>
          <w:sz w:val="24"/>
          <w:szCs w:val="24"/>
          <w:color w:val="auto"/>
        </w:rPr>
      </w:pPr>
    </w:p>
    <w:p>
      <w:pPr>
        <w:ind w:left="580" w:right="140" w:hanging="559"/>
        <w:spacing w:after="0" w:line="243"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001-35456</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ALLISON TRANSMISSION HOLDINGS, INC.</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tbl>
      <w:tblPr>
        <w:tblLayout w:type="fixed"/>
        <w:tblInd w:w="1360" w:type="dxa"/>
        <w:tblCellMar>
          <w:top w:w="0" w:type="dxa"/>
          <w:left w:w="0" w:type="dxa"/>
          <w:bottom w:w="0" w:type="dxa"/>
          <w:right w:w="0" w:type="dxa"/>
        </w:tblCellMar>
      </w:tblPr>
      <w:tr>
        <w:trPr>
          <w:trHeight w:val="247"/>
        </w:trPr>
        <w:tc>
          <w:tcPr>
            <w:tcW w:w="6180" w:type="dxa"/>
            <w:vAlign w:val="bottom"/>
          </w:tcPr>
          <w:p>
            <w:pPr>
              <w:jc w:val="center"/>
              <w:ind w:right="3179"/>
              <w:spacing w:after="0"/>
              <w:rPr>
                <w:sz w:val="20"/>
                <w:szCs w:val="20"/>
                <w:color w:val="auto"/>
              </w:rPr>
            </w:pPr>
            <w:r>
              <w:rPr>
                <w:rFonts w:ascii="Arial" w:cs="Arial" w:eastAsia="Arial" w:hAnsi="Arial"/>
                <w:sz w:val="18"/>
                <w:szCs w:val="18"/>
                <w:b w:val="1"/>
                <w:bCs w:val="1"/>
                <w:color w:val="auto"/>
              </w:rPr>
              <w:t>Delaware</w:t>
            </w:r>
          </w:p>
        </w:tc>
        <w:tc>
          <w:tcPr>
            <w:tcW w:w="1600" w:type="dxa"/>
            <w:vAlign w:val="bottom"/>
          </w:tcPr>
          <w:p>
            <w:pPr>
              <w:jc w:val="right"/>
              <w:ind w:right="141"/>
              <w:spacing w:after="0"/>
              <w:rPr>
                <w:sz w:val="20"/>
                <w:szCs w:val="20"/>
                <w:color w:val="auto"/>
              </w:rPr>
            </w:pPr>
            <w:r>
              <w:rPr>
                <w:rFonts w:ascii="Arial" w:cs="Arial" w:eastAsia="Arial" w:hAnsi="Arial"/>
                <w:sz w:val="18"/>
                <w:szCs w:val="18"/>
                <w:b w:val="1"/>
                <w:bCs w:val="1"/>
                <w:color w:val="auto"/>
              </w:rPr>
              <w:t>26-0414014</w:t>
            </w:r>
          </w:p>
        </w:tc>
      </w:tr>
      <w:tr>
        <w:trPr>
          <w:trHeight w:val="221"/>
        </w:trPr>
        <w:tc>
          <w:tcPr>
            <w:tcW w:w="6180" w:type="dxa"/>
            <w:vAlign w:val="bottom"/>
          </w:tcPr>
          <w:p>
            <w:pPr>
              <w:jc w:val="center"/>
              <w:ind w:right="3179"/>
              <w:spacing w:after="0"/>
              <w:rPr>
                <w:sz w:val="20"/>
                <w:szCs w:val="20"/>
                <w:color w:val="auto"/>
              </w:rPr>
            </w:pPr>
            <w:r>
              <w:rPr>
                <w:rFonts w:ascii="Arial" w:cs="Arial" w:eastAsia="Arial" w:hAnsi="Arial"/>
                <w:sz w:val="14"/>
                <w:szCs w:val="14"/>
                <w:color w:val="auto"/>
              </w:rPr>
              <w:t>(State or Other Jurisdiction of Incorporation or</w:t>
            </w:r>
          </w:p>
        </w:tc>
        <w:tc>
          <w:tcPr>
            <w:tcW w:w="1600" w:type="dxa"/>
            <w:vAlign w:val="bottom"/>
          </w:tcPr>
          <w:p>
            <w:pPr>
              <w:jc w:val="center"/>
              <w:ind w:left="101"/>
              <w:spacing w:after="0"/>
              <w:rPr>
                <w:sz w:val="20"/>
                <w:szCs w:val="20"/>
                <w:color w:val="auto"/>
              </w:rPr>
            </w:pPr>
            <w:r>
              <w:rPr>
                <w:rFonts w:ascii="Arial" w:cs="Arial" w:eastAsia="Arial" w:hAnsi="Arial"/>
                <w:sz w:val="14"/>
                <w:szCs w:val="14"/>
                <w:color w:val="auto"/>
              </w:rPr>
              <w:t>(I.R.S. Employer</w:t>
            </w:r>
          </w:p>
        </w:tc>
      </w:tr>
      <w:tr>
        <w:trPr>
          <w:trHeight w:val="204"/>
        </w:trPr>
        <w:tc>
          <w:tcPr>
            <w:tcW w:w="6180" w:type="dxa"/>
            <w:vAlign w:val="bottom"/>
          </w:tcPr>
          <w:p>
            <w:pPr>
              <w:jc w:val="center"/>
              <w:ind w:right="3179"/>
              <w:spacing w:after="0"/>
              <w:rPr>
                <w:sz w:val="20"/>
                <w:szCs w:val="20"/>
                <w:color w:val="auto"/>
              </w:rPr>
            </w:pPr>
            <w:r>
              <w:rPr>
                <w:rFonts w:ascii="Arial" w:cs="Arial" w:eastAsia="Arial" w:hAnsi="Arial"/>
                <w:sz w:val="14"/>
                <w:szCs w:val="14"/>
                <w:color w:val="auto"/>
              </w:rPr>
              <w:t>Organization)</w:t>
            </w:r>
          </w:p>
        </w:tc>
        <w:tc>
          <w:tcPr>
            <w:tcW w:w="1600" w:type="dxa"/>
            <w:vAlign w:val="bottom"/>
          </w:tcPr>
          <w:p>
            <w:pPr>
              <w:jc w:val="center"/>
              <w:ind w:left="121"/>
              <w:spacing w:after="0"/>
              <w:rPr>
                <w:sz w:val="20"/>
                <w:szCs w:val="20"/>
                <w:color w:val="auto"/>
              </w:rPr>
            </w:pPr>
            <w:r>
              <w:rPr>
                <w:rFonts w:ascii="Arial" w:cs="Arial" w:eastAsia="Arial" w:hAnsi="Arial"/>
                <w:sz w:val="14"/>
                <w:szCs w:val="14"/>
                <w:color w:val="auto"/>
              </w:rPr>
              <w:t>Identification Number)</w:t>
            </w:r>
          </w:p>
        </w:tc>
      </w:tr>
      <w:tr>
        <w:trPr>
          <w:trHeight w:val="398"/>
        </w:trPr>
        <w:tc>
          <w:tcPr>
            <w:tcW w:w="6180" w:type="dxa"/>
            <w:vAlign w:val="bottom"/>
          </w:tcPr>
          <w:p>
            <w:pPr>
              <w:jc w:val="center"/>
              <w:ind w:right="3179"/>
              <w:spacing w:after="0"/>
              <w:rPr>
                <w:sz w:val="20"/>
                <w:szCs w:val="20"/>
                <w:color w:val="auto"/>
              </w:rPr>
            </w:pPr>
            <w:r>
              <w:rPr>
                <w:rFonts w:ascii="Arial" w:cs="Arial" w:eastAsia="Arial" w:hAnsi="Arial"/>
                <w:sz w:val="18"/>
                <w:szCs w:val="18"/>
                <w:b w:val="1"/>
                <w:bCs w:val="1"/>
                <w:color w:val="auto"/>
                <w:w w:val="98"/>
              </w:rPr>
              <w:t>One Allison Way</w:t>
            </w:r>
          </w:p>
        </w:tc>
        <w:tc>
          <w:tcPr>
            <w:tcW w:w="1600" w:type="dxa"/>
            <w:vAlign w:val="bottom"/>
          </w:tcPr>
          <w:p>
            <w:pPr>
              <w:spacing w:after="0"/>
              <w:rPr>
                <w:sz w:val="24"/>
                <w:szCs w:val="24"/>
                <w:color w:val="auto"/>
              </w:rPr>
            </w:pPr>
          </w:p>
        </w:tc>
      </w:tr>
      <w:tr>
        <w:trPr>
          <w:trHeight w:val="283"/>
        </w:trPr>
        <w:tc>
          <w:tcPr>
            <w:tcW w:w="6180" w:type="dxa"/>
            <w:vAlign w:val="bottom"/>
          </w:tcPr>
          <w:p>
            <w:pPr>
              <w:jc w:val="center"/>
              <w:ind w:right="3219"/>
              <w:spacing w:after="0"/>
              <w:rPr>
                <w:sz w:val="20"/>
                <w:szCs w:val="20"/>
                <w:color w:val="auto"/>
              </w:rPr>
            </w:pPr>
            <w:r>
              <w:rPr>
                <w:rFonts w:ascii="Arial" w:cs="Arial" w:eastAsia="Arial" w:hAnsi="Arial"/>
                <w:sz w:val="18"/>
                <w:szCs w:val="18"/>
                <w:b w:val="1"/>
                <w:bCs w:val="1"/>
                <w:color w:val="auto"/>
                <w:w w:val="99"/>
              </w:rPr>
              <w:t>Indianapolis, IN</w:t>
            </w:r>
          </w:p>
        </w:tc>
        <w:tc>
          <w:tcPr>
            <w:tcW w:w="1600" w:type="dxa"/>
            <w:vAlign w:val="bottom"/>
          </w:tcPr>
          <w:p>
            <w:pPr>
              <w:jc w:val="right"/>
              <w:ind w:right="381"/>
              <w:spacing w:after="0"/>
              <w:rPr>
                <w:sz w:val="20"/>
                <w:szCs w:val="20"/>
                <w:color w:val="auto"/>
              </w:rPr>
            </w:pPr>
            <w:r>
              <w:rPr>
                <w:rFonts w:ascii="Arial" w:cs="Arial" w:eastAsia="Arial" w:hAnsi="Arial"/>
                <w:sz w:val="18"/>
                <w:szCs w:val="18"/>
                <w:b w:val="1"/>
                <w:bCs w:val="1"/>
                <w:color w:val="auto"/>
              </w:rPr>
              <w:t>46222</w:t>
            </w:r>
          </w:p>
        </w:tc>
      </w:tr>
      <w:tr>
        <w:trPr>
          <w:trHeight w:val="236"/>
        </w:trPr>
        <w:tc>
          <w:tcPr>
            <w:tcW w:w="6180" w:type="dxa"/>
            <w:vAlign w:val="bottom"/>
          </w:tcPr>
          <w:p>
            <w:pPr>
              <w:jc w:val="center"/>
              <w:ind w:right="3179"/>
              <w:spacing w:after="0"/>
              <w:rPr>
                <w:sz w:val="20"/>
                <w:szCs w:val="20"/>
                <w:color w:val="auto"/>
              </w:rPr>
            </w:pPr>
            <w:r>
              <w:rPr>
                <w:rFonts w:ascii="Arial" w:cs="Arial" w:eastAsia="Arial" w:hAnsi="Arial"/>
                <w:sz w:val="14"/>
                <w:szCs w:val="14"/>
                <w:color w:val="auto"/>
              </w:rPr>
              <w:t>(Address of Principal Executive Offices)</w:t>
            </w:r>
          </w:p>
        </w:tc>
        <w:tc>
          <w:tcPr>
            <w:tcW w:w="1600" w:type="dxa"/>
            <w:vAlign w:val="bottom"/>
          </w:tcPr>
          <w:p>
            <w:pPr>
              <w:jc w:val="center"/>
              <w:ind w:left="121"/>
              <w:spacing w:after="0"/>
              <w:rPr>
                <w:sz w:val="20"/>
                <w:szCs w:val="20"/>
                <w:color w:val="auto"/>
              </w:rPr>
            </w:pPr>
            <w:r>
              <w:rPr>
                <w:rFonts w:ascii="Arial" w:cs="Arial" w:eastAsia="Arial" w:hAnsi="Arial"/>
                <w:sz w:val="14"/>
                <w:szCs w:val="14"/>
                <w:color w:val="auto"/>
              </w:rPr>
              <w:t>(Zip Code)</w:t>
            </w:r>
          </w:p>
        </w:tc>
      </w:tr>
      <w:tr>
        <w:trPr>
          <w:trHeight w:val="532"/>
        </w:trPr>
        <w:tc>
          <w:tcPr>
            <w:tcW w:w="6180" w:type="dxa"/>
            <w:vAlign w:val="bottom"/>
          </w:tcPr>
          <w:p>
            <w:pPr>
              <w:jc w:val="right"/>
              <w:ind w:right="1219"/>
              <w:spacing w:after="0"/>
              <w:rPr>
                <w:sz w:val="20"/>
                <w:szCs w:val="20"/>
                <w:color w:val="auto"/>
              </w:rPr>
            </w:pPr>
            <w:r>
              <w:rPr>
                <w:rFonts w:ascii="Arial" w:cs="Arial" w:eastAsia="Arial" w:hAnsi="Arial"/>
                <w:sz w:val="18"/>
                <w:szCs w:val="18"/>
                <w:b w:val="1"/>
                <w:bCs w:val="1"/>
                <w:color w:val="auto"/>
              </w:rPr>
              <w:t>(317) 242-5000</w:t>
            </w:r>
          </w:p>
        </w:tc>
        <w:tc>
          <w:tcPr>
            <w:tcW w:w="1600" w:type="dxa"/>
            <w:vAlign w:val="bottom"/>
          </w:tcPr>
          <w:p>
            <w:pPr>
              <w:spacing w:after="0"/>
              <w:rPr>
                <w:sz w:val="24"/>
                <w:szCs w:val="24"/>
                <w:color w:val="auto"/>
              </w:rPr>
            </w:pPr>
          </w:p>
        </w:tc>
      </w:tr>
      <w:tr>
        <w:trPr>
          <w:trHeight w:val="236"/>
        </w:trPr>
        <w:tc>
          <w:tcPr>
            <w:tcW w:w="6180" w:type="dxa"/>
            <w:vAlign w:val="bottom"/>
          </w:tcPr>
          <w:p>
            <w:pPr>
              <w:jc w:val="center"/>
              <w:ind w:left="2259"/>
              <w:spacing w:after="0"/>
              <w:rPr>
                <w:sz w:val="20"/>
                <w:szCs w:val="20"/>
                <w:color w:val="auto"/>
              </w:rPr>
            </w:pPr>
            <w:r>
              <w:rPr>
                <w:rFonts w:ascii="Arial" w:cs="Arial" w:eastAsia="Arial" w:hAnsi="Arial"/>
                <w:sz w:val="14"/>
                <w:szCs w:val="14"/>
                <w:color w:val="auto"/>
              </w:rPr>
              <w:t>(Registrant’s Telephone Number, Including Area Code)</w:t>
            </w:r>
          </w:p>
        </w:tc>
        <w:tc>
          <w:tcPr>
            <w:tcW w:w="1600" w:type="dxa"/>
            <w:vAlign w:val="bottom"/>
          </w:tcPr>
          <w:p>
            <w:pPr>
              <w:spacing w:after="0"/>
              <w:rPr>
                <w:sz w:val="20"/>
                <w:szCs w:val="20"/>
                <w:color w:val="auto"/>
              </w:rPr>
            </w:pPr>
          </w:p>
        </w:tc>
      </w:tr>
    </w:tbl>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80" w:type="dxa"/>
            <w:vAlign w:val="bottom"/>
            <w:vMerge w:val="restart"/>
          </w:tcPr>
          <w:p>
            <w:pPr>
              <w:jc w:val="center"/>
              <w:spacing w:after="0"/>
              <w:rPr>
                <w:sz w:val="20"/>
                <w:szCs w:val="20"/>
                <w:color w:val="auto"/>
              </w:rPr>
            </w:pPr>
            <w:r>
              <w:rPr>
                <w:rFonts w:ascii="Arial" w:cs="Arial" w:eastAsia="Arial" w:hAnsi="Arial"/>
                <w:sz w:val="14"/>
                <w:szCs w:val="14"/>
                <w:color w:val="auto"/>
              </w:rPr>
              <w:t>Title of Each Class</w:t>
            </w:r>
          </w:p>
        </w:tc>
        <w:tc>
          <w:tcPr>
            <w:tcW w:w="120" w:type="dxa"/>
            <w:vAlign w:val="bottom"/>
          </w:tcPr>
          <w:p>
            <w:pPr>
              <w:spacing w:after="0"/>
              <w:rPr>
                <w:sz w:val="14"/>
                <w:szCs w:val="14"/>
                <w:color w:val="auto"/>
              </w:rPr>
            </w:pPr>
          </w:p>
        </w:tc>
        <w:tc>
          <w:tcPr>
            <w:tcW w:w="3660" w:type="dxa"/>
            <w:vAlign w:val="bottom"/>
            <w:vMerge w:val="restart"/>
          </w:tcPr>
          <w:p>
            <w:pPr>
              <w:jc w:val="center"/>
              <w:spacing w:after="0"/>
              <w:rPr>
                <w:sz w:val="20"/>
                <w:szCs w:val="20"/>
                <w:color w:val="auto"/>
              </w:rPr>
            </w:pPr>
            <w:r>
              <w:rPr>
                <w:rFonts w:ascii="Arial" w:cs="Arial" w:eastAsia="Arial" w:hAnsi="Arial"/>
                <w:sz w:val="14"/>
                <w:szCs w:val="14"/>
                <w:color w:val="auto"/>
              </w:rPr>
              <w:t>Trading Symbol(s)</w:t>
            </w:r>
          </w:p>
        </w:tc>
        <w:tc>
          <w:tcPr>
            <w:tcW w:w="120" w:type="dxa"/>
            <w:vAlign w:val="bottom"/>
          </w:tcPr>
          <w:p>
            <w:pPr>
              <w:spacing w:after="0"/>
              <w:rPr>
                <w:sz w:val="14"/>
                <w:szCs w:val="14"/>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rPr>
              <w:t>Name of Each Exchange</w:t>
            </w:r>
          </w:p>
        </w:tc>
        <w:tc>
          <w:tcPr>
            <w:tcW w:w="0" w:type="dxa"/>
            <w:vAlign w:val="bottom"/>
          </w:tcPr>
          <w:p>
            <w:pPr>
              <w:spacing w:after="0"/>
              <w:rPr>
                <w:sz w:val="1"/>
                <w:szCs w:val="1"/>
                <w:color w:val="auto"/>
              </w:rPr>
            </w:pPr>
          </w:p>
        </w:tc>
      </w:tr>
      <w:tr>
        <w:trPr>
          <w:trHeight w:val="194"/>
        </w:trPr>
        <w:tc>
          <w:tcPr>
            <w:tcW w:w="36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on which Registered</w:t>
            </w:r>
          </w:p>
        </w:tc>
        <w:tc>
          <w:tcPr>
            <w:tcW w:w="0" w:type="dxa"/>
            <w:vAlign w:val="bottom"/>
          </w:tcPr>
          <w:p>
            <w:pPr>
              <w:spacing w:after="0"/>
              <w:rPr>
                <w:sz w:val="1"/>
                <w:szCs w:val="1"/>
                <w:color w:val="auto"/>
              </w:rPr>
            </w:pPr>
          </w:p>
        </w:tc>
      </w:tr>
      <w:tr>
        <w:trPr>
          <w:trHeight w:val="279"/>
        </w:trPr>
        <w:tc>
          <w:tcPr>
            <w:tcW w:w="3680" w:type="dxa"/>
            <w:vAlign w:val="bottom"/>
          </w:tcPr>
          <w:p>
            <w:pPr>
              <w:jc w:val="center"/>
              <w:spacing w:after="0"/>
              <w:rPr>
                <w:sz w:val="20"/>
                <w:szCs w:val="20"/>
                <w:color w:val="auto"/>
              </w:rPr>
            </w:pPr>
            <w:r>
              <w:rPr>
                <w:rFonts w:ascii="Arial" w:cs="Arial" w:eastAsia="Arial" w:hAnsi="Arial"/>
                <w:sz w:val="18"/>
                <w:szCs w:val="18"/>
                <w:b w:val="1"/>
                <w:bCs w:val="1"/>
                <w:color w:val="auto"/>
              </w:rPr>
              <w:t>Common stock, $0.01 par value</w:t>
            </w:r>
          </w:p>
        </w:tc>
        <w:tc>
          <w:tcPr>
            <w:tcW w:w="12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rPr>
              <w:t>ALSN</w:t>
            </w:r>
          </w:p>
        </w:tc>
        <w:tc>
          <w:tcPr>
            <w:tcW w:w="12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9"/>
              </w:rPr>
              <w:t>New York Stock Exchange</w:t>
            </w:r>
          </w:p>
        </w:tc>
        <w:tc>
          <w:tcPr>
            <w:tcW w:w="0" w:type="dxa"/>
            <w:vAlign w:val="bottom"/>
          </w:tcPr>
          <w:p>
            <w:pPr>
              <w:spacing w:after="0"/>
              <w:rPr>
                <w:sz w:val="1"/>
                <w:szCs w:val="1"/>
                <w:color w:val="auto"/>
              </w:rPr>
            </w:pPr>
          </w:p>
        </w:tc>
      </w:tr>
    </w:tbl>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w:t>
      </w:r>
    </w:p>
    <w:p>
      <w:pPr>
        <w:spacing w:after="0" w:line="13" w:lineRule="exact"/>
        <w:rPr>
          <w:sz w:val="24"/>
          <w:szCs w:val="24"/>
          <w:color w:val="auto"/>
        </w:rPr>
      </w:pPr>
    </w:p>
    <w:p>
      <w:pPr>
        <w:jc w:val="both"/>
        <w:spacing w:after="0" w:line="213" w:lineRule="exact"/>
        <w:rPr>
          <w:sz w:val="20"/>
          <w:szCs w:val="20"/>
          <w:color w:val="auto"/>
        </w:rPr>
      </w:pPr>
      <w:r>
        <w:rPr>
          <w:rFonts w:ascii="Arial" w:cs="Arial" w:eastAsia="Arial" w:hAnsi="Arial"/>
          <w:sz w:val="18"/>
          <w:szCs w:val="18"/>
          <w:color w:val="auto"/>
        </w:rPr>
        <w:t xml:space="preserve">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w:t>
      </w:r>
    </w:p>
    <w:p>
      <w:pPr>
        <w:spacing w:after="0" w:line="13" w:lineRule="exact"/>
        <w:rPr>
          <w:sz w:val="24"/>
          <w:szCs w:val="24"/>
          <w:color w:val="auto"/>
        </w:rPr>
      </w:pPr>
    </w:p>
    <w:p>
      <w:pPr>
        <w:ind w:right="680"/>
        <w:spacing w:after="0" w:line="213" w:lineRule="exact"/>
        <w:rPr>
          <w:sz w:val="20"/>
          <w:szCs w:val="20"/>
          <w:color w:val="auto"/>
        </w:rPr>
      </w:pPr>
      <w:r>
        <w:rPr>
          <w:rFonts w:ascii="Arial" w:cs="Arial" w:eastAsia="Arial" w:hAnsi="Arial"/>
          <w:sz w:val="18"/>
          <w:szCs w:val="18"/>
          <w:color w:val="auto"/>
        </w:rPr>
        <w:t xml:space="preserve">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w:t>
      </w:r>
    </w:p>
    <w:p>
      <w:pPr>
        <w:spacing w:after="0" w:line="13" w:lineRule="exact"/>
        <w:rPr>
          <w:sz w:val="24"/>
          <w:szCs w:val="24"/>
          <w:color w:val="auto"/>
        </w:rPr>
      </w:pPr>
    </w:p>
    <w:p>
      <w:pPr>
        <w:ind w:right="500"/>
        <w:spacing w:after="0" w:line="237" w:lineRule="auto"/>
        <w:rPr>
          <w:sz w:val="20"/>
          <w:szCs w:val="20"/>
          <w:color w:val="auto"/>
        </w:rPr>
      </w:pPr>
      <w:r>
        <w:rPr>
          <w:rFonts w:ascii="Arial" w:cs="Arial" w:eastAsia="Arial" w:hAnsi="Arial"/>
          <w:sz w:val="18"/>
          <w:szCs w:val="18"/>
          <w:color w:val="auto"/>
        </w:rPr>
        <w:t>reporting company or an emerging growth company. See the definitions of “large accelerated filer,” “accelerated filer,” “smaller reporting company” and “emerging growth company” in Rule 12b-2 of the Exchange Act.</w:t>
      </w:r>
    </w:p>
    <w:p>
      <w:pPr>
        <w:spacing w:after="0" w:line="192" w:lineRule="exact"/>
        <w:rPr>
          <w:sz w:val="24"/>
          <w:szCs w:val="24"/>
          <w:color w:val="auto"/>
        </w:rPr>
      </w:pPr>
    </w:p>
    <w:tbl>
      <w:tblPr>
        <w:tblLayout w:type="fixed"/>
        <w:tblInd w:w="52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2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16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40" w:type="dxa"/>
            <w:vAlign w:val="bottom"/>
          </w:tcPr>
          <w:p>
            <w:pPr>
              <w:ind w:left="124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 w:lineRule="exact"/>
        <w:rPr>
          <w:sz w:val="24"/>
          <w:szCs w:val="24"/>
          <w:color w:val="auto"/>
        </w:rPr>
      </w:pPr>
    </w:p>
    <w:p>
      <w:pPr>
        <w:ind w:right="580" w:firstLine="499"/>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500" w:right="260"/>
        <w:spacing w:after="0" w:line="24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25, 2022, there were 96,244,657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300" w:type="dxa"/>
            <w:vAlign w:val="bottom"/>
            <w:gridSpan w:val="26"/>
          </w:tcPr>
          <w:p>
            <w:pPr>
              <w:spacing w:after="0"/>
              <w:rPr>
                <w:sz w:val="20"/>
                <w:szCs w:val="20"/>
                <w:color w:val="auto"/>
              </w:rPr>
            </w:pPr>
            <w:r>
              <w:rPr>
                <w:rFonts w:ascii="Arial" w:cs="Arial" w:eastAsia="Arial" w:hAnsi="Arial"/>
                <w:sz w:val="18"/>
                <w:szCs w:val="18"/>
                <w:color w:val="0000FF"/>
              </w:rPr>
              <w:t>Table of Contents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1"/>
        </w:trPr>
        <w:tc>
          <w:tcPr>
            <w:tcW w:w="9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10"/>
          </w:tcPr>
          <w:p>
            <w:pPr>
              <w:jc w:val="center"/>
              <w:ind w:right="4200"/>
              <w:spacing w:after="0"/>
              <w:rPr>
                <w:sz w:val="20"/>
                <w:szCs w:val="20"/>
                <w:color w:val="auto"/>
              </w:rPr>
            </w:pPr>
            <w:r>
              <w:rPr>
                <w:rFonts w:ascii="Arial" w:cs="Arial" w:eastAsia="Arial" w:hAnsi="Arial"/>
                <w:sz w:val="18"/>
                <w:szCs w:val="18"/>
                <w:b w:val="1"/>
                <w:bCs w:val="1"/>
                <w:color w:val="auto"/>
              </w:rPr>
              <w:t>INDEX</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960" w:type="dxa"/>
            <w:vAlign w:val="bottom"/>
            <w:gridSpan w:val="12"/>
            <w:vMerge w:val="restart"/>
          </w:tcPr>
          <w:p>
            <w:pPr>
              <w:jc w:val="center"/>
              <w:spacing w:after="0"/>
              <w:rPr>
                <w:sz w:val="20"/>
                <w:szCs w:val="20"/>
                <w:color w:val="auto"/>
              </w:rPr>
            </w:pPr>
            <w:r>
              <w:rPr>
                <w:rFonts w:ascii="Arial" w:cs="Arial" w:eastAsia="Arial" w:hAnsi="Arial"/>
                <w:sz w:val="18"/>
                <w:szCs w:val="18"/>
                <w:b w:val="1"/>
                <w:bCs w:val="1"/>
                <w:color w:val="0000FF"/>
                <w:w w:val="99"/>
              </w:rPr>
              <w:t>PART I. FINANCIAL INFORMATION</w:t>
            </w:r>
          </w:p>
        </w:tc>
        <w:tc>
          <w:tcPr>
            <w:tcW w:w="3220" w:type="dxa"/>
            <w:vAlign w:val="bottom"/>
            <w:gridSpan w:val="2"/>
            <w:vMerge w:val="restart"/>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Page</w:t>
            </w:r>
          </w:p>
        </w:tc>
        <w:tc>
          <w:tcPr>
            <w:tcW w:w="0" w:type="dxa"/>
            <w:vAlign w:val="bottom"/>
          </w:tcPr>
          <w:p>
            <w:pPr>
              <w:spacing w:after="0"/>
              <w:rPr>
                <w:sz w:val="1"/>
                <w:szCs w:val="1"/>
                <w:color w:val="auto"/>
              </w:rPr>
            </w:pPr>
          </w:p>
        </w:tc>
      </w:tr>
      <w:tr>
        <w:trPr>
          <w:trHeight w:val="174"/>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960" w:type="dxa"/>
            <w:vAlign w:val="bottom"/>
            <w:tcBorders>
              <w:bottom w:val="single" w:sz="8" w:color="0000FF"/>
            </w:tcBorders>
            <w:gridSpan w:val="12"/>
            <w:vMerge w:val="continue"/>
          </w:tcPr>
          <w:p>
            <w:pPr>
              <w:spacing w:after="0"/>
              <w:rPr>
                <w:sz w:val="14"/>
                <w:szCs w:val="14"/>
                <w:color w:val="auto"/>
              </w:rPr>
            </w:pPr>
          </w:p>
        </w:tc>
        <w:tc>
          <w:tcPr>
            <w:tcW w:w="3220" w:type="dxa"/>
            <w:vAlign w:val="bottom"/>
            <w:gridSpan w:val="2"/>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960" w:type="dxa"/>
            <w:vAlign w:val="bottom"/>
          </w:tcPr>
          <w:p>
            <w:pPr>
              <w:ind w:left="20"/>
              <w:spacing w:after="0"/>
              <w:rPr>
                <w:sz w:val="20"/>
                <w:szCs w:val="20"/>
                <w:color w:val="auto"/>
              </w:rPr>
            </w:pPr>
            <w:r>
              <w:rPr>
                <w:rFonts w:ascii="Arial" w:cs="Arial" w:eastAsia="Arial" w:hAnsi="Arial"/>
                <w:sz w:val="18"/>
                <w:szCs w:val="18"/>
                <w:color w:val="auto"/>
              </w:rPr>
              <w:t>Item 1.</w:t>
            </w:r>
          </w:p>
        </w:tc>
        <w:tc>
          <w:tcPr>
            <w:tcW w:w="16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8"/>
              </w:rPr>
              <w:t>Financial Statements</w:t>
            </w:r>
          </w:p>
        </w:tc>
        <w:tc>
          <w:tcPr>
            <w:tcW w:w="20" w:type="dxa"/>
            <w:vAlign w:val="bottom"/>
            <w:tcBorders>
              <w:bottom w:val="single" w:sz="8" w:color="0000EE"/>
            </w:tcBorders>
          </w:tcPr>
          <w:p>
            <w:pPr>
              <w:spacing w:after="0"/>
              <w:rPr>
                <w:sz w:val="24"/>
                <w:szCs w:val="24"/>
                <w:color w:val="auto"/>
              </w:rPr>
            </w:pPr>
          </w:p>
        </w:tc>
        <w:tc>
          <w:tcPr>
            <w:tcW w:w="7640" w:type="dxa"/>
            <w:vAlign w:val="bottom"/>
            <w:gridSpan w:val="16"/>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3 – 7</w:t>
            </w:r>
          </w:p>
        </w:tc>
        <w:tc>
          <w:tcPr>
            <w:tcW w:w="0" w:type="dxa"/>
            <w:vAlign w:val="bottom"/>
          </w:tcPr>
          <w:p>
            <w:pPr>
              <w:spacing w:after="0"/>
              <w:rPr>
                <w:sz w:val="1"/>
                <w:szCs w:val="1"/>
                <w:color w:val="auto"/>
              </w:rPr>
            </w:pPr>
          </w:p>
        </w:tc>
      </w:tr>
      <w:tr>
        <w:trPr>
          <w:trHeight w:val="411"/>
        </w:trPr>
        <w:tc>
          <w:tcPr>
            <w:tcW w:w="960" w:type="dxa"/>
            <w:vAlign w:val="bottom"/>
          </w:tcPr>
          <w:p>
            <w:pPr>
              <w:spacing w:after="0"/>
              <w:rPr>
                <w:sz w:val="24"/>
                <w:szCs w:val="24"/>
                <w:color w:val="auto"/>
              </w:rPr>
            </w:pPr>
          </w:p>
        </w:tc>
        <w:tc>
          <w:tcPr>
            <w:tcW w:w="33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Condensed Consolidated Balance Sheets</w:t>
            </w:r>
          </w:p>
        </w:tc>
        <w:tc>
          <w:tcPr>
            <w:tcW w:w="20" w:type="dxa"/>
            <w:vAlign w:val="bottom"/>
            <w:tcBorders>
              <w:bottom w:val="single" w:sz="8" w:color="0000EE"/>
            </w:tcBorders>
          </w:tcPr>
          <w:p>
            <w:pPr>
              <w:spacing w:after="0"/>
              <w:rPr>
                <w:sz w:val="24"/>
                <w:szCs w:val="24"/>
                <w:color w:val="auto"/>
              </w:rPr>
            </w:pPr>
          </w:p>
        </w:tc>
        <w:tc>
          <w:tcPr>
            <w:tcW w:w="6000" w:type="dxa"/>
            <w:vAlign w:val="bottom"/>
            <w:gridSpan w:val="12"/>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411"/>
        </w:trPr>
        <w:tc>
          <w:tcPr>
            <w:tcW w:w="960" w:type="dxa"/>
            <w:vAlign w:val="bottom"/>
          </w:tcPr>
          <w:p>
            <w:pPr>
              <w:spacing w:after="0"/>
              <w:rPr>
                <w:sz w:val="24"/>
                <w:szCs w:val="24"/>
                <w:color w:val="auto"/>
              </w:rPr>
            </w:pPr>
          </w:p>
        </w:tc>
        <w:tc>
          <w:tcPr>
            <w:tcW w:w="512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9"/>
              </w:rPr>
              <w:t>Condensed Consolidated Statements of Comprehensive Income</w:t>
            </w:r>
          </w:p>
        </w:tc>
        <w:tc>
          <w:tcPr>
            <w:tcW w:w="4220" w:type="dxa"/>
            <w:vAlign w:val="bottom"/>
            <w:gridSpan w:val="4"/>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411"/>
        </w:trPr>
        <w:tc>
          <w:tcPr>
            <w:tcW w:w="960" w:type="dxa"/>
            <w:vAlign w:val="bottom"/>
          </w:tcPr>
          <w:p>
            <w:pPr>
              <w:spacing w:after="0"/>
              <w:rPr>
                <w:sz w:val="24"/>
                <w:szCs w:val="24"/>
                <w:color w:val="auto"/>
              </w:rPr>
            </w:pPr>
          </w:p>
        </w:tc>
        <w:tc>
          <w:tcPr>
            <w:tcW w:w="41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20" w:type="dxa"/>
            <w:vAlign w:val="bottom"/>
            <w:tcBorders>
              <w:bottom w:val="single" w:sz="8" w:color="0000EE"/>
            </w:tcBorders>
          </w:tcPr>
          <w:p>
            <w:pPr>
              <w:spacing w:after="0"/>
              <w:rPr>
                <w:sz w:val="24"/>
                <w:szCs w:val="24"/>
                <w:color w:val="auto"/>
              </w:rPr>
            </w:pPr>
          </w:p>
        </w:tc>
        <w:tc>
          <w:tcPr>
            <w:tcW w:w="5160" w:type="dxa"/>
            <w:vAlign w:val="bottom"/>
            <w:gridSpan w:val="10"/>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411"/>
        </w:trPr>
        <w:tc>
          <w:tcPr>
            <w:tcW w:w="960" w:type="dxa"/>
            <w:vAlign w:val="bottom"/>
          </w:tcPr>
          <w:p>
            <w:pPr>
              <w:spacing w:after="0"/>
              <w:rPr>
                <w:sz w:val="24"/>
                <w:szCs w:val="24"/>
                <w:color w:val="auto"/>
              </w:rPr>
            </w:pPr>
          </w:p>
        </w:tc>
        <w:tc>
          <w:tcPr>
            <w:tcW w:w="486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Condensed Consolidated Statements of Stockholders’ Equity</w:t>
            </w:r>
          </w:p>
        </w:tc>
        <w:tc>
          <w:tcPr>
            <w:tcW w:w="4480" w:type="dxa"/>
            <w:vAlign w:val="bottom"/>
            <w:gridSpan w:val="5"/>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6 – 7</w:t>
            </w:r>
          </w:p>
        </w:tc>
        <w:tc>
          <w:tcPr>
            <w:tcW w:w="0" w:type="dxa"/>
            <w:vAlign w:val="bottom"/>
          </w:tcPr>
          <w:p>
            <w:pPr>
              <w:spacing w:after="0"/>
              <w:rPr>
                <w:sz w:val="1"/>
                <w:szCs w:val="1"/>
                <w:color w:val="auto"/>
              </w:rPr>
            </w:pPr>
          </w:p>
        </w:tc>
      </w:tr>
      <w:tr>
        <w:trPr>
          <w:trHeight w:val="411"/>
        </w:trPr>
        <w:tc>
          <w:tcPr>
            <w:tcW w:w="960" w:type="dxa"/>
            <w:vAlign w:val="bottom"/>
          </w:tcPr>
          <w:p>
            <w:pPr>
              <w:spacing w:after="0"/>
              <w:rPr>
                <w:sz w:val="24"/>
                <w:szCs w:val="24"/>
                <w:color w:val="auto"/>
              </w:rPr>
            </w:pPr>
          </w:p>
        </w:tc>
        <w:tc>
          <w:tcPr>
            <w:tcW w:w="446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20" w:type="dxa"/>
            <w:vAlign w:val="bottom"/>
            <w:tcBorders>
              <w:bottom w:val="single" w:sz="8" w:color="0000EE"/>
            </w:tcBorders>
          </w:tcPr>
          <w:p>
            <w:pPr>
              <w:spacing w:after="0"/>
              <w:rPr>
                <w:sz w:val="24"/>
                <w:szCs w:val="24"/>
                <w:color w:val="auto"/>
              </w:rPr>
            </w:pPr>
          </w:p>
        </w:tc>
        <w:tc>
          <w:tcPr>
            <w:tcW w:w="4860" w:type="dxa"/>
            <w:vAlign w:val="bottom"/>
            <w:gridSpan w:val="8"/>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8 – 22</w:t>
            </w:r>
          </w:p>
        </w:tc>
        <w:tc>
          <w:tcPr>
            <w:tcW w:w="0" w:type="dxa"/>
            <w:vAlign w:val="bottom"/>
          </w:tcPr>
          <w:p>
            <w:pPr>
              <w:spacing w:after="0"/>
              <w:rPr>
                <w:sz w:val="1"/>
                <w:szCs w:val="1"/>
                <w:color w:val="auto"/>
              </w:rPr>
            </w:pPr>
          </w:p>
        </w:tc>
      </w:tr>
      <w:tr>
        <w:trPr>
          <w:trHeight w:val="425"/>
        </w:trPr>
        <w:tc>
          <w:tcPr>
            <w:tcW w:w="960" w:type="dxa"/>
            <w:vAlign w:val="bottom"/>
          </w:tcPr>
          <w:p>
            <w:pPr>
              <w:ind w:left="20"/>
              <w:spacing w:after="0"/>
              <w:rPr>
                <w:sz w:val="20"/>
                <w:szCs w:val="20"/>
                <w:color w:val="auto"/>
              </w:rPr>
            </w:pPr>
            <w:r>
              <w:rPr>
                <w:rFonts w:ascii="Arial" w:cs="Arial" w:eastAsia="Arial" w:hAnsi="Arial"/>
                <w:sz w:val="18"/>
                <w:szCs w:val="18"/>
                <w:color w:val="auto"/>
              </w:rPr>
              <w:t>Item 2.</w:t>
            </w:r>
          </w:p>
        </w:tc>
        <w:tc>
          <w:tcPr>
            <w:tcW w:w="9340" w:type="dxa"/>
            <w:vAlign w:val="bottom"/>
            <w:gridSpan w:val="25"/>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23 – 35</w:t>
            </w:r>
          </w:p>
        </w:tc>
        <w:tc>
          <w:tcPr>
            <w:tcW w:w="0" w:type="dxa"/>
            <w:vAlign w:val="bottom"/>
          </w:tcPr>
          <w:p>
            <w:pPr>
              <w:spacing w:after="0"/>
              <w:rPr>
                <w:sz w:val="1"/>
                <w:szCs w:val="1"/>
                <w:color w:val="auto"/>
              </w:rPr>
            </w:pPr>
          </w:p>
        </w:tc>
      </w:tr>
      <w:tr>
        <w:trPr>
          <w:trHeight w:val="411"/>
        </w:trPr>
        <w:tc>
          <w:tcPr>
            <w:tcW w:w="960" w:type="dxa"/>
            <w:vAlign w:val="bottom"/>
          </w:tcPr>
          <w:p>
            <w:pPr>
              <w:ind w:left="20"/>
              <w:spacing w:after="0"/>
              <w:rPr>
                <w:sz w:val="20"/>
                <w:szCs w:val="20"/>
                <w:color w:val="auto"/>
              </w:rPr>
            </w:pPr>
            <w:r>
              <w:rPr>
                <w:rFonts w:ascii="Arial" w:cs="Arial" w:eastAsia="Arial" w:hAnsi="Arial"/>
                <w:sz w:val="18"/>
                <w:szCs w:val="18"/>
                <w:color w:val="auto"/>
              </w:rPr>
              <w:t>Item 3.</w:t>
            </w:r>
          </w:p>
        </w:tc>
        <w:tc>
          <w:tcPr>
            <w:tcW w:w="4700" w:type="dxa"/>
            <w:vAlign w:val="bottom"/>
            <w:tcBorders>
              <w:top w:val="single" w:sz="8" w:color="0000FF"/>
              <w:bottom w:val="single" w:sz="8" w:color="0000FF"/>
            </w:tcBorders>
            <w:gridSpan w:val="18"/>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6"/>
          </w:tcPr>
          <w:p>
            <w:pPr>
              <w:spacing w:after="0"/>
              <w:rPr>
                <w:sz w:val="24"/>
                <w:szCs w:val="24"/>
                <w:color w:val="auto"/>
              </w:rPr>
            </w:pPr>
          </w:p>
        </w:tc>
        <w:tc>
          <w:tcPr>
            <w:tcW w:w="22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36 – 37</w:t>
            </w:r>
          </w:p>
        </w:tc>
        <w:tc>
          <w:tcPr>
            <w:tcW w:w="0" w:type="dxa"/>
            <w:vAlign w:val="bottom"/>
          </w:tcPr>
          <w:p>
            <w:pPr>
              <w:spacing w:after="0"/>
              <w:rPr>
                <w:sz w:val="1"/>
                <w:szCs w:val="1"/>
                <w:color w:val="auto"/>
              </w:rPr>
            </w:pPr>
          </w:p>
        </w:tc>
      </w:tr>
      <w:tr>
        <w:trPr>
          <w:trHeight w:val="411"/>
        </w:trPr>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Item 4.</w:t>
            </w:r>
          </w:p>
        </w:tc>
        <w:tc>
          <w:tcPr>
            <w:tcW w:w="19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8"/>
              </w:rPr>
              <w:t>Controls and Procedures</w:t>
            </w:r>
          </w:p>
        </w:tc>
        <w:tc>
          <w:tcPr>
            <w:tcW w:w="1340" w:type="dxa"/>
            <w:vAlign w:val="bottom"/>
            <w:gridSpan w:val="2"/>
            <w:vMerge w:val="restart"/>
          </w:tcPr>
          <w:p>
            <w:pPr>
              <w:spacing w:after="0"/>
              <w:rPr>
                <w:sz w:val="24"/>
                <w:szCs w:val="24"/>
                <w:color w:val="auto"/>
              </w:rPr>
            </w:pPr>
          </w:p>
        </w:tc>
        <w:tc>
          <w:tcPr>
            <w:tcW w:w="1520" w:type="dxa"/>
            <w:vAlign w:val="bottom"/>
            <w:gridSpan w:val="7"/>
          </w:tcPr>
          <w:p>
            <w:pPr>
              <w:spacing w:after="0"/>
              <w:rPr>
                <w:sz w:val="24"/>
                <w:szCs w:val="24"/>
                <w:color w:val="auto"/>
              </w:rPr>
            </w:pPr>
          </w:p>
        </w:tc>
        <w:tc>
          <w:tcPr>
            <w:tcW w:w="1140" w:type="dxa"/>
            <w:vAlign w:val="bottom"/>
            <w:gridSpan w:val="3"/>
          </w:tcPr>
          <w:p>
            <w:pPr>
              <w:spacing w:after="0"/>
              <w:rPr>
                <w:sz w:val="24"/>
                <w:szCs w:val="24"/>
                <w:color w:val="auto"/>
              </w:rPr>
            </w:pPr>
          </w:p>
        </w:tc>
        <w:tc>
          <w:tcPr>
            <w:tcW w:w="3360" w:type="dxa"/>
            <w:vAlign w:val="bottom"/>
            <w:gridSpan w:val="3"/>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38</w:t>
            </w:r>
          </w:p>
        </w:tc>
        <w:tc>
          <w:tcPr>
            <w:tcW w:w="0" w:type="dxa"/>
            <w:vAlign w:val="bottom"/>
          </w:tcPr>
          <w:p>
            <w:pPr>
              <w:spacing w:after="0"/>
              <w:rPr>
                <w:sz w:val="1"/>
                <w:szCs w:val="1"/>
                <w:color w:val="auto"/>
              </w:rPr>
            </w:pPr>
          </w:p>
        </w:tc>
      </w:tr>
      <w:tr>
        <w:trPr>
          <w:trHeight w:val="65"/>
        </w:trPr>
        <w:tc>
          <w:tcPr>
            <w:tcW w:w="960" w:type="dxa"/>
            <w:vAlign w:val="bottom"/>
            <w:vMerge w:val="continue"/>
          </w:tcPr>
          <w:p>
            <w:pPr>
              <w:spacing w:after="0"/>
              <w:rPr>
                <w:sz w:val="5"/>
                <w:szCs w:val="5"/>
                <w:color w:val="auto"/>
              </w:rPr>
            </w:pPr>
          </w:p>
        </w:tc>
        <w:tc>
          <w:tcPr>
            <w:tcW w:w="64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gridSpan w:val="3"/>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2660" w:type="dxa"/>
            <w:vAlign w:val="bottom"/>
            <w:gridSpan w:val="10"/>
            <w:vMerge w:val="restart"/>
          </w:tcPr>
          <w:p>
            <w:pPr>
              <w:jc w:val="center"/>
              <w:spacing w:after="0"/>
              <w:rPr>
                <w:sz w:val="20"/>
                <w:szCs w:val="20"/>
                <w:color w:val="auto"/>
              </w:rPr>
            </w:pPr>
            <w:r>
              <w:rPr>
                <w:rFonts w:ascii="Arial" w:cs="Arial" w:eastAsia="Arial" w:hAnsi="Arial"/>
                <w:sz w:val="18"/>
                <w:szCs w:val="18"/>
                <w:b w:val="1"/>
                <w:bCs w:val="1"/>
                <w:color w:val="0000FF"/>
                <w:w w:val="98"/>
              </w:rPr>
              <w:t>PART II. OTHER INFORMATION</w:t>
            </w:r>
          </w:p>
        </w:tc>
        <w:tc>
          <w:tcPr>
            <w:tcW w:w="3360" w:type="dxa"/>
            <w:vAlign w:val="bottom"/>
            <w:gridSpan w:val="3"/>
            <w:vMerge w:val="restart"/>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tcBorders>
              <w:bottom w:val="single" w:sz="8" w:color="0000FF"/>
            </w:tcBorders>
            <w:gridSpan w:val="10"/>
            <w:vMerge w:val="continue"/>
          </w:tcPr>
          <w:p>
            <w:pPr>
              <w:spacing w:after="0"/>
              <w:rPr>
                <w:sz w:val="24"/>
                <w:szCs w:val="24"/>
                <w:color w:val="auto"/>
              </w:rPr>
            </w:pPr>
          </w:p>
        </w:tc>
        <w:tc>
          <w:tcPr>
            <w:tcW w:w="3360" w:type="dxa"/>
            <w:vAlign w:val="bottom"/>
            <w:gridSpan w:val="3"/>
            <w:vMerge w:val="continue"/>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960" w:type="dxa"/>
            <w:vAlign w:val="bottom"/>
          </w:tcPr>
          <w:p>
            <w:pPr>
              <w:ind w:left="20"/>
              <w:spacing w:after="0"/>
              <w:rPr>
                <w:sz w:val="20"/>
                <w:szCs w:val="20"/>
                <w:color w:val="auto"/>
              </w:rPr>
            </w:pPr>
            <w:r>
              <w:rPr>
                <w:rFonts w:ascii="Arial" w:cs="Arial" w:eastAsia="Arial" w:hAnsi="Arial"/>
                <w:sz w:val="18"/>
                <w:szCs w:val="18"/>
                <w:color w:val="auto"/>
              </w:rPr>
              <w:t>Item 1.</w:t>
            </w:r>
          </w:p>
        </w:tc>
        <w:tc>
          <w:tcPr>
            <w:tcW w:w="9340" w:type="dxa"/>
            <w:vAlign w:val="bottom"/>
            <w:gridSpan w:val="25"/>
          </w:tcPr>
          <w:p>
            <w:pPr>
              <w:spacing w:after="0"/>
              <w:rPr>
                <w:sz w:val="20"/>
                <w:szCs w:val="20"/>
                <w:color w:val="auto"/>
              </w:rPr>
            </w:pPr>
            <w:r>
              <w:rPr>
                <w:rFonts w:ascii="Arial" w:cs="Arial" w:eastAsia="Arial" w:hAnsi="Arial"/>
                <w:sz w:val="18"/>
                <w:szCs w:val="18"/>
                <w:color w:val="0000FF"/>
              </w:rPr>
              <w:t>Legal Proceedings</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39</w:t>
            </w:r>
          </w:p>
        </w:tc>
        <w:tc>
          <w:tcPr>
            <w:tcW w:w="0" w:type="dxa"/>
            <w:vAlign w:val="bottom"/>
          </w:tcPr>
          <w:p>
            <w:pPr>
              <w:spacing w:after="0"/>
              <w:rPr>
                <w:sz w:val="1"/>
                <w:szCs w:val="1"/>
                <w:color w:val="auto"/>
              </w:rPr>
            </w:pPr>
          </w:p>
        </w:tc>
      </w:tr>
      <w:tr>
        <w:trPr>
          <w:trHeight w:val="411"/>
        </w:trPr>
        <w:tc>
          <w:tcPr>
            <w:tcW w:w="960" w:type="dxa"/>
            <w:vAlign w:val="bottom"/>
          </w:tcPr>
          <w:p>
            <w:pPr>
              <w:ind w:left="20"/>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7"/>
              </w:rPr>
              <w:t>Risk Factors</w:t>
            </w:r>
          </w:p>
        </w:tc>
        <w:tc>
          <w:tcPr>
            <w:tcW w:w="20" w:type="dxa"/>
            <w:vAlign w:val="bottom"/>
            <w:tcBorders>
              <w:top w:val="single" w:sz="8" w:color="0000FF"/>
              <w:bottom w:val="single" w:sz="8" w:color="0000EE"/>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860" w:type="dxa"/>
            <w:vAlign w:val="bottom"/>
            <w:gridSpan w:val="18"/>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39</w:t>
            </w:r>
          </w:p>
        </w:tc>
        <w:tc>
          <w:tcPr>
            <w:tcW w:w="0" w:type="dxa"/>
            <w:vAlign w:val="bottom"/>
          </w:tcPr>
          <w:p>
            <w:pPr>
              <w:spacing w:after="0"/>
              <w:rPr>
                <w:sz w:val="1"/>
                <w:szCs w:val="1"/>
                <w:color w:val="auto"/>
              </w:rPr>
            </w:pPr>
          </w:p>
        </w:tc>
      </w:tr>
      <w:tr>
        <w:trPr>
          <w:trHeight w:val="411"/>
        </w:trPr>
        <w:tc>
          <w:tcPr>
            <w:tcW w:w="960" w:type="dxa"/>
            <w:vAlign w:val="bottom"/>
          </w:tcPr>
          <w:p>
            <w:pPr>
              <w:ind w:left="20"/>
              <w:spacing w:after="0"/>
              <w:rPr>
                <w:sz w:val="20"/>
                <w:szCs w:val="20"/>
                <w:color w:val="auto"/>
              </w:rPr>
            </w:pPr>
            <w:r>
              <w:rPr>
                <w:rFonts w:ascii="Arial" w:cs="Arial" w:eastAsia="Arial" w:hAnsi="Arial"/>
                <w:sz w:val="18"/>
                <w:szCs w:val="18"/>
                <w:color w:val="auto"/>
              </w:rPr>
              <w:t>Item 2.</w:t>
            </w:r>
          </w:p>
        </w:tc>
        <w:tc>
          <w:tcPr>
            <w:tcW w:w="484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500" w:type="dxa"/>
            <w:vAlign w:val="bottom"/>
            <w:gridSpan w:val="6"/>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411"/>
        </w:trPr>
        <w:tc>
          <w:tcPr>
            <w:tcW w:w="960" w:type="dxa"/>
            <w:vAlign w:val="bottom"/>
          </w:tcPr>
          <w:p>
            <w:pPr>
              <w:ind w:left="20"/>
              <w:spacing w:after="0"/>
              <w:rPr>
                <w:sz w:val="20"/>
                <w:szCs w:val="20"/>
                <w:color w:val="auto"/>
              </w:rPr>
            </w:pPr>
            <w:r>
              <w:rPr>
                <w:rFonts w:ascii="Arial" w:cs="Arial" w:eastAsia="Arial" w:hAnsi="Arial"/>
                <w:sz w:val="18"/>
                <w:szCs w:val="18"/>
                <w:color w:val="auto"/>
              </w:rPr>
              <w:t>Item 6.</w:t>
            </w:r>
          </w:p>
        </w:tc>
        <w:tc>
          <w:tcPr>
            <w:tcW w:w="9340" w:type="dxa"/>
            <w:vAlign w:val="bottom"/>
            <w:gridSpan w:val="25"/>
          </w:tcPr>
          <w:p>
            <w:pPr>
              <w:spacing w:after="0"/>
              <w:rPr>
                <w:sz w:val="20"/>
                <w:szCs w:val="20"/>
                <w:color w:val="auto"/>
              </w:rPr>
            </w:pPr>
            <w:r>
              <w:rPr>
                <w:rFonts w:ascii="Arial" w:cs="Arial" w:eastAsia="Arial" w:hAnsi="Arial"/>
                <w:sz w:val="18"/>
                <w:szCs w:val="18"/>
                <w:color w:val="0000FF"/>
              </w:rPr>
              <w:t>Exhibits</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60" w:type="dxa"/>
            <w:vAlign w:val="bottom"/>
            <w:gridSpan w:val="21"/>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960" w:type="dxa"/>
            <w:vAlign w:val="bottom"/>
          </w:tcPr>
          <w:p>
            <w:pPr>
              <w:spacing w:after="0"/>
              <w:rPr>
                <w:sz w:val="24"/>
                <w:szCs w:val="24"/>
                <w:color w:val="auto"/>
              </w:rPr>
            </w:pPr>
          </w:p>
        </w:tc>
        <w:tc>
          <w:tcPr>
            <w:tcW w:w="8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7"/>
              </w:rPr>
              <w:t>Signatures</w:t>
            </w:r>
          </w:p>
        </w:tc>
        <w:tc>
          <w:tcPr>
            <w:tcW w:w="20" w:type="dxa"/>
            <w:vAlign w:val="bottom"/>
            <w:tcBorders>
              <w:bottom w:val="single" w:sz="8" w:color="0000EE"/>
            </w:tcBorders>
          </w:tcPr>
          <w:p>
            <w:pPr>
              <w:spacing w:after="0"/>
              <w:rPr>
                <w:sz w:val="24"/>
                <w:szCs w:val="24"/>
                <w:color w:val="auto"/>
              </w:rPr>
            </w:pPr>
          </w:p>
        </w:tc>
        <w:tc>
          <w:tcPr>
            <w:tcW w:w="8460" w:type="dxa"/>
            <w:vAlign w:val="bottom"/>
            <w:gridSpan w:val="21"/>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share and per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ind w:right="3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600" w:type="dxa"/>
            <w:vAlign w:val="bottom"/>
          </w:tcPr>
          <w:p>
            <w:pPr>
              <w:spacing w:after="0"/>
              <w:rPr>
                <w:sz w:val="16"/>
                <w:szCs w:val="16"/>
                <w:color w:val="auto"/>
              </w:rPr>
            </w:pP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1100" w:type="dxa"/>
            <w:vAlign w:val="bottom"/>
            <w:shd w:val="clear" w:color="auto" w:fill="CFF0FC"/>
          </w:tcPr>
          <w:p>
            <w:pPr>
              <w:jc w:val="right"/>
              <w:ind w:right="896"/>
              <w:spacing w:after="0"/>
              <w:rPr>
                <w:sz w:val="20"/>
                <w:szCs w:val="20"/>
                <w:color w:val="auto"/>
              </w:rPr>
            </w:pPr>
            <w:r>
              <w:rPr>
                <w:rFonts w:ascii="Arial" w:cs="Arial" w:eastAsia="Arial" w:hAnsi="Arial"/>
                <w:sz w:val="18"/>
                <w:szCs w:val="18"/>
                <w:b w:val="1"/>
                <w:bCs w:val="1"/>
                <w:color w:val="auto"/>
                <w:w w:val="99"/>
              </w:rPr>
              <w:t>$</w:t>
            </w: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122</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7600" w:type="dxa"/>
            <w:vAlign w:val="bottom"/>
          </w:tcPr>
          <w:p>
            <w:pPr>
              <w:ind w:left="280"/>
              <w:spacing w:after="0"/>
              <w:rPr>
                <w:sz w:val="20"/>
                <w:szCs w:val="20"/>
                <w:color w:val="auto"/>
              </w:rPr>
            </w:pPr>
            <w:r>
              <w:rPr>
                <w:rFonts w:ascii="Arial" w:cs="Arial" w:eastAsia="Arial" w:hAnsi="Arial"/>
                <w:sz w:val="18"/>
                <w:szCs w:val="18"/>
                <w:color w:val="auto"/>
              </w:rPr>
              <w:t>Accounts receivable – net of allowances for doubtful accounts of $5 and $3, respectively</w:t>
            </w:r>
          </w:p>
        </w:tc>
        <w:tc>
          <w:tcPr>
            <w:tcW w:w="11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b w:val="1"/>
                <w:bCs w:val="1"/>
                <w:color w:val="auto"/>
              </w:rPr>
              <w:t>363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Inventories</w:t>
            </w:r>
          </w:p>
        </w:tc>
        <w:tc>
          <w:tcPr>
            <w:tcW w:w="110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228</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760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52</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10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765</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1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b w:val="1"/>
                <w:bCs w:val="1"/>
                <w:color w:val="auto"/>
              </w:rPr>
              <w:t>705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110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901</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1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b w:val="1"/>
                <w:bCs w:val="1"/>
                <w:color w:val="auto"/>
              </w:rPr>
              <w:t>2,076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110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33</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54</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9"/>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1100" w:type="dxa"/>
            <w:vAlign w:val="bottom"/>
            <w:tcBorders>
              <w:bottom w:val="single" w:sz="8" w:color="auto"/>
            </w:tcBorders>
            <w:shd w:val="clear" w:color="auto" w:fill="CFF0FC"/>
          </w:tcPr>
          <w:p>
            <w:pPr>
              <w:jc w:val="right"/>
              <w:ind w:right="896"/>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4,534</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4,457</w:t>
            </w:r>
          </w:p>
        </w:tc>
        <w:tc>
          <w:tcPr>
            <w:tcW w:w="0" w:type="dxa"/>
            <w:vAlign w:val="bottom"/>
          </w:tcPr>
          <w:p>
            <w:pPr>
              <w:spacing w:after="0"/>
              <w:rPr>
                <w:sz w:val="1"/>
                <w:szCs w:val="1"/>
                <w:color w:val="auto"/>
              </w:rPr>
            </w:pPr>
          </w:p>
        </w:tc>
      </w:tr>
      <w:tr>
        <w:trPr>
          <w:trHeight w:val="196"/>
        </w:trPr>
        <w:tc>
          <w:tcPr>
            <w:tcW w:w="76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100" w:type="dxa"/>
            <w:vAlign w:val="bottom"/>
          </w:tcPr>
          <w:p>
            <w:pPr>
              <w:jc w:val="right"/>
              <w:ind w:right="896"/>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ind w:right="50"/>
              <w:spacing w:after="0"/>
              <w:rPr>
                <w:sz w:val="20"/>
                <w:szCs w:val="20"/>
                <w:color w:val="auto"/>
              </w:rPr>
            </w:pPr>
            <w:r>
              <w:rPr>
                <w:rFonts w:ascii="Arial" w:cs="Arial" w:eastAsia="Arial" w:hAnsi="Arial"/>
                <w:sz w:val="18"/>
                <w:szCs w:val="18"/>
                <w:b w:val="1"/>
                <w:bCs w:val="1"/>
                <w:color w:val="auto"/>
              </w:rPr>
              <w:t>198</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Product warranty liability</w:t>
            </w:r>
          </w:p>
        </w:tc>
        <w:tc>
          <w:tcPr>
            <w:tcW w:w="110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28</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760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11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b w:val="1"/>
                <w:bCs w:val="1"/>
                <w:color w:val="auto"/>
              </w:rPr>
              <w:t>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revenue</w:t>
            </w:r>
          </w:p>
        </w:tc>
        <w:tc>
          <w:tcPr>
            <w:tcW w:w="110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39</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760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160</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110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431</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Product warranty liability</w:t>
            </w:r>
          </w:p>
        </w:tc>
        <w:tc>
          <w:tcPr>
            <w:tcW w:w="11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b w:val="1"/>
                <w:bCs w:val="1"/>
                <w:color w:val="auto"/>
              </w:rPr>
              <w:t>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110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96</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1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b w:val="1"/>
                <w:bCs w:val="1"/>
                <w:color w:val="auto"/>
              </w:rPr>
              <w:t>2,502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income taxes</w:t>
            </w:r>
          </w:p>
        </w:tc>
        <w:tc>
          <w:tcPr>
            <w:tcW w:w="110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530</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110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3,785</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Commitments and contingencies (see Note P)</w:t>
            </w: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600" w:type="dxa"/>
            <w:vAlign w:val="bottom"/>
          </w:tcPr>
          <w:p>
            <w:pPr>
              <w:ind w:left="280"/>
              <w:spacing w:after="0" w:line="170" w:lineRule="exact"/>
              <w:rPr>
                <w:sz w:val="20"/>
                <w:szCs w:val="20"/>
                <w:color w:val="auto"/>
              </w:rPr>
            </w:pPr>
            <w:r>
              <w:rPr>
                <w:rFonts w:ascii="Arial" w:cs="Arial" w:eastAsia="Arial" w:hAnsi="Arial"/>
                <w:sz w:val="18"/>
                <w:szCs w:val="18"/>
                <w:color w:val="auto"/>
              </w:rPr>
              <w:t>Common stock, $0.01 par value, 1,880,000,000 shares authorized, 96,325,571 shares</w:t>
            </w:r>
          </w:p>
        </w:tc>
        <w:tc>
          <w:tcPr>
            <w:tcW w:w="1100" w:type="dxa"/>
            <w:vAlign w:val="bottom"/>
          </w:tcPr>
          <w:p>
            <w:pPr>
              <w:spacing w:after="0"/>
              <w:rPr>
                <w:sz w:val="14"/>
                <w:szCs w:val="14"/>
                <w:color w:val="auto"/>
              </w:rPr>
            </w:pPr>
          </w:p>
        </w:tc>
        <w:tc>
          <w:tcPr>
            <w:tcW w:w="6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5"/>
        </w:trPr>
        <w:tc>
          <w:tcPr>
            <w:tcW w:w="7600" w:type="dxa"/>
            <w:vAlign w:val="bottom"/>
          </w:tcPr>
          <w:p>
            <w:pPr>
              <w:ind w:left="280"/>
              <w:spacing w:after="0"/>
              <w:rPr>
                <w:sz w:val="20"/>
                <w:szCs w:val="20"/>
                <w:color w:val="auto"/>
              </w:rPr>
            </w:pPr>
            <w:r>
              <w:rPr>
                <w:rFonts w:ascii="Arial" w:cs="Arial" w:eastAsia="Arial" w:hAnsi="Arial"/>
                <w:sz w:val="18"/>
                <w:szCs w:val="18"/>
                <w:color w:val="auto"/>
              </w:rPr>
              <w:t>issued and outstanding and 99,262,951 shares issued and outstanding, respectively</w:t>
            </w:r>
          </w:p>
        </w:tc>
        <w:tc>
          <w:tcPr>
            <w:tcW w:w="1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7600" w:type="dxa"/>
            <w:vAlign w:val="bottom"/>
            <w:shd w:val="clear" w:color="auto" w:fill="CFF0FC"/>
          </w:tcPr>
          <w:p>
            <w:pPr>
              <w:ind w:left="280"/>
              <w:spacing w:after="0" w:line="170" w:lineRule="exact"/>
              <w:rPr>
                <w:sz w:val="20"/>
                <w:szCs w:val="20"/>
                <w:color w:val="auto"/>
              </w:rPr>
            </w:pPr>
            <w:r>
              <w:rPr>
                <w:rFonts w:ascii="Arial" w:cs="Arial" w:eastAsia="Arial" w:hAnsi="Arial"/>
                <w:sz w:val="18"/>
                <w:szCs w:val="18"/>
                <w:color w:val="auto"/>
              </w:rPr>
              <w:t>Non-voting common stock, $0.01 par value, 20,000,000 shares authorized, none issued</w:t>
            </w:r>
          </w:p>
        </w:tc>
        <w:tc>
          <w:tcPr>
            <w:tcW w:w="1100" w:type="dxa"/>
            <w:vAlign w:val="bottom"/>
            <w:shd w:val="clear" w:color="auto" w:fill="CFF0FC"/>
          </w:tcPr>
          <w:p>
            <w:pPr>
              <w:spacing w:after="0"/>
              <w:rPr>
                <w:sz w:val="14"/>
                <w:szCs w:val="14"/>
                <w:color w:val="auto"/>
              </w:rPr>
            </w:pPr>
          </w:p>
        </w:tc>
        <w:tc>
          <w:tcPr>
            <w:tcW w:w="6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0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and outstanding</w:t>
            </w:r>
          </w:p>
        </w:tc>
        <w:tc>
          <w:tcPr>
            <w:tcW w:w="1100" w:type="dxa"/>
            <w:vAlign w:val="bottom"/>
            <w:shd w:val="clear" w:color="auto" w:fill="CFF0FC"/>
          </w:tcPr>
          <w:p>
            <w:pPr>
              <w:spacing w:after="0"/>
              <w:rPr>
                <w:sz w:val="20"/>
                <w:szCs w:val="20"/>
                <w:color w:val="auto"/>
              </w:rPr>
            </w:pPr>
          </w:p>
        </w:tc>
        <w:tc>
          <w:tcPr>
            <w:tcW w:w="640" w:type="dxa"/>
            <w:vAlign w:val="bottom"/>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0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7600" w:type="dxa"/>
            <w:vAlign w:val="bottom"/>
          </w:tcPr>
          <w:p>
            <w:pPr>
              <w:ind w:left="280"/>
              <w:spacing w:after="0" w:line="170" w:lineRule="exact"/>
              <w:rPr>
                <w:sz w:val="20"/>
                <w:szCs w:val="20"/>
                <w:color w:val="auto"/>
              </w:rPr>
            </w:pPr>
            <w:r>
              <w:rPr>
                <w:rFonts w:ascii="Arial" w:cs="Arial" w:eastAsia="Arial" w:hAnsi="Arial"/>
                <w:sz w:val="18"/>
                <w:szCs w:val="18"/>
                <w:color w:val="auto"/>
              </w:rPr>
              <w:t>Preferred stock, $0.01 par value, 100,000,000 shares authorized, none issued and</w:t>
            </w:r>
          </w:p>
        </w:tc>
        <w:tc>
          <w:tcPr>
            <w:tcW w:w="1100" w:type="dxa"/>
            <w:vAlign w:val="bottom"/>
          </w:tcPr>
          <w:p>
            <w:pPr>
              <w:spacing w:after="0"/>
              <w:rPr>
                <w:sz w:val="14"/>
                <w:szCs w:val="14"/>
                <w:color w:val="auto"/>
              </w:rPr>
            </w:pPr>
          </w:p>
        </w:tc>
        <w:tc>
          <w:tcPr>
            <w:tcW w:w="6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600" w:type="dxa"/>
            <w:vAlign w:val="bottom"/>
          </w:tcPr>
          <w:p>
            <w:pPr>
              <w:ind w:left="280"/>
              <w:spacing w:after="0"/>
              <w:rPr>
                <w:sz w:val="20"/>
                <w:szCs w:val="20"/>
                <w:color w:val="auto"/>
              </w:rPr>
            </w:pPr>
            <w:r>
              <w:rPr>
                <w:rFonts w:ascii="Arial" w:cs="Arial" w:eastAsia="Arial" w:hAnsi="Arial"/>
                <w:sz w:val="18"/>
                <w:szCs w:val="18"/>
                <w:color w:val="auto"/>
              </w:rPr>
              <w:t>outstanding</w:t>
            </w:r>
          </w:p>
        </w:tc>
        <w:tc>
          <w:tcPr>
            <w:tcW w:w="1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Paid in capital</w:t>
            </w:r>
          </w:p>
        </w:tc>
        <w:tc>
          <w:tcPr>
            <w:tcW w:w="110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1,839</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16"/>
        </w:trPr>
        <w:tc>
          <w:tcPr>
            <w:tcW w:w="760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3"/>
              </w:rPr>
              <w:t>(1,031 )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(1,126 )</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11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(60 )</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09"/>
        </w:trPr>
        <w:tc>
          <w:tcPr>
            <w:tcW w:w="760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749</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49"/>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&amp; STOCKHOLDERS’ EQUITY</w:t>
            </w:r>
          </w:p>
        </w:tc>
        <w:tc>
          <w:tcPr>
            <w:tcW w:w="1100" w:type="dxa"/>
            <w:vAlign w:val="bottom"/>
            <w:tcBorders>
              <w:bottom w:val="single" w:sz="8" w:color="auto"/>
            </w:tcBorders>
            <w:shd w:val="clear" w:color="auto" w:fill="CFF0FC"/>
          </w:tcPr>
          <w:p>
            <w:pPr>
              <w:jc w:val="right"/>
              <w:ind w:right="896"/>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4,534</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4,457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5930265</wp:posOffset>
            </wp:positionH>
            <wp:positionV relativeFrom="paragraph">
              <wp:posOffset>-3732530</wp:posOffset>
            </wp:positionV>
            <wp:extent cx="102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-3715385</wp:posOffset>
            </wp:positionV>
            <wp:extent cx="102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-316230</wp:posOffset>
            </wp:positionV>
            <wp:extent cx="102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-24765</wp:posOffset>
            </wp:positionV>
            <wp:extent cx="102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-7620</wp:posOffset>
            </wp:positionV>
            <wp:extent cx="102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680" w:type="dxa"/>
            <w:vAlign w:val="bottom"/>
            <w:tcBorders>
              <w:bottom w:val="single" w:sz="8" w:color="auto"/>
            </w:tcBorders>
            <w:gridSpan w:val="5"/>
          </w:tcPr>
          <w:p>
            <w:pPr>
              <w:jc w:val="right"/>
              <w:ind w:right="291"/>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82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780" w:type="dxa"/>
            <w:vAlign w:val="bottom"/>
            <w:shd w:val="clear" w:color="auto" w:fill="CFF0FC"/>
          </w:tcPr>
          <w:p>
            <w:pPr>
              <w:jc w:val="right"/>
              <w:ind w:right="575"/>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664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1,341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1,191</w:t>
            </w: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7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353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710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612</w:t>
            </w: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Gross profit</w:t>
            </w: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311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631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579</w:t>
            </w: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153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153</w:t>
            </w:r>
          </w:p>
        </w:tc>
      </w:tr>
      <w:tr>
        <w:trPr>
          <w:trHeight w:val="216"/>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Engineering — research and development</w:t>
            </w:r>
          </w:p>
        </w:tc>
        <w:tc>
          <w:tcPr>
            <w:tcW w:w="7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46</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89</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79</w:t>
            </w:r>
          </w:p>
        </w:tc>
      </w:tr>
      <w:tr>
        <w:trPr>
          <w:trHeight w:val="209"/>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78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187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389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347</w:t>
            </w: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(30 )</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(59 )</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(59 )</w:t>
            </w: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7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(3 )</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(13 )</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w:t>
            </w: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154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317</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294</w:t>
            </w: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7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(32 )</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(66 )</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(64 )</w:t>
            </w:r>
          </w:p>
        </w:tc>
      </w:tr>
      <w:tr>
        <w:trPr>
          <w:trHeight w:val="249"/>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780" w:type="dxa"/>
            <w:vAlign w:val="bottom"/>
            <w:tcBorders>
              <w:bottom w:val="single" w:sz="8" w:color="auto"/>
            </w:tcBorders>
            <w:shd w:val="clear" w:color="auto" w:fill="CFF0FC"/>
          </w:tcPr>
          <w:p>
            <w:pPr>
              <w:jc w:val="right"/>
              <w:ind w:right="575"/>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122</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251</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230</w:t>
            </w:r>
          </w:p>
        </w:tc>
      </w:tr>
      <w:tr>
        <w:trPr>
          <w:trHeight w:val="196"/>
        </w:trPr>
        <w:tc>
          <w:tcPr>
            <w:tcW w:w="58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Basic earnings per share attributable to common stockholders</w:t>
            </w:r>
          </w:p>
        </w:tc>
        <w:tc>
          <w:tcPr>
            <w:tcW w:w="780" w:type="dxa"/>
            <w:vAlign w:val="bottom"/>
            <w:tcBorders>
              <w:bottom w:val="single" w:sz="8" w:color="auto"/>
            </w:tcBorders>
          </w:tcPr>
          <w:p>
            <w:pPr>
              <w:jc w:val="right"/>
              <w:ind w:right="575"/>
              <w:spacing w:after="0" w:line="196" w:lineRule="exact"/>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1.26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2.59</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2.09</w:t>
            </w:r>
          </w:p>
        </w:tc>
      </w:tr>
      <w:tr>
        <w:trPr>
          <w:trHeight w:val="20"/>
        </w:trPr>
        <w:tc>
          <w:tcPr>
            <w:tcW w:w="5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6"/>
        </w:trPr>
        <w:tc>
          <w:tcPr>
            <w:tcW w:w="58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Diluted earnings per share attributable to common stockholders</w:t>
            </w:r>
          </w:p>
        </w:tc>
        <w:tc>
          <w:tcPr>
            <w:tcW w:w="780" w:type="dxa"/>
            <w:vAlign w:val="bottom"/>
            <w:tcBorders>
              <w:top w:val="single" w:sz="8" w:color="auto"/>
              <w:bottom w:val="single" w:sz="8" w:color="auto"/>
            </w:tcBorders>
            <w:shd w:val="clear" w:color="auto" w:fill="CFF0FC"/>
          </w:tcPr>
          <w:p>
            <w:pPr>
              <w:jc w:val="right"/>
              <w:ind w:right="575"/>
              <w:spacing w:after="0" w:line="196" w:lineRule="exact"/>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1.26</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1.01</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2.56</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2.07</w:t>
            </w:r>
          </w:p>
        </w:tc>
      </w:tr>
      <w:tr>
        <w:trPr>
          <w:trHeight w:val="196"/>
        </w:trPr>
        <w:tc>
          <w:tcPr>
            <w:tcW w:w="58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Comprehensive income, net of tax</w:t>
            </w:r>
          </w:p>
        </w:tc>
        <w:tc>
          <w:tcPr>
            <w:tcW w:w="780" w:type="dxa"/>
            <w:vAlign w:val="bottom"/>
          </w:tcPr>
          <w:p>
            <w:pPr>
              <w:jc w:val="right"/>
              <w:ind w:right="575"/>
              <w:spacing w:after="0" w:line="196" w:lineRule="exact"/>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118</w:t>
            </w:r>
          </w:p>
        </w:tc>
        <w:tc>
          <w:tcPr>
            <w:tcW w:w="3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113</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264</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236</w:t>
            </w:r>
          </w:p>
        </w:tc>
      </w:tr>
      <w:tr>
        <w:trPr>
          <w:trHeight w:val="20"/>
        </w:trPr>
        <w:tc>
          <w:tcPr>
            <w:tcW w:w="58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-1360805</wp:posOffset>
            </wp:positionV>
            <wp:extent cx="768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-1360805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-1360805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-513080</wp:posOffset>
            </wp:positionV>
            <wp:extent cx="76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-495935</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-513080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-495935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-513080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-495935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-187960</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-170815</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-187960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-170815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-187960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-170815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r>
      <w:tr>
        <w:trPr>
          <w:trHeight w:val="196"/>
        </w:trPr>
        <w:tc>
          <w:tcPr>
            <w:tcW w:w="7740" w:type="dxa"/>
            <w:vAlign w:val="bottom"/>
          </w:tcPr>
          <w:p>
            <w:pPr>
              <w:spacing w:after="0"/>
              <w:rPr>
                <w:sz w:val="17"/>
                <w:szCs w:val="17"/>
                <w:color w:val="auto"/>
              </w:rPr>
            </w:pPr>
          </w:p>
        </w:tc>
        <w:tc>
          <w:tcPr>
            <w:tcW w:w="1060" w:type="dxa"/>
            <w:vAlign w:val="bottom"/>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7"/>
                <w:szCs w:val="17"/>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7"/>
                <w:szCs w:val="17"/>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ind w:right="876"/>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251</w:t>
            </w:r>
          </w:p>
        </w:tc>
        <w:tc>
          <w:tcPr>
            <w:tcW w:w="124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230</w:t>
            </w: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r>
      <w:tr>
        <w:trPr>
          <w:trHeight w:val="216"/>
        </w:trPr>
        <w:tc>
          <w:tcPr>
            <w:tcW w:w="7740" w:type="dxa"/>
            <w:vAlign w:val="bottom"/>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10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53</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51</w:t>
            </w: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Amortization of intangible assets</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23</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r>
      <w:tr>
        <w:trPr>
          <w:trHeight w:val="216"/>
        </w:trPr>
        <w:tc>
          <w:tcPr>
            <w:tcW w:w="7740" w:type="dxa"/>
            <w:vAlign w:val="bottom"/>
          </w:tcPr>
          <w:p>
            <w:pPr>
              <w:ind w:left="280"/>
              <w:spacing w:after="0"/>
              <w:rPr>
                <w:sz w:val="20"/>
                <w:szCs w:val="20"/>
                <w:color w:val="auto"/>
              </w:rPr>
            </w:pPr>
            <w:r>
              <w:rPr>
                <w:rFonts w:ascii="Arial" w:cs="Arial" w:eastAsia="Arial" w:hAnsi="Arial"/>
                <w:sz w:val="18"/>
                <w:szCs w:val="18"/>
                <w:color w:val="auto"/>
              </w:rPr>
              <w:t>Unrealized loss on marketable securities</w:t>
            </w:r>
          </w:p>
        </w:tc>
        <w:tc>
          <w:tcPr>
            <w:tcW w:w="10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11</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9</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r>
      <w:tr>
        <w:trPr>
          <w:trHeight w:val="216"/>
        </w:trPr>
        <w:tc>
          <w:tcPr>
            <w:tcW w:w="774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0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9</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Technology-related investments gain</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(6 )</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tcPr>
          <w:p>
            <w:pPr>
              <w:ind w:left="280"/>
              <w:spacing w:after="0"/>
              <w:rPr>
                <w:sz w:val="20"/>
                <w:szCs w:val="20"/>
                <w:color w:val="auto"/>
              </w:rPr>
            </w:pPr>
            <w:r>
              <w:rPr>
                <w:rFonts w:ascii="Arial" w:cs="Arial" w:eastAsia="Arial" w:hAnsi="Arial"/>
                <w:sz w:val="18"/>
                <w:szCs w:val="18"/>
                <w:color w:val="auto"/>
              </w:rPr>
              <w:t>Loss on intercompany foreign exchange</w:t>
            </w:r>
          </w:p>
        </w:tc>
        <w:tc>
          <w:tcPr>
            <w:tcW w:w="10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5</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16"/>
        </w:trPr>
        <w:tc>
          <w:tcPr>
            <w:tcW w:w="7740" w:type="dxa"/>
            <w:vAlign w:val="bottom"/>
          </w:tcPr>
          <w:p>
            <w:pPr>
              <w:ind w:left="280"/>
              <w:spacing w:after="0"/>
              <w:rPr>
                <w:sz w:val="20"/>
                <w:szCs w:val="20"/>
                <w:color w:val="auto"/>
              </w:rPr>
            </w:pPr>
            <w:r>
              <w:rPr>
                <w:rFonts w:ascii="Arial" w:cs="Arial" w:eastAsia="Arial" w:hAnsi="Arial"/>
                <w:sz w:val="18"/>
                <w:szCs w:val="18"/>
                <w:color w:val="auto"/>
              </w:rPr>
              <w:t>Changes in assets and liabilities:</w:t>
            </w: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receivable</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(70 )</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(73 )</w:t>
            </w:r>
          </w:p>
        </w:tc>
      </w:tr>
      <w:tr>
        <w:trPr>
          <w:trHeight w:val="216"/>
        </w:trPr>
        <w:tc>
          <w:tcPr>
            <w:tcW w:w="774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(29 )</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17</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r>
        <w:trPr>
          <w:trHeight w:val="216"/>
        </w:trPr>
        <w:tc>
          <w:tcPr>
            <w:tcW w:w="7740" w:type="dxa"/>
            <w:vAlign w:val="bottom"/>
          </w:tcPr>
          <w:p>
            <w:pPr>
              <w:ind w:left="280"/>
              <w:spacing w:after="0"/>
              <w:rPr>
                <w:sz w:val="20"/>
                <w:szCs w:val="20"/>
                <w:color w:val="auto"/>
              </w:rPr>
            </w:pPr>
            <w:r>
              <w:rPr>
                <w:rFonts w:ascii="Arial" w:cs="Arial" w:eastAsia="Arial" w:hAnsi="Arial"/>
                <w:sz w:val="18"/>
                <w:szCs w:val="18"/>
                <w:color w:val="auto"/>
              </w:rPr>
              <w:t>Other assets and liabilities</w:t>
            </w: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(47 )</w:t>
            </w:r>
          </w:p>
        </w:tc>
        <w:tc>
          <w:tcPr>
            <w:tcW w:w="1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r>
      <w:tr>
        <w:trPr>
          <w:trHeight w:val="209"/>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229</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271</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Additions of long-lived assets</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(50 )</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(69 )</w:t>
            </w:r>
          </w:p>
        </w:tc>
      </w:tr>
      <w:tr>
        <w:trPr>
          <w:trHeight w:val="216"/>
        </w:trPr>
        <w:tc>
          <w:tcPr>
            <w:tcW w:w="7740" w:type="dxa"/>
            <w:vAlign w:val="bottom"/>
          </w:tcPr>
          <w:p>
            <w:pPr>
              <w:ind w:left="280"/>
              <w:spacing w:after="0"/>
              <w:rPr>
                <w:sz w:val="20"/>
                <w:szCs w:val="20"/>
                <w:color w:val="auto"/>
              </w:rPr>
            </w:pPr>
            <w:r>
              <w:rPr>
                <w:rFonts w:ascii="Arial" w:cs="Arial" w:eastAsia="Arial" w:hAnsi="Arial"/>
                <w:sz w:val="18"/>
                <w:szCs w:val="18"/>
                <w:color w:val="auto"/>
              </w:rPr>
              <w:t>Business acquisitions</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(23 )</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technology-related investments</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6</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tcPr>
          <w:p>
            <w:pPr>
              <w:ind w:left="280"/>
              <w:spacing w:after="0"/>
              <w:rPr>
                <w:sz w:val="20"/>
                <w:szCs w:val="20"/>
                <w:color w:val="auto"/>
              </w:rPr>
            </w:pPr>
            <w:r>
              <w:rPr>
                <w:rFonts w:ascii="Arial" w:cs="Arial" w:eastAsia="Arial" w:hAnsi="Arial"/>
                <w:sz w:val="18"/>
                <w:szCs w:val="18"/>
                <w:color w:val="auto"/>
              </w:rPr>
              <w:t>Investment in equity method investee</w:t>
            </w: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w:t>
            </w:r>
          </w:p>
        </w:tc>
        <w:tc>
          <w:tcPr>
            <w:tcW w:w="1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09"/>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cash used for investing activities</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(68 )</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(69 )</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Repurchases of common stock</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(115 )</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(226 )</w:t>
            </w:r>
          </w:p>
        </w:tc>
      </w:tr>
      <w:tr>
        <w:trPr>
          <w:trHeight w:val="216"/>
        </w:trPr>
        <w:tc>
          <w:tcPr>
            <w:tcW w:w="7740" w:type="dxa"/>
            <w:vAlign w:val="bottom"/>
          </w:tcPr>
          <w:p>
            <w:pPr>
              <w:ind w:left="280"/>
              <w:spacing w:after="0"/>
              <w:rPr>
                <w:sz w:val="20"/>
                <w:szCs w:val="20"/>
                <w:color w:val="auto"/>
              </w:rPr>
            </w:pPr>
            <w:r>
              <w:rPr>
                <w:rFonts w:ascii="Arial" w:cs="Arial" w:eastAsia="Arial" w:hAnsi="Arial"/>
                <w:sz w:val="18"/>
                <w:szCs w:val="18"/>
                <w:color w:val="auto"/>
              </w:rPr>
              <w:t>Borrowings on revolving credit facility</w:t>
            </w:r>
          </w:p>
        </w:tc>
        <w:tc>
          <w:tcPr>
            <w:tcW w:w="10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95</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Payments on revolving credit facility</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(95 )</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tcPr>
          <w:p>
            <w:pPr>
              <w:ind w:left="280"/>
              <w:spacing w:after="0"/>
              <w:rPr>
                <w:sz w:val="20"/>
                <w:szCs w:val="20"/>
                <w:color w:val="auto"/>
              </w:rPr>
            </w:pPr>
            <w:r>
              <w:rPr>
                <w:rFonts w:ascii="Arial" w:cs="Arial" w:eastAsia="Arial" w:hAnsi="Arial"/>
                <w:sz w:val="18"/>
                <w:szCs w:val="18"/>
                <w:color w:val="auto"/>
              </w:rPr>
              <w:t>Dividend payments</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(41 )</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Taxes paid related to net share settlement of equity awards</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(4 )</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16"/>
        </w:trPr>
        <w:tc>
          <w:tcPr>
            <w:tcW w:w="7740" w:type="dxa"/>
            <w:vAlign w:val="bottom"/>
          </w:tcPr>
          <w:p>
            <w:pPr>
              <w:ind w:left="280"/>
              <w:spacing w:after="0"/>
              <w:rPr>
                <w:sz w:val="20"/>
                <w:szCs w:val="20"/>
                <w:color w:val="auto"/>
              </w:rPr>
            </w:pPr>
            <w:r>
              <w:rPr>
                <w:rFonts w:ascii="Arial" w:cs="Arial" w:eastAsia="Arial" w:hAnsi="Arial"/>
                <w:sz w:val="18"/>
                <w:szCs w:val="18"/>
                <w:color w:val="auto"/>
              </w:rPr>
              <w:t>Payments on long-term debt</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exercise of stock options</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16"/>
        </w:trPr>
        <w:tc>
          <w:tcPr>
            <w:tcW w:w="7740" w:type="dxa"/>
            <w:vAlign w:val="bottom"/>
          </w:tcPr>
          <w:p>
            <w:pPr>
              <w:ind w:left="280"/>
              <w:spacing w:after="0"/>
              <w:rPr>
                <w:sz w:val="20"/>
                <w:szCs w:val="20"/>
                <w:color w:val="auto"/>
              </w:rPr>
            </w:pPr>
            <w:r>
              <w:rPr>
                <w:rFonts w:ascii="Arial" w:cs="Arial" w:eastAsia="Arial" w:hAnsi="Arial"/>
                <w:sz w:val="18"/>
                <w:szCs w:val="18"/>
                <w:color w:val="auto"/>
              </w:rPr>
              <w:t>Payments of acquisition-related contingent liability</w:t>
            </w: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r>
      <w:tr>
        <w:trPr>
          <w:trHeight w:val="209"/>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cash used for financing activities</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(162 )</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(274 )</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(4 )</w:t>
            </w:r>
          </w:p>
        </w:tc>
        <w:tc>
          <w:tcPr>
            <w:tcW w:w="1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09"/>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decrease in cash and cash equivalents</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(5 )</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(72 )</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127</w:t>
            </w:r>
          </w:p>
        </w:tc>
        <w:tc>
          <w:tcPr>
            <w:tcW w:w="1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310</w:t>
            </w:r>
          </w:p>
        </w:tc>
      </w:tr>
      <w:tr>
        <w:trPr>
          <w:trHeight w:val="24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060" w:type="dxa"/>
            <w:vAlign w:val="bottom"/>
            <w:tcBorders>
              <w:bottom w:val="single" w:sz="8" w:color="auto"/>
            </w:tcBorders>
            <w:shd w:val="clear" w:color="auto" w:fill="CFF0FC"/>
          </w:tcPr>
          <w:p>
            <w:pPr>
              <w:jc w:val="right"/>
              <w:ind w:right="876"/>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122</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238</w:t>
            </w:r>
          </w:p>
        </w:tc>
      </w:tr>
      <w:tr>
        <w:trPr>
          <w:trHeight w:val="196"/>
        </w:trPr>
        <w:tc>
          <w:tcPr>
            <w:tcW w:w="7740" w:type="dxa"/>
            <w:vAlign w:val="bottom"/>
          </w:tcPr>
          <w:p>
            <w:pPr>
              <w:ind w:left="20"/>
              <w:spacing w:after="0" w:line="196" w:lineRule="exact"/>
              <w:rPr>
                <w:sz w:val="20"/>
                <w:szCs w:val="20"/>
                <w:color w:val="auto"/>
              </w:rPr>
            </w:pPr>
            <w:r>
              <w:rPr>
                <w:rFonts w:ascii="Arial" w:cs="Arial" w:eastAsia="Arial" w:hAnsi="Arial"/>
                <w:sz w:val="18"/>
                <w:szCs w:val="18"/>
                <w:color w:val="auto"/>
              </w:rPr>
              <w:t>Supplemental disclosures:</w:t>
            </w: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6"/>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Interest paid</w:t>
            </w:r>
          </w:p>
        </w:tc>
        <w:tc>
          <w:tcPr>
            <w:tcW w:w="1060" w:type="dxa"/>
            <w:vAlign w:val="bottom"/>
            <w:shd w:val="clear" w:color="auto" w:fill="CFF0FC"/>
          </w:tcPr>
          <w:p>
            <w:pPr>
              <w:jc w:val="right"/>
              <w:ind w:right="876"/>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57</w:t>
            </w:r>
          </w:p>
        </w:tc>
        <w:tc>
          <w:tcPr>
            <w:tcW w:w="1240" w:type="dxa"/>
            <w:vAlign w:val="bottom"/>
            <w:gridSpan w:val="2"/>
            <w:shd w:val="clear" w:color="auto" w:fill="CFF0FC"/>
          </w:tcPr>
          <w:p>
            <w:pPr>
              <w:jc w:val="right"/>
              <w:ind w:right="87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w:t>
            </w:r>
          </w:p>
        </w:tc>
      </w:tr>
      <w:tr>
        <w:trPr>
          <w:trHeight w:val="247"/>
        </w:trPr>
        <w:tc>
          <w:tcPr>
            <w:tcW w:w="7740" w:type="dxa"/>
            <w:vAlign w:val="bottom"/>
          </w:tcPr>
          <w:p>
            <w:pPr>
              <w:ind w:left="520"/>
              <w:spacing w:after="0"/>
              <w:rPr>
                <w:sz w:val="20"/>
                <w:szCs w:val="20"/>
                <w:color w:val="auto"/>
              </w:rPr>
            </w:pPr>
            <w:r>
              <w:rPr>
                <w:rFonts w:ascii="Arial" w:cs="Arial" w:eastAsia="Arial" w:hAnsi="Arial"/>
                <w:sz w:val="18"/>
                <w:szCs w:val="18"/>
                <w:color w:val="auto"/>
              </w:rPr>
              <w:t>Income taxes paid</w:t>
            </w:r>
          </w:p>
        </w:tc>
        <w:tc>
          <w:tcPr>
            <w:tcW w:w="1060" w:type="dxa"/>
            <w:vAlign w:val="bottom"/>
          </w:tcPr>
          <w:p>
            <w:pPr>
              <w:jc w:val="right"/>
              <w:ind w:right="876"/>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59</w:t>
            </w:r>
          </w:p>
        </w:tc>
        <w:tc>
          <w:tcPr>
            <w:tcW w:w="124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-455930</wp:posOffset>
            </wp:positionV>
            <wp:extent cx="1028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-438785</wp:posOffset>
            </wp:positionV>
            <wp:extent cx="1028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172"/>
              <w:spacing w:after="0" w:line="13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center"/>
              <w:ind w:right="72"/>
              <w:spacing w:after="0"/>
              <w:rPr>
                <w:sz w:val="20"/>
                <w:szCs w:val="20"/>
                <w:color w:val="auto"/>
              </w:rPr>
            </w:pPr>
            <w:r>
              <w:rPr>
                <w:rFonts w:ascii="Arial" w:cs="Arial" w:eastAsia="Arial" w:hAnsi="Arial"/>
                <w:sz w:val="14"/>
                <w:szCs w:val="14"/>
                <w:b w:val="1"/>
                <w:bCs w:val="1"/>
                <w:color w:val="auto"/>
              </w:rPr>
              <w:t>Non-voting</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jc w:val="center"/>
              <w:ind w:right="52"/>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172"/>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8"/>
              </w:rPr>
              <w:t>Common</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51"/>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52"/>
              <w:spacing w:after="0" w:line="144"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1240" w:type="dxa"/>
            <w:vAlign w:val="bottom"/>
            <w:gridSpan w:val="2"/>
            <w:vMerge w:val="restart"/>
          </w:tcPr>
          <w:p>
            <w:pPr>
              <w:jc w:val="right"/>
              <w:ind w:right="13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3"/>
        </w:trPr>
        <w:tc>
          <w:tcPr>
            <w:tcW w:w="3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192"/>
              <w:spacing w:after="0" w:line="153" w:lineRule="exact"/>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252"/>
              <w:spacing w:after="0" w:line="153" w:lineRule="exact"/>
              <w:rPr>
                <w:sz w:val="20"/>
                <w:szCs w:val="20"/>
                <w:color w:val="auto"/>
              </w:rPr>
            </w:pPr>
            <w:r>
              <w:rPr>
                <w:rFonts w:ascii="Arial" w:cs="Arial" w:eastAsia="Arial" w:hAnsi="Arial"/>
                <w:sz w:val="14"/>
                <w:szCs w:val="14"/>
                <w:b w:val="1"/>
                <w:bCs w:val="1"/>
                <w:color w:val="auto"/>
                <w:w w:val="99"/>
              </w:rPr>
              <w:t>(Deficit)</w:t>
            </w:r>
          </w:p>
        </w:tc>
        <w:tc>
          <w:tcPr>
            <w:tcW w:w="80" w:type="dxa"/>
            <w:vAlign w:val="bottom"/>
          </w:tcPr>
          <w:p>
            <w:pPr>
              <w:spacing w:after="0"/>
              <w:rPr>
                <w:sz w:val="13"/>
                <w:szCs w:val="13"/>
                <w:color w:val="auto"/>
              </w:rPr>
            </w:pPr>
          </w:p>
        </w:tc>
        <w:tc>
          <w:tcPr>
            <w:tcW w:w="1380" w:type="dxa"/>
            <w:vAlign w:val="bottom"/>
            <w:gridSpan w:val="2"/>
          </w:tcPr>
          <w:p>
            <w:pPr>
              <w:jc w:val="center"/>
              <w:ind w:right="32"/>
              <w:spacing w:after="0" w:line="153" w:lineRule="exact"/>
              <w:rPr>
                <w:sz w:val="20"/>
                <w:szCs w:val="20"/>
                <w:color w:val="auto"/>
              </w:rPr>
            </w:pPr>
            <w:r>
              <w:rPr>
                <w:rFonts w:ascii="Arial" w:cs="Arial" w:eastAsia="Arial" w:hAnsi="Arial"/>
                <w:sz w:val="14"/>
                <w:szCs w:val="14"/>
                <w:b w:val="1"/>
                <w:bCs w:val="1"/>
                <w:color w:val="auto"/>
              </w:rPr>
              <w:t>(Loss) Income,</w:t>
            </w:r>
          </w:p>
        </w:tc>
        <w:tc>
          <w:tcPr>
            <w:tcW w:w="1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March 31, 2021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1,820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(971 )</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(86 )</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302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70"/>
        </w:trPr>
        <w:tc>
          <w:tcPr>
            <w:tcW w:w="3020" w:type="dxa"/>
            <w:vAlign w:val="bottom"/>
            <w:shd w:val="clear" w:color="auto" w:fill="CFF0FC"/>
          </w:tcPr>
          <w:p>
            <w:pPr>
              <w:ind w:left="280"/>
              <w:spacing w:after="0" w:line="170" w:lineRule="exact"/>
              <w:rPr>
                <w:sz w:val="20"/>
                <w:szCs w:val="20"/>
                <w:color w:val="auto"/>
              </w:rPr>
            </w:pPr>
            <w:r>
              <w:rPr>
                <w:rFonts w:ascii="Arial" w:cs="Arial" w:eastAsia="Arial" w:hAnsi="Arial"/>
                <w:sz w:val="18"/>
                <w:szCs w:val="18"/>
                <w:color w:val="auto"/>
              </w:rPr>
              <w:t>Pension and OPEB liability</w:t>
            </w:r>
          </w:p>
        </w:tc>
        <w:tc>
          <w:tcPr>
            <w:tcW w:w="12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5"/>
        </w:trPr>
        <w:tc>
          <w:tcPr>
            <w:tcW w:w="30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w:t>
            </w:r>
          </w:p>
        </w:tc>
        <w:tc>
          <w:tcPr>
            <w:tcW w:w="120" w:type="dxa"/>
            <w:vAlign w:val="bottom"/>
            <w:shd w:val="clear" w:color="auto" w:fill="CFF0FC"/>
          </w:tcPr>
          <w:p>
            <w:pPr>
              <w:spacing w:after="0"/>
              <w:rPr>
                <w:sz w:val="20"/>
                <w:szCs w:val="20"/>
                <w:color w:val="auto"/>
              </w:rPr>
            </w:pPr>
          </w:p>
        </w:tc>
        <w:tc>
          <w:tcPr>
            <w:tcW w:w="90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020" w:type="dxa"/>
            <w:vAlign w:val="bottom"/>
          </w:tcPr>
          <w:p>
            <w:pPr>
              <w:ind w:left="280"/>
              <w:spacing w:after="0" w:line="170" w:lineRule="exact"/>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4"/>
                <w:szCs w:val="14"/>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restart"/>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ind w:right="3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5"/>
        </w:trPr>
        <w:tc>
          <w:tcPr>
            <w:tcW w:w="3020" w:type="dxa"/>
            <w:vAlign w:val="bottom"/>
          </w:tcPr>
          <w:p>
            <w:pPr>
              <w:ind w:left="280"/>
              <w:spacing w:after="0"/>
              <w:rPr>
                <w:sz w:val="20"/>
                <w:szCs w:val="20"/>
                <w:color w:val="auto"/>
              </w:rPr>
            </w:pPr>
            <w:r>
              <w:rPr>
                <w:rFonts w:ascii="Arial" w:cs="Arial" w:eastAsia="Arial" w:hAnsi="Arial"/>
                <w:sz w:val="18"/>
                <w:szCs w:val="18"/>
                <w:color w:val="auto"/>
              </w:rPr>
              <w:t>adjustment</w:t>
            </w: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020" w:type="dxa"/>
            <w:vAlign w:val="bottom"/>
          </w:tcPr>
          <w:p>
            <w:pPr>
              <w:ind w:left="280"/>
              <w:spacing w:after="0"/>
              <w:rPr>
                <w:sz w:val="20"/>
                <w:szCs w:val="20"/>
                <w:color w:val="auto"/>
              </w:rPr>
            </w:pPr>
            <w:r>
              <w:rPr>
                <w:rFonts w:ascii="Arial" w:cs="Arial" w:eastAsia="Arial" w:hAnsi="Arial"/>
                <w:sz w:val="18"/>
                <w:szCs w:val="18"/>
                <w:color w:val="auto"/>
              </w:rPr>
              <w:t>Issuance of common stock</w:t>
            </w:r>
          </w:p>
        </w:tc>
        <w:tc>
          <w:tcPr>
            <w:tcW w:w="12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Repurchase of common stock</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(130 )</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16"/>
        </w:trPr>
        <w:tc>
          <w:tcPr>
            <w:tcW w:w="302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12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110</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9"/>
        </w:trPr>
        <w:tc>
          <w:tcPr>
            <w:tcW w:w="3020" w:type="dxa"/>
            <w:vAlign w:val="bottom"/>
          </w:tcPr>
          <w:p>
            <w:pPr>
              <w:ind w:left="20"/>
              <w:spacing w:after="0"/>
              <w:rPr>
                <w:sz w:val="20"/>
                <w:szCs w:val="20"/>
                <w:color w:val="auto"/>
              </w:rPr>
            </w:pPr>
            <w:r>
              <w:rPr>
                <w:rFonts w:ascii="Arial" w:cs="Arial" w:eastAsia="Arial" w:hAnsi="Arial"/>
                <w:sz w:val="18"/>
                <w:szCs w:val="18"/>
                <w:color w:val="auto"/>
              </w:rPr>
              <w:t>Balance at June 30, 2021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1,826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(1,012 )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(83 )</w:t>
            </w:r>
          </w:p>
        </w:tc>
        <w:tc>
          <w:tcPr>
            <w:tcW w:w="320" w:type="dxa"/>
            <w:vAlign w:val="bottom"/>
            <w:gridSpan w:val="2"/>
          </w:tcPr>
          <w:p>
            <w:pPr>
              <w:jc w:val="right"/>
              <w:ind w:right="16"/>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March 31, 2022</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ind w:left="600"/>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1,832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(1,098 )</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(56 )</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302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ind w:left="5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170"/>
        </w:trPr>
        <w:tc>
          <w:tcPr>
            <w:tcW w:w="3020" w:type="dxa"/>
            <w:vAlign w:val="bottom"/>
            <w:shd w:val="clear" w:color="auto" w:fill="CFF0FC"/>
          </w:tcPr>
          <w:p>
            <w:pPr>
              <w:ind w:left="280"/>
              <w:spacing w:after="0" w:line="170" w:lineRule="exact"/>
              <w:rPr>
                <w:sz w:val="20"/>
                <w:szCs w:val="20"/>
                <w:color w:val="auto"/>
              </w:rPr>
            </w:pPr>
            <w:r>
              <w:rPr>
                <w:rFonts w:ascii="Arial" w:cs="Arial" w:eastAsia="Arial" w:hAnsi="Arial"/>
                <w:sz w:val="18"/>
                <w:szCs w:val="18"/>
                <w:color w:val="auto"/>
              </w:rPr>
              <w:t>Pension and OPEB liability</w:t>
            </w:r>
          </w:p>
        </w:tc>
        <w:tc>
          <w:tcPr>
            <w:tcW w:w="12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ind w:left="5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35"/>
        </w:trPr>
        <w:tc>
          <w:tcPr>
            <w:tcW w:w="30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w:t>
            </w:r>
          </w:p>
        </w:tc>
        <w:tc>
          <w:tcPr>
            <w:tcW w:w="120" w:type="dxa"/>
            <w:vAlign w:val="bottom"/>
            <w:shd w:val="clear" w:color="auto" w:fill="CFF0FC"/>
          </w:tcPr>
          <w:p>
            <w:pPr>
              <w:spacing w:after="0"/>
              <w:rPr>
                <w:sz w:val="20"/>
                <w:szCs w:val="20"/>
                <w:color w:val="auto"/>
              </w:rPr>
            </w:pPr>
          </w:p>
        </w:tc>
        <w:tc>
          <w:tcPr>
            <w:tcW w:w="90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020" w:type="dxa"/>
            <w:vAlign w:val="bottom"/>
          </w:tcPr>
          <w:p>
            <w:pPr>
              <w:ind w:left="280"/>
              <w:spacing w:after="0" w:line="170" w:lineRule="exact"/>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4"/>
                <w:szCs w:val="14"/>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r>
        <w:trPr>
          <w:trHeight w:val="235"/>
        </w:trPr>
        <w:tc>
          <w:tcPr>
            <w:tcW w:w="3020" w:type="dxa"/>
            <w:vAlign w:val="bottom"/>
          </w:tcPr>
          <w:p>
            <w:pPr>
              <w:ind w:left="280"/>
              <w:spacing w:after="0"/>
              <w:rPr>
                <w:sz w:val="20"/>
                <w:szCs w:val="20"/>
                <w:color w:val="auto"/>
              </w:rPr>
            </w:pPr>
            <w:r>
              <w:rPr>
                <w:rFonts w:ascii="Arial" w:cs="Arial" w:eastAsia="Arial" w:hAnsi="Arial"/>
                <w:sz w:val="18"/>
                <w:szCs w:val="18"/>
                <w:color w:val="auto"/>
              </w:rPr>
              <w:t>adjustment</w:t>
            </w: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ind w:left="5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16"/>
        </w:trPr>
        <w:tc>
          <w:tcPr>
            <w:tcW w:w="3020" w:type="dxa"/>
            <w:vAlign w:val="bottom"/>
          </w:tcPr>
          <w:p>
            <w:pPr>
              <w:ind w:left="280"/>
              <w:spacing w:after="0"/>
              <w:rPr>
                <w:sz w:val="20"/>
                <w:szCs w:val="20"/>
                <w:color w:val="auto"/>
              </w:rPr>
            </w:pPr>
            <w:r>
              <w:rPr>
                <w:rFonts w:ascii="Arial" w:cs="Arial" w:eastAsia="Arial" w:hAnsi="Arial"/>
                <w:sz w:val="18"/>
                <w:szCs w:val="18"/>
                <w:color w:val="auto"/>
              </w:rPr>
              <w:t>Issuance of common stock</w:t>
            </w:r>
          </w:p>
        </w:tc>
        <w:tc>
          <w:tcPr>
            <w:tcW w:w="12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ind w:left="5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Repurchase of common stock</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ind w:left="5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(34 )</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(34 )</w:t>
            </w:r>
          </w:p>
        </w:tc>
        <w:tc>
          <w:tcPr>
            <w:tcW w:w="0" w:type="dxa"/>
            <w:vAlign w:val="bottom"/>
          </w:tcPr>
          <w:p>
            <w:pPr>
              <w:spacing w:after="0"/>
              <w:rPr>
                <w:sz w:val="1"/>
                <w:szCs w:val="1"/>
                <w:color w:val="auto"/>
              </w:rPr>
            </w:pPr>
          </w:p>
        </w:tc>
      </w:tr>
      <w:tr>
        <w:trPr>
          <w:trHeight w:val="216"/>
        </w:trPr>
        <w:tc>
          <w:tcPr>
            <w:tcW w:w="302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12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ind w:left="5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(21 )</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ind w:left="5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122</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122</w:t>
            </w:r>
          </w:p>
        </w:tc>
        <w:tc>
          <w:tcPr>
            <w:tcW w:w="0" w:type="dxa"/>
            <w:vAlign w:val="bottom"/>
          </w:tcPr>
          <w:p>
            <w:pPr>
              <w:spacing w:after="0"/>
              <w:rPr>
                <w:sz w:val="1"/>
                <w:szCs w:val="1"/>
                <w:color w:val="auto"/>
              </w:rPr>
            </w:pPr>
          </w:p>
        </w:tc>
      </w:tr>
      <w:tr>
        <w:trPr>
          <w:trHeight w:val="209"/>
        </w:trPr>
        <w:tc>
          <w:tcPr>
            <w:tcW w:w="3020" w:type="dxa"/>
            <w:vAlign w:val="bottom"/>
          </w:tcPr>
          <w:p>
            <w:pPr>
              <w:ind w:left="20"/>
              <w:spacing w:after="0"/>
              <w:rPr>
                <w:sz w:val="20"/>
                <w:szCs w:val="20"/>
                <w:color w:val="auto"/>
              </w:rPr>
            </w:pPr>
            <w:r>
              <w:rPr>
                <w:rFonts w:ascii="Arial" w:cs="Arial" w:eastAsia="Arial" w:hAnsi="Arial"/>
                <w:sz w:val="18"/>
                <w:szCs w:val="18"/>
                <w:color w:val="auto"/>
              </w:rPr>
              <w:t>Balance at June 30, 2022</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auto"/>
              </w:rPr>
              <w:t>1</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ind w:left="60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ind w:left="52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ind w:right="31"/>
              <w:spacing w:after="0"/>
              <w:rPr>
                <w:sz w:val="20"/>
                <w:szCs w:val="20"/>
                <w:color w:val="auto"/>
              </w:rPr>
            </w:pPr>
            <w:r>
              <w:rPr>
                <w:rFonts w:ascii="Arial" w:cs="Arial" w:eastAsia="Arial" w:hAnsi="Arial"/>
                <w:sz w:val="18"/>
                <w:szCs w:val="18"/>
                <w:b w:val="1"/>
                <w:bCs w:val="1"/>
                <w:color w:val="auto"/>
              </w:rPr>
              <w:t>1,839</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(1,031 )</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(60 )</w:t>
            </w:r>
          </w:p>
        </w:tc>
        <w:tc>
          <w:tcPr>
            <w:tcW w:w="320" w:type="dxa"/>
            <w:vAlign w:val="bottom"/>
            <w:gridSpan w:val="2"/>
          </w:tcPr>
          <w:p>
            <w:pPr>
              <w:jc w:val="right"/>
              <w:ind w:right="16"/>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b w:val="1"/>
                <w:bCs w:val="1"/>
                <w:color w:val="auto"/>
              </w:rPr>
              <w:t>749</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2565400</wp:posOffset>
            </wp:positionH>
            <wp:positionV relativeFrom="paragraph">
              <wp:posOffset>-1814830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-1814830</wp:posOffset>
            </wp:positionV>
            <wp:extent cx="596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-1814830</wp:posOffset>
            </wp:positionV>
            <wp:extent cx="59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-1814830</wp:posOffset>
            </wp:positionV>
            <wp:extent cx="596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-1814830</wp:posOffset>
            </wp:positionV>
            <wp:extent cx="596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-1814830</wp:posOffset>
            </wp:positionV>
            <wp:extent cx="596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2565400</wp:posOffset>
            </wp:positionH>
            <wp:positionV relativeFrom="paragraph">
              <wp:posOffset>-170815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-170815</wp:posOffset>
            </wp:positionV>
            <wp:extent cx="596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-170815</wp:posOffset>
            </wp:positionV>
            <wp:extent cx="596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-170815</wp:posOffset>
            </wp:positionV>
            <wp:extent cx="596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-170815</wp:posOffset>
            </wp:positionV>
            <wp:extent cx="596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-170815</wp:posOffset>
            </wp:positionV>
            <wp:extent cx="596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173"/>
              <w:spacing w:after="0" w:line="13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72"/>
              <w:spacing w:after="0"/>
              <w:rPr>
                <w:sz w:val="20"/>
                <w:szCs w:val="20"/>
                <w:color w:val="auto"/>
              </w:rPr>
            </w:pPr>
            <w:r>
              <w:rPr>
                <w:rFonts w:ascii="Arial" w:cs="Arial" w:eastAsia="Arial" w:hAnsi="Arial"/>
                <w:sz w:val="14"/>
                <w:szCs w:val="14"/>
                <w:b w:val="1"/>
                <w:bCs w:val="1"/>
                <w:color w:val="auto"/>
              </w:rPr>
              <w:t>Non-voting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52"/>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53"/>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92"/>
              <w:spacing w:after="0" w:line="157" w:lineRule="exact"/>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172"/>
              <w:spacing w:after="0" w:line="157" w:lineRule="exact"/>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3"/>
                <w:szCs w:val="13"/>
                <w:color w:val="auto"/>
              </w:rPr>
            </w:pPr>
          </w:p>
        </w:tc>
        <w:tc>
          <w:tcPr>
            <w:tcW w:w="1000" w:type="dxa"/>
            <w:vAlign w:val="bottom"/>
            <w:gridSpan w:val="2"/>
          </w:tcPr>
          <w:p>
            <w:pPr>
              <w:ind w:left="100"/>
              <w:spacing w:after="0" w:line="157" w:lineRule="exact"/>
              <w:rPr>
                <w:sz w:val="20"/>
                <w:szCs w:val="20"/>
                <w:color w:val="auto"/>
              </w:rPr>
            </w:pPr>
            <w:r>
              <w:rPr>
                <w:rFonts w:ascii="Arial" w:cs="Arial" w:eastAsia="Arial" w:hAnsi="Arial"/>
                <w:sz w:val="14"/>
                <w:szCs w:val="14"/>
                <w:b w:val="1"/>
                <w:bCs w:val="1"/>
                <w:color w:val="auto"/>
              </w:rPr>
              <w:t>Preferred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line="157"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252"/>
              <w:spacing w:after="0" w:line="157" w:lineRule="exact"/>
              <w:rPr>
                <w:sz w:val="20"/>
                <w:szCs w:val="20"/>
                <w:color w:val="auto"/>
              </w:rPr>
            </w:pPr>
            <w:r>
              <w:rPr>
                <w:rFonts w:ascii="Arial" w:cs="Arial" w:eastAsia="Arial" w:hAnsi="Arial"/>
                <w:sz w:val="14"/>
                <w:szCs w:val="14"/>
                <w:b w:val="1"/>
                <w:bCs w:val="1"/>
                <w:color w:val="auto"/>
                <w:w w:val="99"/>
              </w:rPr>
              <w:t>(Deficit)</w:t>
            </w:r>
          </w:p>
        </w:tc>
        <w:tc>
          <w:tcPr>
            <w:tcW w:w="80" w:type="dxa"/>
            <w:vAlign w:val="bottom"/>
          </w:tcPr>
          <w:p>
            <w:pPr>
              <w:spacing w:after="0"/>
              <w:rPr>
                <w:sz w:val="13"/>
                <w:szCs w:val="13"/>
                <w:color w:val="auto"/>
              </w:rPr>
            </w:pPr>
          </w:p>
        </w:tc>
        <w:tc>
          <w:tcPr>
            <w:tcW w:w="1380" w:type="dxa"/>
            <w:vAlign w:val="bottom"/>
            <w:gridSpan w:val="2"/>
          </w:tcPr>
          <w:p>
            <w:pPr>
              <w:jc w:val="center"/>
              <w:ind w:right="33"/>
              <w:spacing w:after="0" w:line="157" w:lineRule="exact"/>
              <w:rPr>
                <w:sz w:val="20"/>
                <w:szCs w:val="20"/>
                <w:color w:val="auto"/>
              </w:rPr>
            </w:pPr>
            <w:r>
              <w:rPr>
                <w:rFonts w:ascii="Arial" w:cs="Arial" w:eastAsia="Arial" w:hAnsi="Arial"/>
                <w:sz w:val="14"/>
                <w:szCs w:val="14"/>
                <w:b w:val="1"/>
                <w:bCs w:val="1"/>
                <w:color w:val="auto"/>
              </w:rPr>
              <w:t>(Loss) Income,</w:t>
            </w:r>
          </w:p>
        </w:tc>
        <w:tc>
          <w:tcPr>
            <w:tcW w:w="100" w:type="dxa"/>
            <w:vAlign w:val="bottom"/>
          </w:tcPr>
          <w:p>
            <w:pPr>
              <w:spacing w:after="0"/>
              <w:rPr>
                <w:sz w:val="13"/>
                <w:szCs w:val="13"/>
                <w:color w:val="auto"/>
              </w:rPr>
            </w:pPr>
          </w:p>
        </w:tc>
        <w:tc>
          <w:tcPr>
            <w:tcW w:w="1240" w:type="dxa"/>
            <w:vAlign w:val="bottom"/>
            <w:gridSpan w:val="2"/>
          </w:tcPr>
          <w:p>
            <w:pPr>
              <w:jc w:val="right"/>
              <w:ind w:right="131"/>
              <w:spacing w:after="0" w:line="157"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2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(974 )</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(89 )</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298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70"/>
        </w:trPr>
        <w:tc>
          <w:tcPr>
            <w:tcW w:w="2980" w:type="dxa"/>
            <w:vAlign w:val="bottom"/>
            <w:shd w:val="clear" w:color="auto" w:fill="CFF0FC"/>
          </w:tcPr>
          <w:p>
            <w:pPr>
              <w:ind w:left="280"/>
              <w:spacing w:after="0" w:line="170" w:lineRule="exact"/>
              <w:rPr>
                <w:sz w:val="20"/>
                <w:szCs w:val="20"/>
                <w:color w:val="auto"/>
              </w:rPr>
            </w:pPr>
            <w:r>
              <w:rPr>
                <w:rFonts w:ascii="Arial" w:cs="Arial" w:eastAsia="Arial" w:hAnsi="Arial"/>
                <w:sz w:val="18"/>
                <w:szCs w:val="18"/>
                <w:color w:val="auto"/>
              </w:rPr>
              <w:t>Pension and OPEB liability</w:t>
            </w:r>
          </w:p>
        </w:tc>
        <w:tc>
          <w:tcPr>
            <w:tcW w:w="12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5"/>
        </w:trPr>
        <w:tc>
          <w:tcPr>
            <w:tcW w:w="29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w:t>
            </w:r>
          </w:p>
        </w:tc>
        <w:tc>
          <w:tcPr>
            <w:tcW w:w="120" w:type="dxa"/>
            <w:vAlign w:val="bottom"/>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980" w:type="dxa"/>
            <w:vAlign w:val="bottom"/>
          </w:tcPr>
          <w:p>
            <w:pPr>
              <w:ind w:left="280"/>
              <w:spacing w:after="0" w:line="170" w:lineRule="exact"/>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4"/>
                <w:szCs w:val="14"/>
                <w:color w:val="auto"/>
              </w:rPr>
            </w:pPr>
          </w:p>
        </w:tc>
        <w:tc>
          <w:tcPr>
            <w:tcW w:w="920" w:type="dxa"/>
            <w:vAlign w:val="bottom"/>
            <w:vMerge w:val="restart"/>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5"/>
        </w:trPr>
        <w:tc>
          <w:tcPr>
            <w:tcW w:w="2980" w:type="dxa"/>
            <w:vAlign w:val="bottom"/>
          </w:tcPr>
          <w:p>
            <w:pPr>
              <w:ind w:left="280"/>
              <w:spacing w:after="0"/>
              <w:rPr>
                <w:sz w:val="20"/>
                <w:szCs w:val="20"/>
                <w:color w:val="auto"/>
              </w:rPr>
            </w:pPr>
            <w:r>
              <w:rPr>
                <w:rFonts w:ascii="Arial" w:cs="Arial" w:eastAsia="Arial" w:hAnsi="Arial"/>
                <w:sz w:val="18"/>
                <w:szCs w:val="18"/>
                <w:color w:val="auto"/>
              </w:rPr>
              <w:t>adjustment</w:t>
            </w:r>
          </w:p>
        </w:tc>
        <w:tc>
          <w:tcPr>
            <w:tcW w:w="1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98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12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(226 )</w:t>
            </w: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Dividends on common stock</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(42 )</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16"/>
        </w:trPr>
        <w:tc>
          <w:tcPr>
            <w:tcW w:w="29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9"/>
        </w:trPr>
        <w:tc>
          <w:tcPr>
            <w:tcW w:w="2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June 30, 2021</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(1,012 )</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196"/>
        </w:trPr>
        <w:tc>
          <w:tcPr>
            <w:tcW w:w="2980" w:type="dxa"/>
            <w:vAlign w:val="bottom"/>
          </w:tcPr>
          <w:p>
            <w:pPr>
              <w:ind w:left="20"/>
              <w:spacing w:after="0" w:line="196" w:lineRule="exact"/>
              <w:rPr>
                <w:sz w:val="20"/>
                <w:szCs w:val="20"/>
                <w:color w:val="auto"/>
              </w:rPr>
            </w:pPr>
            <w:r>
              <w:rPr>
                <w:rFonts w:ascii="Arial" w:cs="Arial" w:eastAsia="Arial" w:hAnsi="Arial"/>
                <w:sz w:val="18"/>
                <w:szCs w:val="18"/>
                <w:color w:val="auto"/>
              </w:rPr>
              <w:t>Balance at December 31, 2021</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1</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ind w:left="58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ind w:left="500"/>
              <w:spacing w:after="0" w:line="196"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33"/>
              <w:spacing w:after="0" w:line="196" w:lineRule="exact"/>
              <w:rPr>
                <w:sz w:val="20"/>
                <w:szCs w:val="20"/>
                <w:color w:val="auto"/>
              </w:rPr>
            </w:pPr>
            <w:r>
              <w:rPr>
                <w:rFonts w:ascii="Arial" w:cs="Arial" w:eastAsia="Arial" w:hAnsi="Arial"/>
                <w:sz w:val="18"/>
                <w:szCs w:val="18"/>
                <w:color w:val="auto"/>
              </w:rPr>
              <w:t>1,832</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(1,126 )</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(73 )</w:t>
            </w:r>
          </w:p>
        </w:tc>
        <w:tc>
          <w:tcPr>
            <w:tcW w:w="320" w:type="dxa"/>
            <w:vAlign w:val="bottom"/>
            <w:gridSpan w:val="2"/>
          </w:tcPr>
          <w:p>
            <w:pPr>
              <w:jc w:val="right"/>
              <w:ind w:right="15"/>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line="196" w:lineRule="exact"/>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170"/>
        </w:trPr>
        <w:tc>
          <w:tcPr>
            <w:tcW w:w="2980" w:type="dxa"/>
            <w:vAlign w:val="bottom"/>
          </w:tcPr>
          <w:p>
            <w:pPr>
              <w:ind w:left="280"/>
              <w:spacing w:after="0" w:line="170" w:lineRule="exact"/>
              <w:rPr>
                <w:sz w:val="20"/>
                <w:szCs w:val="20"/>
                <w:color w:val="auto"/>
              </w:rPr>
            </w:pPr>
            <w:r>
              <w:rPr>
                <w:rFonts w:ascii="Arial" w:cs="Arial" w:eastAsia="Arial" w:hAnsi="Arial"/>
                <w:sz w:val="18"/>
                <w:szCs w:val="18"/>
                <w:color w:val="auto"/>
              </w:rPr>
              <w:t>Pension and OPEB liability</w:t>
            </w:r>
          </w:p>
        </w:tc>
        <w:tc>
          <w:tcPr>
            <w:tcW w:w="120" w:type="dxa"/>
            <w:vAlign w:val="bottom"/>
          </w:tcPr>
          <w:p>
            <w:pPr>
              <w:spacing w:after="0"/>
              <w:rPr>
                <w:sz w:val="14"/>
                <w:szCs w:val="14"/>
                <w:color w:val="auto"/>
              </w:rPr>
            </w:pPr>
          </w:p>
        </w:tc>
        <w:tc>
          <w:tcPr>
            <w:tcW w:w="92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(4 )</w:t>
            </w:r>
          </w:p>
        </w:tc>
        <w:tc>
          <w:tcPr>
            <w:tcW w:w="0" w:type="dxa"/>
            <w:vAlign w:val="bottom"/>
          </w:tcPr>
          <w:p>
            <w:pPr>
              <w:spacing w:after="0"/>
              <w:rPr>
                <w:sz w:val="1"/>
                <w:szCs w:val="1"/>
                <w:color w:val="auto"/>
              </w:rPr>
            </w:pPr>
          </w:p>
        </w:tc>
      </w:tr>
      <w:tr>
        <w:trPr>
          <w:trHeight w:val="235"/>
        </w:trPr>
        <w:tc>
          <w:tcPr>
            <w:tcW w:w="2980" w:type="dxa"/>
            <w:vAlign w:val="bottom"/>
          </w:tcPr>
          <w:p>
            <w:pPr>
              <w:ind w:left="280"/>
              <w:spacing w:after="0"/>
              <w:rPr>
                <w:sz w:val="20"/>
                <w:szCs w:val="20"/>
                <w:color w:val="auto"/>
              </w:rPr>
            </w:pPr>
            <w:r>
              <w:rPr>
                <w:rFonts w:ascii="Arial" w:cs="Arial" w:eastAsia="Arial" w:hAnsi="Arial"/>
                <w:sz w:val="18"/>
                <w:szCs w:val="18"/>
                <w:color w:val="auto"/>
              </w:rPr>
              <w:t>adjustment</w:t>
            </w:r>
          </w:p>
        </w:tc>
        <w:tc>
          <w:tcPr>
            <w:tcW w:w="1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980" w:type="dxa"/>
            <w:vAlign w:val="bottom"/>
            <w:shd w:val="clear" w:color="auto" w:fill="CFF0FC"/>
          </w:tcPr>
          <w:p>
            <w:pPr>
              <w:ind w:left="280"/>
              <w:spacing w:after="0" w:line="170" w:lineRule="exact"/>
              <w:rPr>
                <w:sz w:val="20"/>
                <w:szCs w:val="20"/>
                <w:color w:val="auto"/>
              </w:rPr>
            </w:pPr>
            <w:r>
              <w:rPr>
                <w:rFonts w:ascii="Arial" w:cs="Arial" w:eastAsia="Arial" w:hAnsi="Arial"/>
                <w:sz w:val="18"/>
                <w:szCs w:val="18"/>
                <w:color w:val="auto"/>
              </w:rPr>
              <w:t>Foreign currency translation</w:t>
            </w:r>
          </w:p>
        </w:tc>
        <w:tc>
          <w:tcPr>
            <w:tcW w:w="12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(8 )</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r>
        <w:trPr>
          <w:trHeight w:val="235"/>
        </w:trPr>
        <w:tc>
          <w:tcPr>
            <w:tcW w:w="29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w:t>
            </w:r>
          </w:p>
        </w:tc>
        <w:tc>
          <w:tcPr>
            <w:tcW w:w="120" w:type="dxa"/>
            <w:vAlign w:val="bottom"/>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280"/>
              <w:spacing w:after="0"/>
              <w:rPr>
                <w:sz w:val="20"/>
                <w:szCs w:val="20"/>
                <w:color w:val="auto"/>
              </w:rPr>
            </w:pPr>
            <w:r>
              <w:rPr>
                <w:rFonts w:ascii="Arial" w:cs="Arial" w:eastAsia="Arial" w:hAnsi="Arial"/>
                <w:sz w:val="18"/>
                <w:szCs w:val="18"/>
                <w:color w:val="auto"/>
              </w:rPr>
              <w:t>Interest rate swaps</w:t>
            </w:r>
          </w:p>
        </w:tc>
        <w:tc>
          <w:tcPr>
            <w:tcW w:w="12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Issuance of common stock</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16"/>
        </w:trPr>
        <w:tc>
          <w:tcPr>
            <w:tcW w:w="298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12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(115 )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(115 )</w:t>
            </w: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Dividends on common stock</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(41 )</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(41 )</w:t>
            </w:r>
          </w:p>
        </w:tc>
        <w:tc>
          <w:tcPr>
            <w:tcW w:w="0" w:type="dxa"/>
            <w:vAlign w:val="bottom"/>
          </w:tcPr>
          <w:p>
            <w:pPr>
              <w:spacing w:after="0"/>
              <w:rPr>
                <w:sz w:val="1"/>
                <w:szCs w:val="1"/>
                <w:color w:val="auto"/>
              </w:rPr>
            </w:pPr>
          </w:p>
        </w:tc>
      </w:tr>
      <w:tr>
        <w:trPr>
          <w:trHeight w:val="216"/>
        </w:trPr>
        <w:tc>
          <w:tcPr>
            <w:tcW w:w="29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251</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251</w:t>
            </w:r>
          </w:p>
        </w:tc>
        <w:tc>
          <w:tcPr>
            <w:tcW w:w="0" w:type="dxa"/>
            <w:vAlign w:val="bottom"/>
          </w:tcPr>
          <w:p>
            <w:pPr>
              <w:spacing w:after="0"/>
              <w:rPr>
                <w:sz w:val="1"/>
                <w:szCs w:val="1"/>
                <w:color w:val="auto"/>
              </w:rPr>
            </w:pPr>
          </w:p>
        </w:tc>
      </w:tr>
      <w:tr>
        <w:trPr>
          <w:trHeight w:val="249"/>
        </w:trPr>
        <w:tc>
          <w:tcPr>
            <w:tcW w:w="2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June 30, 2022</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1,839</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(1,031 )</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(60 )</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749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-1668780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-1651635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-1668780</wp:posOffset>
            </wp:positionV>
            <wp:extent cx="596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-1651635</wp:posOffset>
            </wp:positionV>
            <wp:extent cx="596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-1668780</wp:posOffset>
            </wp:positionV>
            <wp:extent cx="596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-1651635</wp:posOffset>
            </wp:positionV>
            <wp:extent cx="596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-1668780</wp:posOffset>
            </wp:positionV>
            <wp:extent cx="596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-1651635</wp:posOffset>
            </wp:positionV>
            <wp:extent cx="596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-1668780</wp:posOffset>
            </wp:positionV>
            <wp:extent cx="596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-1651635</wp:posOffset>
            </wp:positionV>
            <wp:extent cx="596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-1668780</wp:posOffset>
            </wp:positionV>
            <wp:extent cx="596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-1651635</wp:posOffset>
            </wp:positionV>
            <wp:extent cx="596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-24765</wp:posOffset>
            </wp:positionV>
            <wp:extent cx="596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-7620</wp:posOffset>
            </wp:positionV>
            <wp:extent cx="596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-24765</wp:posOffset>
            </wp:positionV>
            <wp:extent cx="596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-7620</wp:posOffset>
            </wp:positionV>
            <wp:extent cx="596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-24765</wp:posOffset>
            </wp:positionV>
            <wp:extent cx="596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-7620</wp:posOffset>
            </wp:positionV>
            <wp:extent cx="596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-24765</wp:posOffset>
            </wp:positionV>
            <wp:extent cx="596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-7620</wp:posOffset>
            </wp:positionV>
            <wp:extent cx="596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-24765</wp:posOffset>
            </wp:positionV>
            <wp:extent cx="596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-7620</wp:posOffset>
            </wp:positionV>
            <wp:extent cx="596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Allison Transmission Holdings,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OVERVIEW</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Overview</w:t>
      </w:r>
    </w:p>
    <w:p>
      <w:pPr>
        <w:spacing w:after="0" w:line="155" w:lineRule="exact"/>
        <w:rPr>
          <w:sz w:val="20"/>
          <w:szCs w:val="20"/>
          <w:color w:val="auto"/>
        </w:rPr>
      </w:pPr>
    </w:p>
    <w:p>
      <w:pPr>
        <w:ind w:right="140" w:firstLine="499"/>
        <w:spacing w:after="0" w:line="298" w:lineRule="auto"/>
        <w:rPr>
          <w:sz w:val="20"/>
          <w:szCs w:val="20"/>
          <w:color w:val="auto"/>
        </w:rPr>
      </w:pPr>
      <w:r>
        <w:rPr>
          <w:rFonts w:ascii="Arial" w:cs="Arial" w:eastAsia="Arial" w:hAnsi="Arial"/>
          <w:sz w:val="18"/>
          <w:szCs w:val="18"/>
          <w:color w:val="auto"/>
        </w:rPr>
        <w:t>Allison Transmission Holdings, Inc. and its subsidiaries (“Allison” or the “Company”)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is traded on the New York Stock Exchange under the symbol, “ALSN”.</w:t>
      </w:r>
    </w:p>
    <w:p>
      <w:pPr>
        <w:spacing w:after="0" w:line="64" w:lineRule="exact"/>
        <w:rPr>
          <w:sz w:val="20"/>
          <w:szCs w:val="20"/>
          <w:color w:val="auto"/>
        </w:rPr>
      </w:pPr>
    </w:p>
    <w:p>
      <w:pPr>
        <w:jc w:val="both"/>
        <w:ind w:right="280" w:firstLine="499"/>
        <w:spacing w:after="0" w:line="307" w:lineRule="auto"/>
        <w:rPr>
          <w:sz w:val="20"/>
          <w:szCs w:val="20"/>
          <w:color w:val="auto"/>
        </w:rPr>
      </w:pPr>
      <w:r>
        <w:rPr>
          <w:rFonts w:ascii="Arial" w:cs="Arial" w:eastAsia="Arial" w:hAnsi="Arial"/>
          <w:sz w:val="18"/>
          <w:szCs w:val="18"/>
          <w:color w:val="auto"/>
        </w:rPr>
        <w:t>Although approximately 76% of revenues were generated in North America in 2021, the Company has a global presence by serving customers in Asia, Europe, South America and Africa. The Company serves customers through an independent network of approximately 1,400 independent distributor and dealer locations worldwide.</w:t>
      </w:r>
    </w:p>
    <w:p>
      <w:pPr>
        <w:spacing w:after="0" w:line="55" w:lineRule="exact"/>
        <w:rPr>
          <w:sz w:val="20"/>
          <w:szCs w:val="20"/>
          <w:color w:val="auto"/>
        </w:rPr>
      </w:pPr>
    </w:p>
    <w:p>
      <w:pPr>
        <w:ind w:firstLine="499"/>
        <w:spacing w:after="0" w:line="293" w:lineRule="auto"/>
        <w:rPr>
          <w:sz w:val="20"/>
          <w:szCs w:val="20"/>
          <w:color w:val="auto"/>
        </w:rPr>
      </w:pPr>
      <w:r>
        <w:rPr>
          <w:rFonts w:ascii="Arial" w:cs="Arial" w:eastAsia="Arial" w:hAnsi="Arial"/>
          <w:sz w:val="18"/>
          <w:szCs w:val="18"/>
          <w:color w:val="auto"/>
        </w:rPr>
        <w:t>During the first half of 2022, global markets continued to experience supply chain, labor and raw material constraints, as a result of factors including the COVID-19 pandemic and the war in Ukraine, that created volatility in the Company's performance. As a result, the Company experienced, and expects to continue to experience, raw material and component part price inflation, increased freight and logistics costs, increased labor costs as a result of labor shortages and increased foreign exchange volatility. In addition, despite increased customer demand, the Company's net sales for the first half of 2022 were negatively impacted as a result of its customers’ inability to secure components from the broader commercial vehicle supply base which resulted in reduced commercial vehicle build schedules. The Company expects that commercial vehicle build schedules will continue to be negatively impacted by the availability of components throughout the remainder of 2022.</w:t>
      </w:r>
    </w:p>
    <w:p>
      <w:pPr>
        <w:spacing w:after="0" w:line="82" w:lineRule="exact"/>
        <w:rPr>
          <w:sz w:val="20"/>
          <w:szCs w:val="20"/>
          <w:color w:val="auto"/>
        </w:rPr>
      </w:pPr>
    </w:p>
    <w:p>
      <w:pPr>
        <w:ind w:right="40" w:firstLine="499"/>
        <w:spacing w:after="0" w:line="298" w:lineRule="auto"/>
        <w:rPr>
          <w:sz w:val="20"/>
          <w:szCs w:val="20"/>
          <w:color w:val="auto"/>
        </w:rPr>
      </w:pPr>
      <w:r>
        <w:rPr>
          <w:rFonts w:ascii="Arial" w:cs="Arial" w:eastAsia="Arial" w:hAnsi="Arial"/>
          <w:sz w:val="18"/>
          <w:szCs w:val="18"/>
          <w:color w:val="auto"/>
        </w:rPr>
        <w:t>To limit the spread of variants and sub-variants of COVID-19, governments have taken, and may in the future take, various actions that have impacted, and may continue to impact, the Company's employees, operations, customers and supply base, including the administration or mandate of vaccinations, travel bans and restrictions, quarantines, curfews, stay-at-home orders, social distancing guidelines and business shutdowns and closures.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SUMMARY OF SIGNIFICANT ACCOUNTING POLICIES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55" w:lineRule="exact"/>
        <w:rPr>
          <w:sz w:val="20"/>
          <w:szCs w:val="20"/>
          <w:color w:val="auto"/>
        </w:rPr>
      </w:pPr>
    </w:p>
    <w:p>
      <w:pPr>
        <w:ind w:right="120" w:firstLine="499"/>
        <w:spacing w:after="0" w:line="295" w:lineRule="auto"/>
        <w:rPr>
          <w:sz w:val="20"/>
          <w:szCs w:val="20"/>
          <w:color w:val="auto"/>
        </w:rPr>
      </w:pPr>
      <w:r>
        <w:rPr>
          <w:rFonts w:ascii="Arial" w:cs="Arial" w:eastAsia="Arial" w:hAnsi="Arial"/>
          <w:sz w:val="18"/>
          <w:szCs w:val="18"/>
          <w:color w:val="auto"/>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right="120" w:firstLine="494"/>
        <w:spacing w:after="0" w:line="294" w:lineRule="auto"/>
        <w:rPr>
          <w:sz w:val="20"/>
          <w:szCs w:val="20"/>
          <w:color w:val="auto"/>
        </w:rPr>
      </w:pPr>
      <w:r>
        <w:rPr>
          <w:rFonts w:ascii="Arial" w:cs="Arial" w:eastAsia="Arial" w:hAnsi="Arial"/>
          <w:sz w:val="18"/>
          <w:szCs w:val="18"/>
          <w:color w:val="auto"/>
        </w:rPr>
        <w:t>These condensed consolidated financial statements present the financial position, results of comprehensive income, cash flows and statements of stockholders’ equity of the Company. The condensed consolidated financial statements should be read in conjunction with the audited consolidated financial statements included in the Company’s Form 10-K for the year ended December 31, 2021 as filed with the Securities and Exchange Commission on February 17, 2022. The interim period financial results for the three- and six- month periods presented are not necessarily indicative of results to be expected for any other interim period or for the entire year.</w:t>
      </w:r>
    </w:p>
    <w:p>
      <w:pPr>
        <w:spacing w:after="0" w:line="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2" w:lineRule="exact"/>
        <w:rPr>
          <w:sz w:val="20"/>
          <w:szCs w:val="20"/>
          <w:color w:val="auto"/>
        </w:rPr>
      </w:pPr>
    </w:p>
    <w:p>
      <w:pPr>
        <w:ind w:firstLine="494"/>
        <w:spacing w:after="0" w:line="290"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allowances, government price adjustments, fair market values and future cash flows associated with goodwill, indefinite life intangibles, definite life intangibles, long-lived asset impairment tests, useful lives for depreciation and amortization, warranty liabilities, core deposit liabilities, environmental liabilities, determination of discount rate and other assumptions for pension and other post-retirement benefit ("OPEB") expense, determination of discount rate and period for leases, income taxes and deferred tax valuation allowances, derivative valuation, assumptions for business combinations and contingencies. The Company’s accounting policies involve the application of judgments and assumptions made by management that include inherent risks and uncertainties. Due to the uncertainty surrounding global economic conditions, including as a result of the ongoing COVID-19 pandemic and the war in Ukraine, and the related impact on our supply chain, demand for our products, foreign exchange rates and the cost and availability of raw materials, labor, and transport, actual results could differ materially from these estimates and assumptions used in preparation of the financial statements including, but not limited to, future cash flows associated with goodwill, indefinite life intangibles, definite life intangibles, long-lived impairment tests, determination of discount rate and other assumptions for pension and OPEB expense and income taxes. Changes in estimates are recorded in results of operations in the period that the events or circumstances giving rise to such changes occur.</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42" w:lineRule="exact"/>
        <w:rPr>
          <w:sz w:val="20"/>
          <w:szCs w:val="20"/>
          <w:color w:val="auto"/>
        </w:rPr>
      </w:pPr>
    </w:p>
    <w:p>
      <w:pPr>
        <w:ind w:right="200" w:firstLine="499"/>
        <w:spacing w:after="0" w:line="298" w:lineRule="auto"/>
        <w:rPr>
          <w:sz w:val="20"/>
          <w:szCs w:val="20"/>
          <w:color w:val="auto"/>
        </w:rPr>
      </w:pPr>
      <w:r>
        <w:rPr>
          <w:rFonts w:ascii="Arial" w:cs="Arial" w:eastAsia="Arial" w:hAnsi="Arial"/>
          <w:sz w:val="18"/>
          <w:szCs w:val="18"/>
          <w:color w:val="auto"/>
        </w:rPr>
        <w:t>In October 2021, the Financial Accounting Standards Board ("FASB") issued authoritative accounting guidance that requires contract assets and contract liabilities acquired in a business combination to be recognized as if the acquirer originated the contracts. The guidance will be effective for the Company in fiscal year 2023, and the Company does not plan to early adopt. The guidance will be applied prospectively to acquisitions occurring on or after the effective date.</w:t>
      </w:r>
    </w:p>
    <w:p>
      <w:pPr>
        <w:spacing w:after="0" w:line="64" w:lineRule="exact"/>
        <w:rPr>
          <w:sz w:val="20"/>
          <w:szCs w:val="20"/>
          <w:color w:val="auto"/>
        </w:rPr>
      </w:pPr>
    </w:p>
    <w:p>
      <w:pPr>
        <w:ind w:right="80" w:firstLine="499"/>
        <w:spacing w:after="0" w:line="304" w:lineRule="auto"/>
        <w:rPr>
          <w:sz w:val="20"/>
          <w:szCs w:val="20"/>
          <w:color w:val="auto"/>
        </w:rPr>
      </w:pPr>
      <w:r>
        <w:rPr>
          <w:rFonts w:ascii="Arial" w:cs="Arial" w:eastAsia="Arial" w:hAnsi="Arial"/>
          <w:sz w:val="18"/>
          <w:szCs w:val="18"/>
          <w:color w:val="auto"/>
        </w:rPr>
        <w:t>In June 2022, the FASB issued authoritative accounting guidance requires that investments in equity securities which are measured at fair value and are subject to contractual sale restrictions should not reflect the contractual sale restriction in its fair value measurement. The guidance will be effective for the Company in fiscal year 2024, and the Company does not plan to early adopt. Management does not expect the adoption of this guidance to have an impact on the Company's consolidated financial statements.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REVENUE</w:t>
      </w:r>
    </w:p>
    <w:p>
      <w:pPr>
        <w:spacing w:after="0" w:line="144" w:lineRule="exact"/>
        <w:rPr>
          <w:sz w:val="20"/>
          <w:szCs w:val="20"/>
          <w:color w:val="auto"/>
        </w:rPr>
      </w:pPr>
    </w:p>
    <w:p>
      <w:pPr>
        <w:ind w:right="40" w:firstLine="494"/>
        <w:spacing w:after="0" w:line="295" w:lineRule="auto"/>
        <w:rPr>
          <w:sz w:val="20"/>
          <w:szCs w:val="20"/>
          <w:color w:val="auto"/>
        </w:rPr>
      </w:pPr>
      <w:r>
        <w:rPr>
          <w:rFonts w:ascii="Arial" w:cs="Arial" w:eastAsia="Arial" w:hAnsi="Arial"/>
          <w:sz w:val="18"/>
          <w:szCs w:val="18"/>
          <w:color w:val="auto"/>
        </w:rPr>
        <w:t>Revenue is recognized as each distinct performance obligation within a contract is satisfied. A performance obligation is a promise in a contract to transfer a distinct good or service to the customer. The Company enters into long-term agreements (“LTAs”) and distributor agreements with certain customers. The LTAs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65" w:lineRule="exact"/>
        <w:rPr>
          <w:sz w:val="20"/>
          <w:szCs w:val="20"/>
          <w:color w:val="auto"/>
        </w:rPr>
      </w:pPr>
    </w:p>
    <w:p>
      <w:pPr>
        <w:ind w:right="200" w:firstLine="494"/>
        <w:spacing w:after="0" w:line="307" w:lineRule="auto"/>
        <w:rPr>
          <w:sz w:val="20"/>
          <w:szCs w:val="20"/>
          <w:color w:val="auto"/>
        </w:rPr>
      </w:pPr>
      <w:r>
        <w:rPr>
          <w:rFonts w:ascii="Arial" w:cs="Arial" w:eastAsia="Arial" w:hAnsi="Arial"/>
          <w:sz w:val="18"/>
          <w:szCs w:val="18"/>
          <w:color w:val="auto"/>
        </w:rPr>
        <w:t>Some of the Company's contracts include multiple performance obligations, most commonly the sale of both a transmission and extended transmission coverage ("ETC"). The Company allocates the contract’s transaction price to each performance obligation based on the standalone selling price of each distinct good or service in the contract.</w:t>
      </w:r>
    </w:p>
    <w:p>
      <w:pPr>
        <w:spacing w:after="0" w:line="55" w:lineRule="exact"/>
        <w:rPr>
          <w:sz w:val="20"/>
          <w:szCs w:val="20"/>
          <w:color w:val="auto"/>
        </w:rPr>
      </w:pPr>
    </w:p>
    <w:p>
      <w:pPr>
        <w:ind w:right="500" w:firstLine="494"/>
        <w:spacing w:after="0" w:line="319" w:lineRule="auto"/>
        <w:rPr>
          <w:sz w:val="20"/>
          <w:szCs w:val="20"/>
          <w:color w:val="auto"/>
        </w:rPr>
      </w:pPr>
      <w:r>
        <w:rPr>
          <w:rFonts w:ascii="Arial" w:cs="Arial" w:eastAsia="Arial" w:hAnsi="Arial"/>
          <w:sz w:val="17"/>
          <w:szCs w:val="17"/>
          <w:color w:val="auto"/>
        </w:rPr>
        <w:t>The Company may also use volume-based discounts and rebates as marketing incentives in the sales of both vehicle propulsion solutions and service parts, which are accounted for as variable consideration. The Company records the impact of the incentives as a reduction to revenue when it is determined that the adjustment is not likely to reverse, historically on a quarterly basis. The Company estimates the impact of all other incentives based on the related sales and market conditions in the end market vocation. The Company recorded no material adjustments based on variable consideration for any of the three or six months ended June 30, 2022 or 2021.</w:t>
      </w:r>
    </w:p>
    <w:p>
      <w:pPr>
        <w:spacing w:after="0" w:line="49" w:lineRule="exact"/>
        <w:rPr>
          <w:sz w:val="20"/>
          <w:szCs w:val="20"/>
          <w:color w:val="auto"/>
        </w:rPr>
      </w:pPr>
    </w:p>
    <w:p>
      <w:pPr>
        <w:ind w:right="60" w:firstLine="494"/>
        <w:spacing w:after="0" w:line="298" w:lineRule="auto"/>
        <w:rPr>
          <w:sz w:val="20"/>
          <w:szCs w:val="20"/>
          <w:color w:val="auto"/>
        </w:rPr>
      </w:pPr>
      <w:r>
        <w:rPr>
          <w:rFonts w:ascii="Arial" w:cs="Arial" w:eastAsia="Arial" w:hAnsi="Arial"/>
          <w:sz w:val="18"/>
          <w:szCs w:val="18"/>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June 30, 2022 and December 31, 2021. See "Note J. Deferred Revenue” for more information, including the amount of revenue earned during each of the three and six months ended June 30, 2022 and 2021 that had been previously deferred. The Company had no material contract assets as of either June 30, 2022 or December 31, 2021.</w:t>
      </w:r>
    </w:p>
    <w:p>
      <w:pPr>
        <w:spacing w:after="0" w:line="63" w:lineRule="exact"/>
        <w:rPr>
          <w:sz w:val="20"/>
          <w:szCs w:val="20"/>
          <w:color w:val="auto"/>
        </w:rPr>
      </w:pPr>
    </w:p>
    <w:p>
      <w:pPr>
        <w:jc w:val="both"/>
        <w:ind w:right="100" w:firstLine="494"/>
        <w:spacing w:after="0" w:line="307" w:lineRule="auto"/>
        <w:rPr>
          <w:sz w:val="20"/>
          <w:szCs w:val="20"/>
          <w:color w:val="auto"/>
        </w:rPr>
      </w:pPr>
      <w:r>
        <w:rPr>
          <w:rFonts w:ascii="Arial" w:cs="Arial" w:eastAsia="Arial" w:hAnsi="Arial"/>
          <w:sz w:val="18"/>
          <w:szCs w:val="18"/>
          <w:color w:val="auto"/>
        </w:rPr>
        <w:t>The Company has one operating segment and reportable segment. The Company is in one line of business, which is the manufacture and distribution of vehicle propulsion solutions. The following presents disaggregated revenue by categories that best depict how the nature, amount, timing and uncertainty of revenue and cash flows are affected by economic factors (dollars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700" w:type="dxa"/>
            <w:vAlign w:val="bottom"/>
            <w:tcBorders>
              <w:bottom w:val="single" w:sz="8" w:color="auto"/>
            </w:tcBorders>
            <w:gridSpan w:val="5"/>
          </w:tcPr>
          <w:p>
            <w:pPr>
              <w:jc w:val="right"/>
              <w:ind w:right="29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r>
      <w:tr>
        <w:trPr>
          <w:trHeight w:val="209"/>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North America On-Highway</w:t>
            </w:r>
          </w:p>
        </w:tc>
        <w:tc>
          <w:tcPr>
            <w:tcW w:w="12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599"/>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340</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686</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621</w:t>
            </w:r>
          </w:p>
        </w:tc>
      </w:tr>
      <w:tr>
        <w:trPr>
          <w:trHeight w:val="216"/>
        </w:trPr>
        <w:tc>
          <w:tcPr>
            <w:tcW w:w="4560" w:type="dxa"/>
            <w:vAlign w:val="bottom"/>
          </w:tcPr>
          <w:p>
            <w:pPr>
              <w:ind w:left="20"/>
              <w:spacing w:after="0"/>
              <w:rPr>
                <w:sz w:val="20"/>
                <w:szCs w:val="20"/>
                <w:color w:val="auto"/>
              </w:rPr>
            </w:pPr>
            <w:r>
              <w:rPr>
                <w:rFonts w:ascii="Arial" w:cs="Arial" w:eastAsia="Arial" w:hAnsi="Arial"/>
                <w:sz w:val="18"/>
                <w:szCs w:val="18"/>
                <w:color w:val="auto"/>
              </w:rPr>
              <w:t>North America Off-Highway</w:t>
            </w: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b w:val="1"/>
                <w:bCs w:val="1"/>
                <w:color w:val="auto"/>
              </w:rPr>
              <w:t>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w:t>
            </w:r>
          </w:p>
        </w:tc>
      </w:tr>
      <w:tr>
        <w:trPr>
          <w:trHeight w:val="216"/>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Defense</w:t>
            </w:r>
          </w:p>
        </w:tc>
        <w:tc>
          <w:tcPr>
            <w:tcW w:w="1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29</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64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93</w:t>
            </w:r>
          </w:p>
        </w:tc>
      </w:tr>
      <w:tr>
        <w:trPr>
          <w:trHeight w:val="216"/>
        </w:trPr>
        <w:tc>
          <w:tcPr>
            <w:tcW w:w="4560" w:type="dxa"/>
            <w:vAlign w:val="bottom"/>
          </w:tcPr>
          <w:p>
            <w:pPr>
              <w:ind w:left="20"/>
              <w:spacing w:after="0"/>
              <w:rPr>
                <w:sz w:val="20"/>
                <w:szCs w:val="20"/>
                <w:color w:val="auto"/>
              </w:rPr>
            </w:pPr>
            <w:r>
              <w:rPr>
                <w:rFonts w:ascii="Arial" w:cs="Arial" w:eastAsia="Arial" w:hAnsi="Arial"/>
                <w:sz w:val="18"/>
                <w:szCs w:val="18"/>
                <w:color w:val="auto"/>
              </w:rPr>
              <w:t>Outside North America On-Highway</w:t>
            </w: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b w:val="1"/>
                <w:bCs w:val="1"/>
                <w:color w:val="auto"/>
              </w:rPr>
              <w:t>105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b w:val="1"/>
                <w:bCs w:val="1"/>
                <w:color w:val="auto"/>
              </w:rPr>
              <w:t>214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182</w:t>
            </w:r>
          </w:p>
        </w:tc>
      </w:tr>
      <w:tr>
        <w:trPr>
          <w:trHeight w:val="216"/>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Outside North America Off-Highway</w:t>
            </w:r>
          </w:p>
        </w:tc>
        <w:tc>
          <w:tcPr>
            <w:tcW w:w="1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32</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62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34</w:t>
            </w:r>
          </w:p>
        </w:tc>
      </w:tr>
      <w:tr>
        <w:trPr>
          <w:trHeight w:val="216"/>
        </w:trPr>
        <w:tc>
          <w:tcPr>
            <w:tcW w:w="4560" w:type="dxa"/>
            <w:vAlign w:val="bottom"/>
          </w:tcPr>
          <w:p>
            <w:pPr>
              <w:ind w:left="20"/>
              <w:spacing w:after="0"/>
              <w:rPr>
                <w:sz w:val="20"/>
                <w:szCs w:val="20"/>
                <w:color w:val="auto"/>
              </w:rPr>
            </w:pPr>
            <w:r>
              <w:rPr>
                <w:rFonts w:ascii="Arial" w:cs="Arial" w:eastAsia="Arial" w:hAnsi="Arial"/>
                <w:sz w:val="18"/>
                <w:szCs w:val="18"/>
                <w:color w:val="auto"/>
              </w:rPr>
              <w:t>Service Parts, Support Equipment and Other</w:t>
            </w:r>
          </w:p>
        </w:tc>
        <w:tc>
          <w:tcPr>
            <w:tcW w:w="12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138</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277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250</w:t>
            </w:r>
          </w:p>
        </w:tc>
      </w:tr>
      <w:tr>
        <w:trPr>
          <w:trHeight w:val="249"/>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Net Sales</w:t>
            </w:r>
          </w:p>
        </w:tc>
        <w:tc>
          <w:tcPr>
            <w:tcW w:w="12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664</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1,341</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1,191</w:t>
            </w:r>
          </w:p>
        </w:tc>
      </w:tr>
      <w:tr>
        <w:trPr>
          <w:trHeight w:val="618"/>
        </w:trPr>
        <w:tc>
          <w:tcPr>
            <w:tcW w:w="456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24"/>
        </w:trPr>
        <w:tc>
          <w:tcPr>
            <w:tcW w:w="45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-521970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-504825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-521970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-504825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-521970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-504825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INVENTORIES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ind w:right="395"/>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580" w:type="dxa"/>
            <w:vAlign w:val="bottom"/>
          </w:tcPr>
          <w:p>
            <w:pPr>
              <w:spacing w:after="0"/>
              <w:rPr>
                <w:sz w:val="16"/>
                <w:szCs w:val="16"/>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2021</w:t>
            </w:r>
          </w:p>
        </w:tc>
      </w:tr>
      <w:tr>
        <w:trPr>
          <w:trHeight w:val="209"/>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Purchased parts and raw materials</w:t>
            </w:r>
          </w:p>
        </w:tc>
        <w:tc>
          <w:tcPr>
            <w:tcW w:w="1160" w:type="dxa"/>
            <w:vAlign w:val="bottom"/>
            <w:shd w:val="clear" w:color="auto" w:fill="CFF0FC"/>
          </w:tcPr>
          <w:p>
            <w:pPr>
              <w:jc w:val="right"/>
              <w:ind w:right="959"/>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108</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101</w:t>
            </w:r>
          </w:p>
        </w:tc>
      </w:tr>
      <w:tr>
        <w:trPr>
          <w:trHeight w:val="216"/>
        </w:trPr>
        <w:tc>
          <w:tcPr>
            <w:tcW w:w="758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116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rPr>
              <w:t>12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35"/>
              <w:spacing w:after="0"/>
              <w:rPr>
                <w:sz w:val="20"/>
                <w:szCs w:val="20"/>
                <w:color w:val="auto"/>
              </w:rPr>
            </w:pPr>
            <w:r>
              <w:rPr>
                <w:rFonts w:ascii="Arial" w:cs="Arial" w:eastAsia="Arial" w:hAnsi="Arial"/>
                <w:sz w:val="18"/>
                <w:szCs w:val="18"/>
                <w:color w:val="auto"/>
              </w:rPr>
              <w:t>8</w:t>
            </w:r>
          </w:p>
        </w:tc>
      </w:tr>
      <w:tr>
        <w:trPr>
          <w:trHeight w:val="216"/>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 parts</w:t>
            </w:r>
          </w:p>
        </w:tc>
        <w:tc>
          <w:tcPr>
            <w:tcW w:w="11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45</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44</w:t>
            </w:r>
          </w:p>
        </w:tc>
      </w:tr>
      <w:tr>
        <w:trPr>
          <w:trHeight w:val="216"/>
        </w:trPr>
        <w:tc>
          <w:tcPr>
            <w:tcW w:w="758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1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51</w:t>
            </w:r>
          </w:p>
        </w:tc>
      </w:tr>
      <w:tr>
        <w:trPr>
          <w:trHeight w:val="249"/>
        </w:trPr>
        <w:tc>
          <w:tcPr>
            <w:tcW w:w="75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inventories</w:t>
            </w:r>
          </w:p>
        </w:tc>
        <w:tc>
          <w:tcPr>
            <w:tcW w:w="1160" w:type="dxa"/>
            <w:vAlign w:val="bottom"/>
            <w:tcBorders>
              <w:bottom w:val="single" w:sz="8" w:color="auto"/>
            </w:tcBorders>
            <w:shd w:val="clear" w:color="auto" w:fill="CFF0FC"/>
          </w:tcPr>
          <w:p>
            <w:pPr>
              <w:jc w:val="right"/>
              <w:ind w:right="959"/>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228</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-24765</wp:posOffset>
            </wp:positionV>
            <wp:extent cx="1111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-7620</wp:posOffset>
            </wp:positionV>
            <wp:extent cx="1111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17" w:lineRule="exact"/>
        <w:rPr>
          <w:sz w:val="20"/>
          <w:szCs w:val="20"/>
          <w:color w:val="auto"/>
        </w:rPr>
      </w:pPr>
    </w:p>
    <w:p>
      <w:pPr>
        <w:ind w:right="220" w:firstLine="494"/>
        <w:spacing w:after="0" w:line="307"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L. Other Current Liabilities” for more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GOODWILL AND OTHER INTANGIBLE ASSETS</w:t>
      </w:r>
    </w:p>
    <w:p>
      <w:pPr>
        <w:spacing w:after="0" w:line="144" w:lineRule="exact"/>
        <w:rPr>
          <w:sz w:val="20"/>
          <w:szCs w:val="20"/>
          <w:color w:val="auto"/>
        </w:rPr>
      </w:pPr>
    </w:p>
    <w:p>
      <w:pPr>
        <w:ind w:right="380" w:firstLine="494"/>
        <w:spacing w:after="0" w:line="333" w:lineRule="auto"/>
        <w:rPr>
          <w:sz w:val="20"/>
          <w:szCs w:val="20"/>
          <w:color w:val="auto"/>
        </w:rPr>
      </w:pPr>
      <w:r>
        <w:rPr>
          <w:rFonts w:ascii="Arial" w:cs="Arial" w:eastAsia="Arial" w:hAnsi="Arial"/>
          <w:sz w:val="18"/>
          <w:szCs w:val="18"/>
          <w:color w:val="auto"/>
        </w:rPr>
        <w:t>As of June 30, 2022 and December 31, 2021, the carrying value of the Company’s Goodwill was $2,076 million and $2,064 million, respectively.</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presents a summary of other intangible assets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June 30, 2022</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33"/>
        </w:trPr>
        <w:tc>
          <w:tcPr>
            <w:tcW w:w="4280" w:type="dxa"/>
            <w:vAlign w:val="bottom"/>
          </w:tcPr>
          <w:p>
            <w:pPr>
              <w:spacing w:after="0"/>
              <w:rPr>
                <w:sz w:val="11"/>
                <w:szCs w:val="11"/>
                <w:color w:val="auto"/>
              </w:rPr>
            </w:pPr>
          </w:p>
        </w:tc>
        <w:tc>
          <w:tcPr>
            <w:tcW w:w="980" w:type="dxa"/>
            <w:vAlign w:val="bottom"/>
            <w:gridSpan w:val="2"/>
          </w:tcPr>
          <w:p>
            <w:pPr>
              <w:jc w:val="center"/>
              <w:ind w:right="14"/>
              <w:spacing w:after="0" w:line="133" w:lineRule="exact"/>
              <w:rPr>
                <w:sz w:val="20"/>
                <w:szCs w:val="20"/>
                <w:color w:val="auto"/>
              </w:rPr>
            </w:pPr>
            <w:r>
              <w:rPr>
                <w:rFonts w:ascii="Arial" w:cs="Arial" w:eastAsia="Arial" w:hAnsi="Arial"/>
                <w:sz w:val="14"/>
                <w:szCs w:val="14"/>
                <w:b w:val="1"/>
                <w:bCs w:val="1"/>
                <w:color w:val="auto"/>
              </w:rPr>
              <w:t>Intangible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4"/>
              <w:spacing w:after="0" w:line="133" w:lineRule="exact"/>
              <w:rPr>
                <w:sz w:val="20"/>
                <w:szCs w:val="20"/>
                <w:color w:val="auto"/>
              </w:rPr>
            </w:pPr>
            <w:r>
              <w:rPr>
                <w:rFonts w:ascii="Arial" w:cs="Arial" w:eastAsia="Arial" w:hAnsi="Arial"/>
                <w:sz w:val="14"/>
                <w:szCs w:val="14"/>
                <w:b w:val="1"/>
                <w:bCs w:val="1"/>
                <w:color w:val="auto"/>
              </w:rPr>
              <w:t>Intangible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58"/>
        </w:trPr>
        <w:tc>
          <w:tcPr>
            <w:tcW w:w="4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194"/>
              <w:spacing w:after="0" w:line="157" w:lineRule="exact"/>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3"/>
                <w:szCs w:val="13"/>
                <w:color w:val="auto"/>
              </w:rPr>
            </w:pPr>
          </w:p>
        </w:tc>
        <w:tc>
          <w:tcPr>
            <w:tcW w:w="1200" w:type="dxa"/>
            <w:vAlign w:val="bottom"/>
            <w:gridSpan w:val="2"/>
          </w:tcPr>
          <w:p>
            <w:pPr>
              <w:jc w:val="right"/>
              <w:ind w:right="134"/>
              <w:spacing w:after="0" w:line="157"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174"/>
              <w:spacing w:after="0" w:line="157" w:lineRule="exact"/>
              <w:rPr>
                <w:sz w:val="20"/>
                <w:szCs w:val="20"/>
                <w:color w:val="auto"/>
              </w:rPr>
            </w:pPr>
            <w:r>
              <w:rPr>
                <w:rFonts w:ascii="Arial" w:cs="Arial" w:eastAsia="Arial" w:hAnsi="Arial"/>
                <w:sz w:val="14"/>
                <w:szCs w:val="14"/>
                <w:b w:val="1"/>
                <w:bCs w:val="1"/>
                <w:color w:val="auto"/>
              </w:rPr>
              <w:t>Intangible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174"/>
              <w:spacing w:after="0" w:line="157" w:lineRule="exact"/>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3"/>
                <w:szCs w:val="13"/>
                <w:color w:val="auto"/>
              </w:rPr>
            </w:pPr>
          </w:p>
        </w:tc>
        <w:tc>
          <w:tcPr>
            <w:tcW w:w="1240" w:type="dxa"/>
            <w:vAlign w:val="bottom"/>
            <w:gridSpan w:val="3"/>
          </w:tcPr>
          <w:p>
            <w:pPr>
              <w:ind w:left="60"/>
              <w:spacing w:after="0" w:line="157"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980" w:type="dxa"/>
            <w:vAlign w:val="bottom"/>
          </w:tcPr>
          <w:p>
            <w:pPr>
              <w:jc w:val="right"/>
              <w:ind w:right="174"/>
              <w:spacing w:after="0" w:line="157" w:lineRule="exact"/>
              <w:rPr>
                <w:sz w:val="20"/>
                <w:szCs w:val="20"/>
                <w:color w:val="auto"/>
              </w:rPr>
            </w:pPr>
            <w:r>
              <w:rPr>
                <w:rFonts w:ascii="Arial" w:cs="Arial" w:eastAsia="Arial" w:hAnsi="Arial"/>
                <w:sz w:val="14"/>
                <w:szCs w:val="14"/>
                <w:b w:val="1"/>
                <w:bCs w:val="1"/>
                <w:color w:val="auto"/>
              </w:rPr>
              <w:t>Intangible</w:t>
            </w:r>
          </w:p>
        </w:tc>
      </w:tr>
      <w:tr>
        <w:trPr>
          <w:trHeight w:val="189"/>
        </w:trPr>
        <w:tc>
          <w:tcPr>
            <w:tcW w:w="4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ind w:right="174"/>
              <w:spacing w:after="0"/>
              <w:rPr>
                <w:sz w:val="20"/>
                <w:szCs w:val="20"/>
                <w:color w:val="auto"/>
              </w:rPr>
            </w:pPr>
            <w:r>
              <w:rPr>
                <w:rFonts w:ascii="Arial" w:cs="Arial" w:eastAsia="Arial" w:hAnsi="Arial"/>
                <w:sz w:val="14"/>
                <w:szCs w:val="14"/>
                <w:b w:val="1"/>
                <w:bCs w:val="1"/>
                <w:color w:val="auto"/>
                <w:w w:val="99"/>
              </w:rPr>
              <w:t>gross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54"/>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134"/>
              <w:spacing w:after="0"/>
              <w:rPr>
                <w:sz w:val="20"/>
                <w:szCs w:val="20"/>
                <w:color w:val="auto"/>
              </w:rPr>
            </w:pPr>
            <w:r>
              <w:rPr>
                <w:rFonts w:ascii="Arial" w:cs="Arial" w:eastAsia="Arial" w:hAnsi="Arial"/>
                <w:sz w:val="14"/>
                <w:szCs w:val="14"/>
                <w:b w:val="1"/>
                <w:bCs w:val="1"/>
                <w:color w:val="auto"/>
              </w:rPr>
              <w:t>assets, net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154"/>
              <w:spacing w:after="0"/>
              <w:rPr>
                <w:sz w:val="20"/>
                <w:szCs w:val="20"/>
                <w:color w:val="auto"/>
              </w:rPr>
            </w:pPr>
            <w:r>
              <w:rPr>
                <w:rFonts w:ascii="Arial" w:cs="Arial" w:eastAsia="Arial" w:hAnsi="Arial"/>
                <w:sz w:val="14"/>
                <w:szCs w:val="14"/>
                <w:b w:val="1"/>
                <w:bCs w:val="1"/>
                <w:color w:val="auto"/>
                <w:w w:val="99"/>
              </w:rPr>
              <w:t>gross</w:t>
            </w:r>
          </w:p>
        </w:tc>
        <w:tc>
          <w:tcPr>
            <w:tcW w:w="100" w:type="dxa"/>
            <w:vAlign w:val="bottom"/>
          </w:tcPr>
          <w:p>
            <w:pPr>
              <w:spacing w:after="0"/>
              <w:rPr>
                <w:sz w:val="16"/>
                <w:szCs w:val="16"/>
                <w:color w:val="auto"/>
              </w:rPr>
            </w:pPr>
          </w:p>
        </w:tc>
        <w:tc>
          <w:tcPr>
            <w:tcW w:w="124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980" w:type="dxa"/>
            <w:vAlign w:val="bottom"/>
          </w:tcPr>
          <w:p>
            <w:pPr>
              <w:jc w:val="right"/>
              <w:ind w:right="134"/>
              <w:spacing w:after="0"/>
              <w:rPr>
                <w:sz w:val="20"/>
                <w:szCs w:val="20"/>
                <w:color w:val="auto"/>
              </w:rPr>
            </w:pPr>
            <w:r>
              <w:rPr>
                <w:rFonts w:ascii="Arial" w:cs="Arial" w:eastAsia="Arial" w:hAnsi="Arial"/>
                <w:sz w:val="14"/>
                <w:szCs w:val="14"/>
                <w:b w:val="1"/>
                <w:bCs w:val="1"/>
                <w:color w:val="auto"/>
              </w:rPr>
              <w:t>assets, net</w:t>
            </w:r>
          </w:p>
        </w:tc>
      </w:tr>
      <w:tr>
        <w:trPr>
          <w:trHeight w:val="209"/>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intangible assets:</w:t>
            </w: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b w:val="1"/>
                <w:bCs w:val="1"/>
                <w:color w:val="auto"/>
              </w:rPr>
              <w:t>791</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b w:val="1"/>
                <w:bCs w:val="1"/>
                <w:color w:val="auto"/>
              </w:rPr>
              <w:t>791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791</w:t>
            </w:r>
          </w:p>
        </w:tc>
        <w:tc>
          <w:tcPr>
            <w:tcW w:w="42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791</w:t>
            </w:r>
          </w:p>
        </w:tc>
      </w:tr>
      <w:tr>
        <w:trPr>
          <w:trHeight w:val="216"/>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In-process research and development</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w:t>
            </w: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Customer relationships — commercial</w:t>
            </w:r>
          </w:p>
        </w:tc>
        <w:tc>
          <w:tcPr>
            <w:tcW w:w="14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b w:val="1"/>
                <w:bCs w:val="1"/>
                <w:color w:val="auto"/>
              </w:rPr>
              <w:t>839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(772 )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(751 )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88</w:t>
            </w:r>
          </w:p>
        </w:tc>
      </w:tr>
      <w:tr>
        <w:trPr>
          <w:trHeight w:val="216"/>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Proprietary technology</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484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(477 )</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(477 )</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w:t>
            </w: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Customer relationships — defense</w:t>
            </w:r>
          </w:p>
        </w:tc>
        <w:tc>
          <w:tcPr>
            <w:tcW w:w="14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b w:val="1"/>
                <w:bCs w:val="1"/>
                <w:color w:val="auto"/>
              </w:rPr>
              <w:t>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(52 )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12</w:t>
            </w:r>
          </w:p>
        </w:tc>
      </w:tr>
      <w:tr>
        <w:trPr>
          <w:trHeight w:val="216"/>
        </w:trPr>
        <w:tc>
          <w:tcPr>
            <w:tcW w:w="4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Non-compete agreements</w:t>
            </w: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09"/>
        </w:trPr>
        <w:tc>
          <w:tcPr>
            <w:tcW w:w="4280" w:type="dxa"/>
            <w:vAlign w:val="bottom"/>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b w:val="1"/>
                <w:bCs w:val="1"/>
                <w:color w:val="auto"/>
              </w:rPr>
              <w:t>2,202</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(1,301 )</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b w:val="1"/>
                <w:bCs w:val="1"/>
                <w:color w:val="auto"/>
              </w:rPr>
              <w:t>901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2,195</w:t>
            </w:r>
          </w:p>
        </w:tc>
        <w:tc>
          <w:tcPr>
            <w:tcW w:w="42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(1,278 )</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917</w:t>
            </w:r>
          </w:p>
        </w:tc>
      </w:tr>
      <w:tr>
        <w:trPr>
          <w:trHeight w:val="20"/>
        </w:trPr>
        <w:tc>
          <w:tcPr>
            <w:tcW w:w="4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3344545</wp:posOffset>
            </wp:positionH>
            <wp:positionV relativeFrom="paragraph">
              <wp:posOffset>-170815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-170815</wp:posOffset>
            </wp:positionV>
            <wp:extent cx="596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-170815</wp:posOffset>
            </wp:positionV>
            <wp:extent cx="596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-170815</wp:posOffset>
            </wp:positionV>
            <wp:extent cx="596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6384290</wp:posOffset>
            </wp:positionH>
            <wp:positionV relativeFrom="paragraph">
              <wp:posOffset>-170815</wp:posOffset>
            </wp:positionV>
            <wp:extent cx="59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17" w:lineRule="exact"/>
        <w:rPr>
          <w:sz w:val="20"/>
          <w:szCs w:val="20"/>
          <w:color w:val="auto"/>
        </w:rPr>
      </w:pPr>
    </w:p>
    <w:p>
      <w:pPr>
        <w:ind w:right="400" w:firstLine="494"/>
        <w:spacing w:after="0" w:line="318" w:lineRule="auto"/>
        <w:rPr>
          <w:sz w:val="20"/>
          <w:szCs w:val="20"/>
          <w:color w:val="auto"/>
        </w:rPr>
      </w:pPr>
      <w:r>
        <w:rPr>
          <w:rFonts w:ascii="Arial" w:cs="Arial" w:eastAsia="Arial" w:hAnsi="Arial"/>
          <w:sz w:val="18"/>
          <w:szCs w:val="18"/>
          <w:color w:val="auto"/>
        </w:rPr>
        <w:t>As of June 30, 2022 and December 31, 2021, the carrying value of the Company’s Goodwill and Intangible assets, net was $2,977 million and $2,981 million, respectively.</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related to other intangible assets for the next five fiscal years is expected to be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2024</w:t>
            </w:r>
          </w:p>
        </w:tc>
        <w:tc>
          <w:tcPr>
            <w:tcW w:w="380" w:type="dxa"/>
            <w:vAlign w:val="bottom"/>
          </w:tcPr>
          <w:p>
            <w:pPr>
              <w:spacing w:after="0"/>
              <w:rPr>
                <w:sz w:val="16"/>
                <w:szCs w:val="16"/>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2025</w:t>
            </w:r>
          </w:p>
        </w:tc>
        <w:tc>
          <w:tcPr>
            <w:tcW w:w="360" w:type="dxa"/>
            <w:vAlign w:val="bottom"/>
          </w:tcPr>
          <w:p>
            <w:pPr>
              <w:spacing w:after="0"/>
              <w:rPr>
                <w:sz w:val="16"/>
                <w:szCs w:val="16"/>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2026</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99"/>
              <w:spacing w:after="0"/>
              <w:rPr>
                <w:sz w:val="20"/>
                <w:szCs w:val="20"/>
                <w:color w:val="auto"/>
              </w:rPr>
            </w:pPr>
            <w:r>
              <w:rPr>
                <w:rFonts w:ascii="Arial" w:cs="Arial" w:eastAsia="Arial" w:hAnsi="Arial"/>
                <w:sz w:val="14"/>
                <w:szCs w:val="14"/>
                <w:b w:val="1"/>
                <w:bCs w:val="1"/>
                <w:color w:val="auto"/>
              </w:rPr>
              <w:t>2027</w:t>
            </w:r>
          </w:p>
        </w:tc>
      </w:tr>
      <w:tr>
        <w:trPr>
          <w:trHeight w:val="249"/>
        </w:trPr>
        <w:tc>
          <w:tcPr>
            <w:tcW w:w="4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Amortization expense</w:t>
            </w:r>
          </w:p>
        </w:tc>
        <w:tc>
          <w:tcPr>
            <w:tcW w:w="760" w:type="dxa"/>
            <w:vAlign w:val="bottom"/>
            <w:tcBorders>
              <w:top w:val="single" w:sz="8" w:color="auto"/>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-24765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-7620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-24765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-7620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2" w:lineRule="exact"/>
        <w:rPr>
          <w:sz w:val="20"/>
          <w:szCs w:val="20"/>
          <w:color w:val="auto"/>
        </w:rPr>
      </w:pPr>
    </w:p>
    <w:p>
      <w:pPr>
        <w:ind w:right="140" w:firstLine="494"/>
        <w:spacing w:after="0" w:line="318" w:lineRule="auto"/>
        <w:rPr>
          <w:sz w:val="20"/>
          <w:szCs w:val="20"/>
          <w:color w:val="auto"/>
        </w:rPr>
      </w:pPr>
      <w:r>
        <w:rPr>
          <w:rFonts w:ascii="Arial" w:cs="Arial" w:eastAsia="Arial" w:hAnsi="Arial"/>
          <w:sz w:val="18"/>
          <w:szCs w:val="18"/>
          <w:color w:val="auto"/>
        </w:rPr>
        <w:t>The following presents a summary of the changes in the goodwill of the Company's single operating and reporting segment (dollars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Goodwill</w:t>
            </w:r>
          </w:p>
        </w:tc>
      </w:tr>
      <w:tr>
        <w:trPr>
          <w:trHeight w:val="20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2021</w:t>
            </w:r>
          </w:p>
        </w:tc>
        <w:tc>
          <w:tcPr>
            <w:tcW w:w="49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2,064</w:t>
            </w:r>
          </w:p>
        </w:tc>
      </w:tr>
      <w:tr>
        <w:trPr>
          <w:trHeight w:val="216"/>
        </w:trPr>
        <w:tc>
          <w:tcPr>
            <w:tcW w:w="4240" w:type="dxa"/>
            <w:vAlign w:val="bottom"/>
          </w:tcPr>
          <w:p>
            <w:pPr>
              <w:ind w:left="140"/>
              <w:spacing w:after="0"/>
              <w:rPr>
                <w:sz w:val="20"/>
                <w:szCs w:val="20"/>
                <w:color w:val="auto"/>
              </w:rPr>
            </w:pPr>
            <w:r>
              <w:rPr>
                <w:rFonts w:ascii="Arial" w:cs="Arial" w:eastAsia="Arial" w:hAnsi="Arial"/>
                <w:sz w:val="18"/>
                <w:szCs w:val="18"/>
                <w:color w:val="auto"/>
              </w:rPr>
              <w:t>Acquisitions</w:t>
            </w:r>
          </w:p>
        </w:tc>
        <w:tc>
          <w:tcPr>
            <w:tcW w:w="4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jc w:val="right"/>
              <w:ind w:right="33"/>
              <w:spacing w:after="0"/>
              <w:rPr>
                <w:sz w:val="20"/>
                <w:szCs w:val="20"/>
                <w:color w:val="auto"/>
              </w:rPr>
            </w:pPr>
            <w:r>
              <w:rPr>
                <w:rFonts w:ascii="Arial" w:cs="Arial" w:eastAsia="Arial" w:hAnsi="Arial"/>
                <w:sz w:val="18"/>
                <w:szCs w:val="18"/>
                <w:color w:val="auto"/>
              </w:rPr>
              <w:t>13</w:t>
            </w:r>
          </w:p>
        </w:tc>
      </w:tr>
      <w:tr>
        <w:trPr>
          <w:trHeight w:val="216"/>
        </w:trPr>
        <w:tc>
          <w:tcPr>
            <w:tcW w:w="42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Foreign currency translation</w:t>
            </w:r>
          </w:p>
        </w:tc>
        <w:tc>
          <w:tcPr>
            <w:tcW w:w="49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r>
      <w:tr>
        <w:trPr>
          <w:trHeight w:val="209"/>
        </w:trPr>
        <w:tc>
          <w:tcPr>
            <w:tcW w:w="4240" w:type="dxa"/>
            <w:vAlign w:val="bottom"/>
          </w:tcPr>
          <w:p>
            <w:pPr>
              <w:ind w:left="20"/>
              <w:spacing w:after="0"/>
              <w:rPr>
                <w:sz w:val="20"/>
                <w:szCs w:val="20"/>
                <w:color w:val="auto"/>
              </w:rPr>
            </w:pPr>
            <w:r>
              <w:rPr>
                <w:rFonts w:ascii="Arial" w:cs="Arial" w:eastAsia="Arial" w:hAnsi="Arial"/>
                <w:sz w:val="18"/>
                <w:szCs w:val="18"/>
                <w:color w:val="auto"/>
              </w:rPr>
              <w:t>Net current period impact to goodwill</w:t>
            </w:r>
          </w:p>
        </w:tc>
        <w:tc>
          <w:tcPr>
            <w:tcW w:w="53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3"/>
              <w:spacing w:after="0"/>
              <w:rPr>
                <w:sz w:val="20"/>
                <w:szCs w:val="20"/>
                <w:color w:val="auto"/>
              </w:rPr>
            </w:pPr>
            <w:r>
              <w:rPr>
                <w:rFonts w:ascii="Arial" w:cs="Arial" w:eastAsia="Arial" w:hAnsi="Arial"/>
                <w:sz w:val="18"/>
                <w:szCs w:val="18"/>
                <w:color w:val="auto"/>
              </w:rPr>
              <w:t>12</w:t>
            </w:r>
          </w:p>
        </w:tc>
      </w:tr>
      <w:tr>
        <w:trPr>
          <w:trHeight w:val="20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June 30, 2022</w:t>
            </w:r>
          </w:p>
        </w:tc>
        <w:tc>
          <w:tcPr>
            <w:tcW w:w="496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2,076</w:t>
            </w:r>
          </w:p>
        </w:tc>
      </w:tr>
      <w:tr>
        <w:trPr>
          <w:trHeight w:val="894"/>
        </w:trPr>
        <w:tc>
          <w:tcPr>
            <w:tcW w:w="4240" w:type="dxa"/>
            <w:vAlign w:val="bottom"/>
          </w:tcPr>
          <w:p>
            <w:pPr>
              <w:spacing w:after="0"/>
              <w:rPr>
                <w:sz w:val="24"/>
                <w:szCs w:val="24"/>
                <w:color w:val="auto"/>
              </w:rPr>
            </w:pPr>
          </w:p>
        </w:tc>
        <w:tc>
          <w:tcPr>
            <w:tcW w:w="4960" w:type="dxa"/>
            <w:vAlign w:val="bottom"/>
          </w:tcPr>
          <w:p>
            <w:pPr>
              <w:jc w:val="right"/>
              <w:ind w:right="339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24"/>
        </w:trPr>
        <w:tc>
          <w:tcPr>
            <w:tcW w:w="4240" w:type="dxa"/>
            <w:vAlign w:val="bottom"/>
            <w:tcBorders>
              <w:bottom w:val="single" w:sz="8" w:color="9A9A9A"/>
            </w:tcBorders>
          </w:tcPr>
          <w:p>
            <w:pPr>
              <w:spacing w:after="0"/>
              <w:rPr>
                <w:sz w:val="10"/>
                <w:szCs w:val="10"/>
                <w:color w:val="auto"/>
              </w:rPr>
            </w:pPr>
          </w:p>
        </w:tc>
        <w:tc>
          <w:tcPr>
            <w:tcW w:w="49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FAIR VALUE OF FINANCIAL INSTRUMENTS</w:t>
      </w:r>
    </w:p>
    <w:p>
      <w:pPr>
        <w:spacing w:after="0" w:line="144" w:lineRule="exact"/>
        <w:rPr>
          <w:sz w:val="20"/>
          <w:szCs w:val="20"/>
          <w:color w:val="auto"/>
        </w:rPr>
      </w:pPr>
    </w:p>
    <w:p>
      <w:pPr>
        <w:ind w:right="160" w:firstLine="494"/>
        <w:spacing w:after="0" w:line="290" w:lineRule="auto"/>
        <w:rPr>
          <w:sz w:val="20"/>
          <w:szCs w:val="20"/>
          <w:color w:val="auto"/>
        </w:rPr>
      </w:pPr>
      <w:r>
        <w:rPr>
          <w:rFonts w:ascii="Arial" w:cs="Arial" w:eastAsia="Arial" w:hAnsi="Arial"/>
          <w:sz w:val="18"/>
          <w:szCs w:val="18"/>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74" w:lineRule="exact"/>
        <w:rPr>
          <w:sz w:val="20"/>
          <w:szCs w:val="20"/>
          <w:color w:val="auto"/>
        </w:rPr>
      </w:pPr>
    </w:p>
    <w:p>
      <w:pPr>
        <w:ind w:right="320" w:firstLine="494"/>
        <w:spacing w:after="0" w:line="307"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69" w:lineRule="exact"/>
        <w:rPr>
          <w:sz w:val="20"/>
          <w:szCs w:val="20"/>
          <w:color w:val="auto"/>
        </w:rPr>
      </w:pPr>
    </w:p>
    <w:p>
      <w:pPr>
        <w:ind w:right="60" w:firstLine="494"/>
        <w:spacing w:after="0" w:line="292" w:lineRule="auto"/>
        <w:rPr>
          <w:sz w:val="20"/>
          <w:szCs w:val="20"/>
          <w:color w:val="auto"/>
        </w:rPr>
      </w:pPr>
      <w:r>
        <w:rPr>
          <w:rFonts w:ascii="Arial" w:cs="Arial" w:eastAsia="Arial" w:hAnsi="Arial"/>
          <w:sz w:val="18"/>
          <w:szCs w:val="18"/>
          <w:color w:val="auto"/>
        </w:rPr>
        <w:t>Level 2 — Pricing inputs are other than quoted prices in active markets included in Level 1, which are either directly or indirectly observable as of the reported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71" w:lineRule="exact"/>
        <w:rPr>
          <w:sz w:val="20"/>
          <w:szCs w:val="20"/>
          <w:color w:val="auto"/>
        </w:rPr>
      </w:pPr>
    </w:p>
    <w:p>
      <w:pPr>
        <w:ind w:firstLine="494"/>
        <w:spacing w:after="0" w:line="298" w:lineRule="auto"/>
        <w:rPr>
          <w:sz w:val="20"/>
          <w:szCs w:val="20"/>
          <w:color w:val="auto"/>
        </w:rPr>
      </w:pPr>
      <w:r>
        <w:rPr>
          <w:rFonts w:ascii="Arial" w:cs="Arial" w:eastAsia="Arial" w:hAnsi="Arial"/>
          <w:sz w:val="18"/>
          <w:szCs w:val="18"/>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June 30, 2022 and December 31, 2021, the Company did not have any Level 3 financial assets or liabilities.</w:t>
      </w:r>
    </w:p>
    <w:p>
      <w:pPr>
        <w:spacing w:after="0" w:line="63" w:lineRule="exact"/>
        <w:rPr>
          <w:sz w:val="20"/>
          <w:szCs w:val="20"/>
          <w:color w:val="auto"/>
        </w:rPr>
      </w:pPr>
    </w:p>
    <w:p>
      <w:pPr>
        <w:ind w:right="120" w:firstLine="494"/>
        <w:spacing w:after="0" w:line="295" w:lineRule="auto"/>
        <w:rPr>
          <w:sz w:val="20"/>
          <w:szCs w:val="20"/>
          <w:color w:val="auto"/>
        </w:rPr>
      </w:pPr>
      <w:r>
        <w:rPr>
          <w:rFonts w:ascii="Arial" w:cs="Arial" w:eastAsia="Arial" w:hAnsi="Arial"/>
          <w:sz w:val="18"/>
          <w:szCs w:val="18"/>
          <w:color w:val="auto"/>
        </w:rPr>
        <w:t>The Company’s assets and liabilities that are measured at fair value include marketable securities, cash equivalents, derivative instruments, assets held in a rabbi trust and a deferred compensation obligation. The Company's marketable securities consist of publicly traded stock of Jing-Jin Electric Technologies Co. Ltd., which has a readily determinable fair value. The Company's cash equivalents consist of short-term U.S government backed securities.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78" w:lineRule="exact"/>
        <w:rPr>
          <w:sz w:val="20"/>
          <w:szCs w:val="20"/>
          <w:color w:val="auto"/>
        </w:rPr>
      </w:pPr>
    </w:p>
    <w:p>
      <w:pPr>
        <w:ind w:right="20" w:firstLine="494"/>
        <w:spacing w:after="0" w:line="298" w:lineRule="auto"/>
        <w:rPr>
          <w:sz w:val="20"/>
          <w:szCs w:val="20"/>
          <w:color w:val="auto"/>
        </w:rPr>
      </w:pPr>
      <w:r>
        <w:rPr>
          <w:rFonts w:ascii="Arial" w:cs="Arial" w:eastAsia="Arial" w:hAnsi="Arial"/>
          <w:sz w:val="18"/>
          <w:szCs w:val="18"/>
          <w:color w:val="auto"/>
        </w:rPr>
        <w:t>The Company’s valuation techniques used to calculate the fair value of cash equivalents,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64" w:lineRule="exact"/>
        <w:rPr>
          <w:sz w:val="20"/>
          <w:szCs w:val="20"/>
          <w:color w:val="auto"/>
        </w:rPr>
      </w:pPr>
    </w:p>
    <w:p>
      <w:pPr>
        <w:ind w:right="40" w:firstLine="494"/>
        <w:spacing w:after="0" w:line="333" w:lineRule="auto"/>
        <w:rPr>
          <w:sz w:val="20"/>
          <w:szCs w:val="20"/>
          <w:color w:val="auto"/>
        </w:rPr>
      </w:pPr>
      <w:r>
        <w:rPr>
          <w:rFonts w:ascii="Arial" w:cs="Arial" w:eastAsia="Arial" w:hAnsi="Arial"/>
          <w:sz w:val="18"/>
          <w:szCs w:val="18"/>
          <w:color w:val="auto"/>
        </w:rPr>
        <w:t>The Company uses valuations from the issuing financial institutions for the fair value measurement of interest rate swaps. The floating-to-fixed interest rate swaps are based on the London Interbank Offered Rate (“LIBOR”),</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right="260"/>
        <w:spacing w:after="0" w:line="351" w:lineRule="auto"/>
        <w:rPr>
          <w:sz w:val="20"/>
          <w:szCs w:val="20"/>
          <w:color w:val="auto"/>
        </w:rPr>
      </w:pPr>
      <w:r>
        <w:rPr>
          <w:rFonts w:ascii="Arial" w:cs="Arial" w:eastAsia="Arial" w:hAnsi="Arial"/>
          <w:sz w:val="17"/>
          <w:szCs w:val="17"/>
          <w:color w:val="auto"/>
        </w:rPr>
        <w:t>which is observable at commonly quoted intervals. The fair values are included in other current and non-current assets and liabilities in the Condensed Consolidated Balance Sheets. See "Note H. Derivatives” for more information regarding the Company's interest rate swaps.</w:t>
      </w:r>
    </w:p>
    <w:p>
      <w:pPr>
        <w:spacing w:after="0" w:line="22" w:lineRule="exact"/>
        <w:rPr>
          <w:sz w:val="20"/>
          <w:szCs w:val="20"/>
          <w:color w:val="auto"/>
        </w:rPr>
      </w:pPr>
    </w:p>
    <w:p>
      <w:pPr>
        <w:ind w:right="60" w:firstLine="494"/>
        <w:spacing w:after="0" w:line="333" w:lineRule="auto"/>
        <w:rPr>
          <w:sz w:val="20"/>
          <w:szCs w:val="20"/>
          <w:color w:val="auto"/>
        </w:rPr>
      </w:pPr>
      <w:r>
        <w:rPr>
          <w:rFonts w:ascii="Arial" w:cs="Arial" w:eastAsia="Arial" w:hAnsi="Arial"/>
          <w:sz w:val="18"/>
          <w:szCs w:val="18"/>
          <w:color w:val="auto"/>
        </w:rPr>
        <w:t>The following table summarizes the fair value of the Company’s financial assets and (liabilities) as of June 30, 2022 and December 31, 2021 (dollars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right"/>
              <w:ind w:right="255"/>
              <w:spacing w:after="0"/>
              <w:rPr>
                <w:sz w:val="20"/>
                <w:szCs w:val="20"/>
                <w:color w:val="auto"/>
              </w:rPr>
            </w:pPr>
            <w:r>
              <w:rPr>
                <w:rFonts w:ascii="Arial" w:cs="Arial" w:eastAsia="Arial" w:hAnsi="Arial"/>
                <w:sz w:val="14"/>
                <w:szCs w:val="14"/>
                <w:b w:val="1"/>
                <w:bCs w:val="1"/>
                <w:color w:val="auto"/>
              </w:rPr>
              <w:t>Fair Value Measurements Using</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80" w:type="dxa"/>
            <w:vAlign w:val="bottom"/>
          </w:tcPr>
          <w:p>
            <w:pPr>
              <w:spacing w:after="0"/>
              <w:rPr>
                <w:sz w:val="11"/>
                <w:szCs w:val="11"/>
                <w:color w:val="auto"/>
              </w:rPr>
            </w:pPr>
          </w:p>
        </w:tc>
        <w:tc>
          <w:tcPr>
            <w:tcW w:w="2280" w:type="dxa"/>
            <w:vAlign w:val="bottom"/>
            <w:gridSpan w:val="4"/>
          </w:tcPr>
          <w:p>
            <w:pPr>
              <w:jc w:val="center"/>
              <w:ind w:left="283"/>
              <w:spacing w:after="0" w:line="133" w:lineRule="exact"/>
              <w:rPr>
                <w:sz w:val="20"/>
                <w:szCs w:val="20"/>
                <w:color w:val="auto"/>
              </w:rPr>
            </w:pPr>
            <w:r>
              <w:rPr>
                <w:rFonts w:ascii="Arial" w:cs="Arial" w:eastAsia="Arial" w:hAnsi="Arial"/>
                <w:sz w:val="14"/>
                <w:szCs w:val="14"/>
                <w:b w:val="1"/>
                <w:bCs w:val="1"/>
                <w:color w:val="auto"/>
              </w:rPr>
              <w:t>Quoted Prices in Active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60" w:type="dxa"/>
            <w:vAlign w:val="bottom"/>
            <w:gridSpan w:val="4"/>
          </w:tcPr>
          <w:p>
            <w:pPr>
              <w:jc w:val="center"/>
              <w:ind w:left="139"/>
              <w:spacing w:after="0" w:line="133" w:lineRule="exact"/>
              <w:rPr>
                <w:sz w:val="20"/>
                <w:szCs w:val="20"/>
                <w:color w:val="auto"/>
              </w:rPr>
            </w:pPr>
            <w:r>
              <w:rPr>
                <w:rFonts w:ascii="Arial" w:cs="Arial" w:eastAsia="Arial" w:hAnsi="Arial"/>
                <w:sz w:val="14"/>
                <w:szCs w:val="14"/>
                <w:b w:val="1"/>
                <w:bCs w:val="1"/>
                <w:color w:val="auto"/>
              </w:rPr>
              <w:t>Significant Other</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2280" w:type="dxa"/>
            <w:vAlign w:val="bottom"/>
            <w:gridSpan w:val="4"/>
          </w:tcPr>
          <w:p>
            <w:pPr>
              <w:jc w:val="center"/>
              <w:ind w:left="283"/>
              <w:spacing w:after="0" w:line="149" w:lineRule="exact"/>
              <w:rPr>
                <w:sz w:val="20"/>
                <w:szCs w:val="20"/>
                <w:color w:val="auto"/>
              </w:rPr>
            </w:pPr>
            <w:r>
              <w:rPr>
                <w:rFonts w:ascii="Arial" w:cs="Arial" w:eastAsia="Arial" w:hAnsi="Arial"/>
                <w:sz w:val="14"/>
                <w:szCs w:val="14"/>
                <w:b w:val="1"/>
                <w:bCs w:val="1"/>
                <w:color w:val="auto"/>
              </w:rPr>
              <w:t>Markets for Identical</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gridSpan w:val="4"/>
          </w:tcPr>
          <w:p>
            <w:pPr>
              <w:jc w:val="center"/>
              <w:ind w:left="119"/>
              <w:spacing w:after="0" w:line="149" w:lineRule="exact"/>
              <w:rPr>
                <w:sz w:val="20"/>
                <w:szCs w:val="20"/>
                <w:color w:val="auto"/>
              </w:rPr>
            </w:pPr>
            <w:r>
              <w:rPr>
                <w:rFonts w:ascii="Arial" w:cs="Arial" w:eastAsia="Arial" w:hAnsi="Arial"/>
                <w:sz w:val="14"/>
                <w:szCs w:val="14"/>
                <w:b w:val="1"/>
                <w:bCs w:val="1"/>
                <w:color w:val="auto"/>
              </w:rPr>
              <w:t>Observable Inputs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880" w:type="dxa"/>
            <w:vAlign w:val="bottom"/>
          </w:tcPr>
          <w:p>
            <w:pPr>
              <w:spacing w:after="0"/>
              <w:rPr>
                <w:sz w:val="17"/>
                <w:szCs w:val="17"/>
                <w:color w:val="auto"/>
              </w:rPr>
            </w:pPr>
          </w:p>
        </w:tc>
        <w:tc>
          <w:tcPr>
            <w:tcW w:w="2280" w:type="dxa"/>
            <w:vAlign w:val="bottom"/>
            <w:tcBorders>
              <w:bottom w:val="single" w:sz="8" w:color="auto"/>
            </w:tcBorders>
            <w:gridSpan w:val="4"/>
          </w:tcPr>
          <w:p>
            <w:pPr>
              <w:jc w:val="center"/>
              <w:ind w:left="283"/>
              <w:spacing w:after="0"/>
              <w:rPr>
                <w:sz w:val="20"/>
                <w:szCs w:val="20"/>
                <w:color w:val="auto"/>
              </w:rPr>
            </w:pPr>
            <w:r>
              <w:rPr>
                <w:rFonts w:ascii="Arial" w:cs="Arial" w:eastAsia="Arial" w:hAnsi="Arial"/>
                <w:sz w:val="14"/>
                <w:szCs w:val="14"/>
                <w:b w:val="1"/>
                <w:bCs w:val="1"/>
                <w:color w:val="auto"/>
              </w:rPr>
              <w:t>Assets (Level 1)</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4"/>
          </w:tcPr>
          <w:p>
            <w:pPr>
              <w:jc w:val="center"/>
              <w:ind w:left="119"/>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4"/>
          </w:tcPr>
          <w:p>
            <w:pPr>
              <w:jc w:val="right"/>
              <w:ind w:right="10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3"/>
        </w:trPr>
        <w:tc>
          <w:tcPr>
            <w:tcW w:w="288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jc w:val="right"/>
              <w:ind w:right="190"/>
              <w:spacing w:after="0" w:line="13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299"/>
              <w:spacing w:after="0" w:line="13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c>
          <w:tcPr>
            <w:tcW w:w="1340" w:type="dxa"/>
            <w:vAlign w:val="bottom"/>
            <w:gridSpan w:val="3"/>
          </w:tcPr>
          <w:p>
            <w:pPr>
              <w:jc w:val="right"/>
              <w:ind w:right="175"/>
              <w:spacing w:after="0" w:line="13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1"/>
                <w:szCs w:val="11"/>
                <w:color w:val="auto"/>
              </w:rPr>
            </w:pPr>
          </w:p>
        </w:tc>
        <w:tc>
          <w:tcPr>
            <w:tcW w:w="860" w:type="dxa"/>
            <w:vAlign w:val="bottom"/>
            <w:gridSpan w:val="2"/>
          </w:tcPr>
          <w:p>
            <w:pPr>
              <w:ind w:left="280"/>
              <w:spacing w:after="0" w:line="133" w:lineRule="exact"/>
              <w:rPr>
                <w:sz w:val="20"/>
                <w:szCs w:val="20"/>
                <w:color w:val="auto"/>
              </w:rPr>
            </w:pPr>
            <w:r>
              <w:rPr>
                <w:rFonts w:ascii="Arial" w:cs="Arial" w:eastAsia="Arial" w:hAnsi="Arial"/>
                <w:sz w:val="14"/>
                <w:szCs w:val="14"/>
                <w:b w:val="1"/>
                <w:bCs w:val="1"/>
                <w:color w:val="auto"/>
                <w:w w:val="99"/>
              </w:rPr>
              <w:t>June 30,</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right"/>
              <w:ind w:right="193"/>
              <w:spacing w:after="0" w:line="13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2880" w:type="dxa"/>
            <w:vAlign w:val="bottom"/>
          </w:tcPr>
          <w:p>
            <w:pPr>
              <w:spacing w:after="0"/>
              <w:rPr>
                <w:sz w:val="16"/>
                <w:szCs w:val="16"/>
                <w:color w:val="auto"/>
              </w:rPr>
            </w:pPr>
          </w:p>
        </w:tc>
        <w:tc>
          <w:tcPr>
            <w:tcW w:w="860" w:type="dxa"/>
            <w:vAlign w:val="bottom"/>
          </w:tcPr>
          <w:p>
            <w:pPr>
              <w:jc w:val="right"/>
              <w:ind w:right="43"/>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02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9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6"/>
                <w:szCs w:val="16"/>
                <w:color w:val="auto"/>
              </w:rPr>
            </w:pPr>
          </w:p>
        </w:tc>
        <w:tc>
          <w:tcPr>
            <w:tcW w:w="94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860" w:type="dxa"/>
            <w:vAlign w:val="bottom"/>
            <w:tcBorders>
              <w:top w:val="single" w:sz="8" w:color="auto"/>
            </w:tcBorders>
            <w:shd w:val="clear" w:color="auto" w:fill="CFF0FC"/>
          </w:tcPr>
          <w:p>
            <w:pPr>
              <w:jc w:val="right"/>
              <w:ind w:right="663"/>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33</w:t>
            </w:r>
          </w:p>
        </w:tc>
        <w:tc>
          <w:tcPr>
            <w:tcW w:w="12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ind w:right="399"/>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b w:val="1"/>
                <w:bCs w:val="1"/>
                <w:color w:val="auto"/>
                <w:w w:val="99"/>
              </w:rPr>
              <w:t>$</w:t>
            </w:r>
          </w:p>
        </w:tc>
        <w:tc>
          <w:tcPr>
            <w:tcW w:w="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33</w:t>
            </w: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86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Rabbi trust assets</w:t>
            </w:r>
          </w:p>
        </w:tc>
        <w:tc>
          <w:tcPr>
            <w:tcW w:w="86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rPr>
                <w:sz w:val="20"/>
                <w:szCs w:val="20"/>
                <w:color w:val="auto"/>
              </w:rPr>
            </w:pPr>
            <w:r>
              <w:rPr>
                <w:rFonts w:ascii="Arial" w:cs="Arial" w:eastAsia="Arial" w:hAnsi="Arial"/>
                <w:sz w:val="18"/>
                <w:szCs w:val="18"/>
                <w:color w:val="auto"/>
              </w:rPr>
              <w:t>Deferred compensation obligation</w:t>
            </w:r>
          </w:p>
        </w:tc>
        <w:tc>
          <w:tcPr>
            <w:tcW w:w="8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1"/>
              </w:rPr>
              <w:t>(16 )</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(16 )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16"/>
        </w:trPr>
        <w:tc>
          <w:tcPr>
            <w:tcW w:w="2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Derivative assets (liabilities), net</w:t>
            </w:r>
          </w:p>
        </w:tc>
        <w:tc>
          <w:tcPr>
            <w:tcW w:w="86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09"/>
        </w:trPr>
        <w:tc>
          <w:tcPr>
            <w:tcW w:w="2880" w:type="dxa"/>
            <w:vAlign w:val="bottom"/>
          </w:tcPr>
          <w:p>
            <w:pPr>
              <w:ind w:left="280"/>
              <w:spacing w:after="0"/>
              <w:rPr>
                <w:sz w:val="20"/>
                <w:szCs w:val="20"/>
                <w:color w:val="auto"/>
              </w:rPr>
            </w:pPr>
            <w:r>
              <w:rPr>
                <w:rFonts w:ascii="Arial" w:cs="Arial" w:eastAsia="Arial" w:hAnsi="Arial"/>
                <w:sz w:val="18"/>
                <w:szCs w:val="18"/>
                <w:color w:val="auto"/>
              </w:rPr>
              <w:t>Total</w:t>
            </w:r>
          </w:p>
        </w:tc>
        <w:tc>
          <w:tcPr>
            <w:tcW w:w="860" w:type="dxa"/>
            <w:vAlign w:val="bottom"/>
          </w:tcPr>
          <w:p>
            <w:pPr>
              <w:jc w:val="right"/>
              <w:ind w:right="663"/>
              <w:spacing w:after="0"/>
              <w:rPr>
                <w:sz w:val="20"/>
                <w:szCs w:val="20"/>
                <w:color w:val="auto"/>
              </w:rPr>
            </w:pPr>
            <w:r>
              <w:rPr>
                <w:rFonts w:ascii="Arial" w:cs="Arial" w:eastAsia="Arial" w:hAnsi="Arial"/>
                <w:sz w:val="18"/>
                <w:szCs w:val="18"/>
                <w:b w:val="1"/>
                <w:bCs w:val="1"/>
                <w:color w:val="auto"/>
                <w:w w:val="99"/>
              </w:rPr>
              <w:t>$</w:t>
            </w: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53</w:t>
            </w:r>
          </w:p>
        </w:tc>
        <w:tc>
          <w:tcPr>
            <w:tcW w:w="102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46</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9"/>
              <w:spacing w:after="0"/>
              <w:rPr>
                <w:sz w:val="20"/>
                <w:szCs w:val="20"/>
                <w:color w:val="auto"/>
              </w:rPr>
            </w:pPr>
            <w:r>
              <w:rPr>
                <w:rFonts w:ascii="Arial" w:cs="Arial" w:eastAsia="Arial" w:hAnsi="Arial"/>
                <w:sz w:val="18"/>
                <w:szCs w:val="18"/>
                <w:b w:val="1"/>
                <w:bCs w:val="1"/>
                <w:color w:val="auto"/>
              </w:rPr>
              <w:t>2</w:t>
            </w:r>
          </w:p>
        </w:tc>
        <w:tc>
          <w:tcPr>
            <w:tcW w:w="700" w:type="dxa"/>
            <w:vAlign w:val="bottom"/>
            <w:gridSpan w:val="2"/>
          </w:tcPr>
          <w:p>
            <w:pPr>
              <w:jc w:val="right"/>
              <w:ind w:right="39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(31 )</w:t>
            </w:r>
          </w:p>
        </w:tc>
        <w:tc>
          <w:tcPr>
            <w:tcW w:w="940" w:type="dxa"/>
            <w:vAlign w:val="bottom"/>
            <w:gridSpan w:val="2"/>
          </w:tcPr>
          <w:p>
            <w:pPr>
              <w:jc w:val="right"/>
              <w:ind w:right="639"/>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38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55</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8"/>
                <w:szCs w:val="18"/>
                <w:b w:val="1"/>
                <w:bCs w:val="1"/>
                <w:color w:val="auto"/>
              </w:rPr>
              <w:t>NOTE G. DEBT</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0"/>
        </w:trPr>
        <w:tc>
          <w:tcPr>
            <w:tcW w:w="28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5640" w:type="dxa"/>
            <w:vAlign w:val="bottom"/>
            <w:gridSpan w:val="6"/>
          </w:tcPr>
          <w:p>
            <w:pPr>
              <w:ind w:left="500"/>
              <w:spacing w:after="0"/>
              <w:rPr>
                <w:sz w:val="20"/>
                <w:szCs w:val="20"/>
                <w:color w:val="auto"/>
              </w:rPr>
            </w:pPr>
            <w:r>
              <w:rPr>
                <w:rFonts w:ascii="Arial" w:cs="Arial" w:eastAsia="Arial" w:hAnsi="Arial"/>
                <w:sz w:val="18"/>
                <w:szCs w:val="18"/>
                <w:color w:val="auto"/>
                <w:w w:val="99"/>
              </w:rPr>
              <w:t>Long-term debt and maturities are as follows (dollars in millions):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4"/>
          </w:tcPr>
          <w:p>
            <w:pPr>
              <w:ind w:left="2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2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8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5"/>
          </w:tcPr>
          <w:p>
            <w:pPr>
              <w:ind w:left="20"/>
              <w:spacing w:after="0"/>
              <w:rPr>
                <w:sz w:val="20"/>
                <w:szCs w:val="20"/>
                <w:color w:val="auto"/>
              </w:rPr>
            </w:pPr>
            <w:r>
              <w:rPr>
                <w:rFonts w:ascii="Arial" w:cs="Arial" w:eastAsia="Arial" w:hAnsi="Arial"/>
                <w:sz w:val="18"/>
                <w:szCs w:val="18"/>
                <w:color w:val="auto"/>
              </w:rPr>
              <w:t>Senior Secured Credit Facility Term Loan, variable, due 2026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94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628</w:t>
            </w:r>
          </w:p>
        </w:tc>
        <w:tc>
          <w:tcPr>
            <w:tcW w:w="20" w:type="dxa"/>
            <w:vAlign w:val="bottom"/>
          </w:tcPr>
          <w:p>
            <w:pPr>
              <w:spacing w:after="0"/>
              <w:rPr>
                <w:sz w:val="18"/>
                <w:szCs w:val="18"/>
                <w:color w:val="auto"/>
              </w:rPr>
            </w:pPr>
          </w:p>
        </w:tc>
        <w:tc>
          <w:tcPr>
            <w:tcW w:w="38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Senior Notes, fixed 4.75%, due 2027</w:t>
            </w: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400</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Senior Notes, fixed 5.875%, due 2029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500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Senior Notes, fixed 3.75%, due 2031</w:t>
            </w:r>
          </w:p>
        </w:tc>
        <w:tc>
          <w:tcPr>
            <w:tcW w:w="4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1,000</w:t>
            </w: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9"/>
        </w:trPr>
        <w:tc>
          <w:tcPr>
            <w:tcW w:w="2880" w:type="dxa"/>
            <w:vAlign w:val="bottom"/>
          </w:tcPr>
          <w:p>
            <w:pPr>
              <w:ind w:left="280"/>
              <w:spacing w:after="0"/>
              <w:rPr>
                <w:sz w:val="20"/>
                <w:szCs w:val="20"/>
                <w:color w:val="auto"/>
              </w:rPr>
            </w:pPr>
            <w:r>
              <w:rPr>
                <w:rFonts w:ascii="Arial" w:cs="Arial" w:eastAsia="Arial" w:hAnsi="Arial"/>
                <w:sz w:val="18"/>
                <w:szCs w:val="18"/>
                <w:color w:val="auto"/>
              </w:rPr>
              <w:t>Total long-term debt</w:t>
            </w: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94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2,528</w:t>
            </w:r>
          </w:p>
        </w:tc>
        <w:tc>
          <w:tcPr>
            <w:tcW w:w="20" w:type="dxa"/>
            <w:vAlign w:val="bottom"/>
          </w:tcPr>
          <w:p>
            <w:pPr>
              <w:spacing w:after="0"/>
              <w:rPr>
                <w:sz w:val="18"/>
                <w:szCs w:val="18"/>
                <w:color w:val="auto"/>
              </w:rPr>
            </w:pPr>
          </w:p>
        </w:tc>
        <w:tc>
          <w:tcPr>
            <w:tcW w:w="38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Less: current maturities of long-term debt</w:t>
            </w: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6</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880" w:type="dxa"/>
            <w:vAlign w:val="bottom"/>
          </w:tcPr>
          <w:p>
            <w:pPr>
              <w:ind w:left="520"/>
              <w:spacing w:after="0"/>
              <w:rPr>
                <w:sz w:val="20"/>
                <w:szCs w:val="20"/>
                <w:color w:val="auto"/>
              </w:rPr>
            </w:pPr>
            <w:r>
              <w:rPr>
                <w:rFonts w:ascii="Arial" w:cs="Arial" w:eastAsia="Arial" w:hAnsi="Arial"/>
                <w:sz w:val="18"/>
                <w:szCs w:val="18"/>
                <w:color w:val="auto"/>
              </w:rPr>
              <w:t>deferred financing costs, net</w:t>
            </w: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8"/>
                <w:szCs w:val="18"/>
                <w:b w:val="1"/>
                <w:bCs w:val="1"/>
                <w:color w:val="auto"/>
              </w:rPr>
              <w:t>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9"/>
        </w:trPr>
        <w:tc>
          <w:tcPr>
            <w:tcW w:w="28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long-term debt, net</w:t>
            </w:r>
          </w:p>
        </w:tc>
        <w:tc>
          <w:tcPr>
            <w:tcW w:w="8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gridSpan w:val="2"/>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2,502</w:t>
            </w: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2633345</wp:posOffset>
            </wp:positionH>
            <wp:positionV relativeFrom="paragraph">
              <wp:posOffset>-2439670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-2439670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-2439670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-2439670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-2439670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-589915</wp:posOffset>
            </wp:positionV>
            <wp:extent cx="1028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-24765</wp:posOffset>
            </wp:positionV>
            <wp:extent cx="1028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-7620</wp:posOffset>
            </wp:positionV>
            <wp:extent cx="1028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1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As of June 30, 2022, the Company had $2,528 million of indebtedness associated with Allison Transmission, Inc.’s (“ATI”), the</w:t>
      </w:r>
    </w:p>
    <w:p>
      <w:pPr>
        <w:spacing w:after="0" w:line="49" w:lineRule="exact"/>
        <w:rPr>
          <w:sz w:val="20"/>
          <w:szCs w:val="20"/>
          <w:color w:val="auto"/>
        </w:rPr>
      </w:pPr>
    </w:p>
    <w:p>
      <w:pPr>
        <w:ind w:right="60"/>
        <w:spacing w:after="0" w:line="295" w:lineRule="auto"/>
        <w:rPr>
          <w:sz w:val="20"/>
          <w:szCs w:val="20"/>
          <w:color w:val="auto"/>
        </w:rPr>
      </w:pPr>
      <w:r>
        <w:rPr>
          <w:rFonts w:ascii="Arial" w:cs="Arial" w:eastAsia="Arial" w:hAnsi="Arial"/>
          <w:sz w:val="18"/>
          <w:szCs w:val="18"/>
          <w:color w:val="auto"/>
        </w:rPr>
        <w:t>Company’s wholly-owned subsidiary, 4.75% Senior Notes due October 2027 (“4.75% Senior Notes”), ATI’s 5.875% Senior Notes due June 2029 (“5.875% Senior Notes”), ATI’s 3.75% Senior Notes due January 2031 (“3.75% Senior Notes” and, together with the 4.75% Senior Notes and 5.875% Senior Notes, the “Senior Notes”) and the Second Amended and Restated Credit Agreement dated as of March 29, 2019, as amended (the “Credit Agreement”), governing ATI’s term loan facility in the amount of $628 million due March 2026 (“Term Loan”) and ATI’s revolving credit facility with commitments in the amount of $650 million due September 2025 (“Revolving Credit Facility” and, together with the Term Loan, the “Senior Secured Credit Facility”).</w:t>
      </w:r>
    </w:p>
    <w:p>
      <w:pPr>
        <w:spacing w:after="0" w:line="65" w:lineRule="exact"/>
        <w:rPr>
          <w:sz w:val="20"/>
          <w:szCs w:val="20"/>
          <w:color w:val="auto"/>
        </w:rPr>
      </w:pPr>
    </w:p>
    <w:p>
      <w:pPr>
        <w:jc w:val="both"/>
        <w:ind w:right="160" w:firstLine="494"/>
        <w:spacing w:after="0" w:line="307" w:lineRule="auto"/>
        <w:rPr>
          <w:sz w:val="20"/>
          <w:szCs w:val="20"/>
          <w:color w:val="auto"/>
        </w:rPr>
      </w:pPr>
      <w:r>
        <w:rPr>
          <w:rFonts w:ascii="Arial" w:cs="Arial" w:eastAsia="Arial" w:hAnsi="Arial"/>
          <w:sz w:val="18"/>
          <w:szCs w:val="18"/>
          <w:color w:val="auto"/>
        </w:rPr>
        <w:t>The fair value of the Company’s long-term debt obligations as of June 30, 2022 was $2,281 million. The fair value is based on quoted Level 2 market prices of the Company’s debt as of June 30, 2022. The difference between the fair value and carrying value of the long-term debt is driven primarily by trends in the financial markets.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42" w:lineRule="exact"/>
        <w:rPr>
          <w:sz w:val="20"/>
          <w:szCs w:val="20"/>
          <w:color w:val="auto"/>
        </w:rPr>
      </w:pPr>
    </w:p>
    <w:p>
      <w:pPr>
        <w:ind w:right="20" w:firstLine="494"/>
        <w:spacing w:after="0" w:line="307" w:lineRule="auto"/>
        <w:rPr>
          <w:sz w:val="20"/>
          <w:szCs w:val="20"/>
          <w:color w:val="auto"/>
        </w:rPr>
      </w:pPr>
      <w:r>
        <w:rPr>
          <w:rFonts w:ascii="Arial" w:cs="Arial" w:eastAsia="Arial" w:hAnsi="Arial"/>
          <w:sz w:val="18"/>
          <w:szCs w:val="18"/>
          <w:color w:val="auto"/>
        </w:rPr>
        <w:t>The borrowings under the Senior Secured Credit Facility are collateralized by a lien on substantially all assets of the Company, ATI and each of the existing and future U.S. subsidiary guarantors, with certain exceptions set forth in the Credit Agreement, and ATI’s capital stock and all of the capital stock or other equity interests held by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right="40"/>
        <w:spacing w:after="0" w:line="290" w:lineRule="auto"/>
        <w:rPr>
          <w:sz w:val="20"/>
          <w:szCs w:val="20"/>
          <w:color w:val="auto"/>
        </w:rPr>
      </w:pPr>
      <w:r>
        <w:rPr>
          <w:rFonts w:ascii="Arial" w:cs="Arial" w:eastAsia="Arial" w:hAnsi="Arial"/>
          <w:sz w:val="18"/>
          <w:szCs w:val="18"/>
          <w:color w:val="auto"/>
        </w:rPr>
        <w:t>Company, ATI and each of ATI’s existing and future U.S. subsidiary guarantors (subject to certain limitations for equity interest of foreign subsidiaries and other exceptions set forth in the Credit Agreement). Interest on the Term Loan, as of June 30, 2022, is either (a) 1.75% over a LIBOR rate on deposits in U.S. dollars for one-, two-, three- or six-month periods (or twelve-month or shorter periods if, at the time of the borrowing, available from all relevant lenders) (the "LIBOR Rate"), or (b) 0.75% over the greater of the prime lending rate as quoted by the administrative agent, the LIBOR Rate for an interest period of one month plus 1.00% and the federal funds effective rate published by the Federal Reserve Bank of New York plus 0.50%, subject to a 1.00% floor (the "Base Rate"). As of June 30, 2022, the Company elected to pay the lowest all-in rate of LIBOR plus the applicable margin, or 3.39%, on the Term Loan. The Credit Agreement requires minimum quarterly principal payments on the Term Loan, as well as prepayments from certain net cash proceeds of non-ordinary course asset sales and casualty and condemnation events, the incurrence of certain debt and from a percentage of excess cash flow, if applicable. The minimum required quarterly principal payment on the Term Loan through its maturity date of March 2026 is $2 million. As of June 30, 2022, there had been no payments required for certain net cash proceeds of non-ordinary course asset sales and casualty and condemnation events. The remaining principal balance is due upon maturity.</w:t>
      </w:r>
    </w:p>
    <w:p>
      <w:pPr>
        <w:spacing w:after="0" w:line="73" w:lineRule="exact"/>
        <w:rPr>
          <w:sz w:val="20"/>
          <w:szCs w:val="20"/>
          <w:color w:val="auto"/>
        </w:rPr>
      </w:pPr>
    </w:p>
    <w:p>
      <w:pPr>
        <w:ind w:right="20" w:firstLine="494"/>
        <w:spacing w:after="0" w:line="306" w:lineRule="auto"/>
        <w:rPr>
          <w:sz w:val="20"/>
          <w:szCs w:val="20"/>
          <w:color w:val="auto"/>
        </w:rPr>
      </w:pPr>
      <w:r>
        <w:rPr>
          <w:rFonts w:ascii="Arial" w:cs="Arial" w:eastAsia="Arial" w:hAnsi="Arial"/>
          <w:sz w:val="17"/>
          <w:szCs w:val="17"/>
          <w:color w:val="auto"/>
        </w:rPr>
        <w:t>The Senior Secured Credit Facility also provides a Revolving Credit Facility, net of an allowance for up to $75 million in outstanding letters of credit commitments. Throughout the six months ended June 30, 2022, the Company made periodic withdrawals and payments on the Revolving Credit Facility as part of the Company's cash management plans. The maximum amount outstanding at any time during the six months ended June 30, 2022 was $75 million. As of June 30, 2022, the Company had $645 million available under the Revolving Credit Facility, net of $5 million in letters of credit. Borrowings under the Revolving Credit Facility bear interest at a variable base rate plus an applicable margin based on the Company’s first lien net leverage ratio. When the Company’s first lien net leverage ratio is above 4.00x, interest on the Revolving Credit Facility is (a) 0.75% over the Base Rate or (b) 1.75% over the LIBOR Rate; when the Company’s first lien net leverage ratio is equal to or less than 4.00x and above 3.50x, interest on the Revolving Credit Facility is (i) 0.50% over the Base Rate or (ii)</w:t>
      </w:r>
    </w:p>
    <w:p>
      <w:pPr>
        <w:spacing w:after="0" w:line="2"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1.50% over the LIBOR Rate; and when the Company’s first lien net leverage ratio is equal to or below 3.50x, interest on the Revolving Credit Facility is (y) 0.25% over the Base Rate or (z) 1.25% over the LIBOR Rate. As of June 30, 2022, the applicable margin for the Revolving Credit Facility was 1.25%. In addition, there is an annual commitment fee, based on the Company’s first lien net leverage ratio, on the average unused revolving credit borrowings available under the Revolving Credit Facility. As of June 30, 2022, the commitment fee is 0.25%. Borrowings under the Revolving Credit Facility are payable at the option of the Company throughout the term of the Senior Secured Credit Facility with the balance due in September 2025.</w:t>
      </w:r>
    </w:p>
    <w:p>
      <w:pPr>
        <w:spacing w:after="0" w:line="85" w:lineRule="exact"/>
        <w:rPr>
          <w:sz w:val="20"/>
          <w:szCs w:val="20"/>
          <w:color w:val="auto"/>
        </w:rPr>
      </w:pPr>
    </w:p>
    <w:p>
      <w:pPr>
        <w:ind w:firstLine="494"/>
        <w:spacing w:after="0" w:line="295" w:lineRule="auto"/>
        <w:rPr>
          <w:sz w:val="20"/>
          <w:szCs w:val="20"/>
          <w:color w:val="auto"/>
        </w:rPr>
      </w:pPr>
      <w:r>
        <w:rPr>
          <w:rFonts w:ascii="Arial" w:cs="Arial" w:eastAsia="Arial" w:hAnsi="Arial"/>
          <w:sz w:val="18"/>
          <w:szCs w:val="18"/>
          <w:color w:val="auto"/>
        </w:rPr>
        <w:t>The Senior Secured Credit Facility requires the Company to maintain a specified maximum first lien net leverage ratio of 5.50x when revolving loan commitments remain outstanding on the Revolving Credit Facility at the end of a fiscal quarter. As of June 30, 2022, the Company had no amounts outstanding under the Revolving Credit Facility; however, the Company would have been in compliance with the maximum first lien net leverage ratio, achieving a 0.58x ratio. Additionally, within the terms of the Senior Secured Credit Facility, a first lien net leverage ratio at or below 4.00x results in the elimination of excess cash flow payments on the Senior Secured Credit Facility for the applicable year.</w:t>
      </w:r>
    </w:p>
    <w:p>
      <w:pPr>
        <w:spacing w:after="0" w:line="65" w:lineRule="exact"/>
        <w:rPr>
          <w:sz w:val="20"/>
          <w:szCs w:val="20"/>
          <w:color w:val="auto"/>
        </w:rPr>
      </w:pPr>
    </w:p>
    <w:p>
      <w:pPr>
        <w:ind w:right="100" w:firstLine="494"/>
        <w:spacing w:after="0" w:line="298" w:lineRule="auto"/>
        <w:rPr>
          <w:sz w:val="20"/>
          <w:szCs w:val="20"/>
          <w:color w:val="auto"/>
        </w:rPr>
      </w:pPr>
      <w:r>
        <w:rPr>
          <w:rFonts w:ascii="Arial" w:cs="Arial" w:eastAsia="Arial" w:hAnsi="Arial"/>
          <w:sz w:val="18"/>
          <w:szCs w:val="18"/>
          <w:color w:val="auto"/>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 Company’s common stock. As of June 30, 2022, the Company was in compliance with all covenants under the Credit Agreement.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42" w:lineRule="exact"/>
        <w:rPr>
          <w:sz w:val="20"/>
          <w:szCs w:val="20"/>
          <w:color w:val="auto"/>
        </w:rPr>
      </w:pPr>
    </w:p>
    <w:p>
      <w:pPr>
        <w:ind w:firstLine="494"/>
        <w:spacing w:after="0" w:line="291" w:lineRule="auto"/>
        <w:rPr>
          <w:sz w:val="20"/>
          <w:szCs w:val="20"/>
          <w:color w:val="auto"/>
        </w:rPr>
      </w:pPr>
      <w:r>
        <w:rPr>
          <w:rFonts w:ascii="Arial" w:cs="Arial" w:eastAsia="Arial" w:hAnsi="Arial"/>
          <w:sz w:val="18"/>
          <w:szCs w:val="18"/>
          <w:color w:val="auto"/>
        </w:rPr>
        <w:t>Each series of the Senior Notes are unsecured and are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any series of the Senior Notes. The indentures governing the Senior Notes contain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June 30, 2022, the Company was in compliance with all covenants under the indentures governing the Senior Notes.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DERIVATIVES</w:t>
      </w:r>
    </w:p>
    <w:p>
      <w:pPr>
        <w:spacing w:after="0" w:line="144" w:lineRule="exact"/>
        <w:rPr>
          <w:sz w:val="20"/>
          <w:szCs w:val="20"/>
          <w:color w:val="auto"/>
        </w:rPr>
      </w:pPr>
    </w:p>
    <w:p>
      <w:pPr>
        <w:ind w:right="40" w:firstLine="494"/>
        <w:spacing w:after="0" w:line="292" w:lineRule="auto"/>
        <w:rPr>
          <w:sz w:val="20"/>
          <w:szCs w:val="20"/>
          <w:color w:val="auto"/>
        </w:rPr>
      </w:pPr>
      <w:r>
        <w:rPr>
          <w:rFonts w:ascii="Arial" w:cs="Arial" w:eastAsia="Arial" w:hAnsi="Arial"/>
          <w:sz w:val="18"/>
          <w:szCs w:val="18"/>
          <w:color w:val="auto"/>
        </w:rPr>
        <w:t>The Company is subject to interest rate risk related to the Senior Secured Credit Facility and enters into interest rate swaps that are based on LIBOR to manage a portion of this exposure. The interest rate swaps are designated as cash flow hedges that qualify for hedge accounting under the hypothetical derivative method. Fair value adjustments are recorded as a component of Accumulated other comprehensive loss, net of tax (“AOCL”) in the Condensed Consolidated Balance Sheets. Balances in AOCL are reclassified to earnings when transactions related to the underlying risk are settled. As of June 30, 2022, the Company held interest rate swaps effective from September 2019 to September 2025 with notional values totaling $250 million and a weighted average LIBOR fixed rate of 3.04%, interest rate swaps effective from September 2019 to September 2022 with notional values totaling $250 million and a weighted average LIBOR fixed rate of 3.01% and interest rate swaps effective from September 2022 to September 2025 with notional values totaling $250 million and a weighted average LIBOR fixed rate of 2.82%. See "Note F. Fair Value of Financial Instruments” for information regarding the fair value of the Company’s interest rate swaps.</w:t>
      </w:r>
    </w:p>
    <w:p>
      <w:pPr>
        <w:spacing w:after="0" w:line="71" w:lineRule="exact"/>
        <w:rPr>
          <w:sz w:val="20"/>
          <w:szCs w:val="20"/>
          <w:color w:val="auto"/>
        </w:rPr>
      </w:pPr>
    </w:p>
    <w:p>
      <w:pPr>
        <w:ind w:right="780" w:firstLine="494"/>
        <w:spacing w:after="0" w:line="333" w:lineRule="auto"/>
        <w:rPr>
          <w:sz w:val="20"/>
          <w:szCs w:val="20"/>
          <w:color w:val="auto"/>
        </w:rPr>
      </w:pPr>
      <w:r>
        <w:rPr>
          <w:rFonts w:ascii="Arial" w:cs="Arial" w:eastAsia="Arial" w:hAnsi="Arial"/>
          <w:sz w:val="18"/>
          <w:szCs w:val="18"/>
          <w:color w:val="auto"/>
        </w:rPr>
        <w:t>The following tabular disclosures further describe the Company’s interest rate derivatives qualifying and designated for hedge accounting and their impact on the financial condition of the Company (dollars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Fair Value</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920" w:type="dxa"/>
            <w:vAlign w:val="bottom"/>
          </w:tcPr>
          <w:p>
            <w:pPr>
              <w:spacing w:after="0"/>
              <w:rPr>
                <w:sz w:val="12"/>
                <w:szCs w:val="12"/>
                <w:color w:val="auto"/>
              </w:rPr>
            </w:pPr>
          </w:p>
        </w:tc>
        <w:tc>
          <w:tcPr>
            <w:tcW w:w="30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Balance Sheet Location</w:t>
            </w:r>
          </w:p>
        </w:tc>
        <w:tc>
          <w:tcPr>
            <w:tcW w:w="1060" w:type="dxa"/>
            <w:vAlign w:val="bottom"/>
          </w:tcPr>
          <w:p>
            <w:pPr>
              <w:jc w:val="right"/>
              <w:ind w:right="16"/>
              <w:spacing w:after="0" w:line="146" w:lineRule="exact"/>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right"/>
              <w:spacing w:after="0" w:line="146" w:lineRule="exact"/>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1060" w:type="dxa"/>
            <w:vAlign w:val="bottom"/>
          </w:tcPr>
          <w:p>
            <w:pPr>
              <w:jc w:val="right"/>
              <w:ind w:right="136"/>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4"/>
                <w:szCs w:val="14"/>
                <w:color w:val="auto"/>
              </w:rPr>
            </w:pPr>
          </w:p>
        </w:tc>
        <w:tc>
          <w:tcPr>
            <w:tcW w:w="146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Assets:</w:t>
            </w:r>
          </w:p>
        </w:tc>
        <w:tc>
          <w:tcPr>
            <w:tcW w:w="28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80"/>
              <w:spacing w:after="0"/>
              <w:rPr>
                <w:sz w:val="20"/>
                <w:szCs w:val="20"/>
                <w:color w:val="auto"/>
              </w:rPr>
            </w:pPr>
            <w:r>
              <w:rPr>
                <w:rFonts w:ascii="Arial" w:cs="Arial" w:eastAsia="Arial" w:hAnsi="Arial"/>
                <w:sz w:val="18"/>
                <w:szCs w:val="18"/>
                <w:color w:val="auto"/>
              </w:rPr>
              <w:t>Interest rate swaps</w:t>
            </w:r>
          </w:p>
        </w:tc>
        <w:tc>
          <w:tcPr>
            <w:tcW w:w="302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060" w:type="dxa"/>
            <w:vAlign w:val="bottom"/>
          </w:tcPr>
          <w:p>
            <w:pPr>
              <w:jc w:val="right"/>
              <w:ind w:right="85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Pr>
          <w:p>
            <w:pPr>
              <w:jc w:val="right"/>
              <w:ind w:right="33"/>
              <w:spacing w:after="0"/>
              <w:rPr>
                <w:sz w:val="20"/>
                <w:szCs w:val="20"/>
                <w:color w:val="auto"/>
              </w:rPr>
            </w:pPr>
            <w:r>
              <w:rPr>
                <w:rFonts w:ascii="Arial" w:cs="Arial" w:eastAsia="Arial" w:hAnsi="Arial"/>
                <w:sz w:val="18"/>
                <w:szCs w:val="18"/>
                <w:b w:val="1"/>
                <w:bCs w:val="1"/>
                <w:color w:val="auto"/>
              </w:rPr>
              <w:t>1</w:t>
            </w:r>
          </w:p>
        </w:tc>
        <w:tc>
          <w:tcPr>
            <w:tcW w:w="146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CFF0FC"/>
            </w:tcBorders>
            <w:shd w:val="clear" w:color="auto" w:fill="CFF0FC"/>
          </w:tcPr>
          <w:p>
            <w:pPr>
              <w:spacing w:after="0"/>
              <w:rPr>
                <w:sz w:val="18"/>
                <w:szCs w:val="18"/>
                <w:color w:val="auto"/>
              </w:rPr>
            </w:pPr>
          </w:p>
        </w:tc>
        <w:tc>
          <w:tcPr>
            <w:tcW w:w="30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06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w:t>
            </w:r>
          </w:p>
        </w:tc>
        <w:tc>
          <w:tcPr>
            <w:tcW w:w="14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920" w:type="dxa"/>
            <w:vAlign w:val="bottom"/>
          </w:tcPr>
          <w:p>
            <w:pPr>
              <w:ind w:left="280"/>
              <w:spacing w:after="0"/>
              <w:rPr>
                <w:sz w:val="20"/>
                <w:szCs w:val="20"/>
                <w:color w:val="auto"/>
              </w:rPr>
            </w:pPr>
            <w:r>
              <w:rPr>
                <w:rFonts w:ascii="Arial" w:cs="Arial" w:eastAsia="Arial" w:hAnsi="Arial"/>
                <w:sz w:val="18"/>
                <w:szCs w:val="18"/>
                <w:color w:val="auto"/>
              </w:rPr>
              <w:t>Total derivative assets</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85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Pr>
          <w:p>
            <w:pPr>
              <w:jc w:val="right"/>
              <w:ind w:right="33"/>
              <w:spacing w:after="0"/>
              <w:rPr>
                <w:sz w:val="20"/>
                <w:szCs w:val="20"/>
                <w:color w:val="auto"/>
              </w:rPr>
            </w:pPr>
            <w:r>
              <w:rPr>
                <w:rFonts w:ascii="Arial" w:cs="Arial" w:eastAsia="Arial" w:hAnsi="Arial"/>
                <w:sz w:val="18"/>
                <w:szCs w:val="18"/>
                <w:b w:val="1"/>
                <w:bCs w:val="1"/>
                <w:color w:val="auto"/>
              </w:rPr>
              <w:t>3</w:t>
            </w:r>
          </w:p>
        </w:tc>
        <w:tc>
          <w:tcPr>
            <w:tcW w:w="146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shd w:val="clear" w:color="auto" w:fill="CFF0FC"/>
          </w:tcPr>
          <w:p>
            <w:pPr>
              <w:spacing w:after="0"/>
              <w:rPr>
                <w:sz w:val="17"/>
                <w:szCs w:val="17"/>
                <w:color w:val="auto"/>
              </w:rPr>
            </w:pPr>
          </w:p>
        </w:tc>
        <w:tc>
          <w:tcPr>
            <w:tcW w:w="2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3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1060" w:type="dxa"/>
            <w:vAlign w:val="bottom"/>
            <w:shd w:val="clear" w:color="auto" w:fill="CFF0FC"/>
          </w:tcPr>
          <w:p>
            <w:pPr>
              <w:jc w:val="right"/>
              <w:ind w:right="856"/>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w:t>
            </w:r>
          </w:p>
        </w:tc>
        <w:tc>
          <w:tcPr>
            <w:tcW w:w="1460" w:type="dxa"/>
            <w:vAlign w:val="bottom"/>
            <w:gridSpan w:val="2"/>
            <w:shd w:val="clear" w:color="auto" w:fill="CFF0FC"/>
          </w:tcPr>
          <w:p>
            <w:pPr>
              <w:jc w:val="right"/>
              <w:ind w:right="1119"/>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0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9"/>
        </w:trPr>
        <w:tc>
          <w:tcPr>
            <w:tcW w:w="49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derivative liabilities</w:t>
            </w:r>
          </w:p>
        </w:tc>
        <w:tc>
          <w:tcPr>
            <w:tcW w:w="28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85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111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-889635</wp:posOffset>
            </wp:positionV>
            <wp:extent cx="939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-24765</wp:posOffset>
            </wp:positionV>
            <wp:extent cx="939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939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31" w:lineRule="exact"/>
        <w:rPr>
          <w:sz w:val="20"/>
          <w:szCs w:val="20"/>
          <w:color w:val="auto"/>
        </w:rPr>
      </w:pPr>
    </w:p>
    <w:p>
      <w:pPr>
        <w:ind w:right="280" w:firstLine="494"/>
        <w:spacing w:after="0" w:line="298" w:lineRule="auto"/>
        <w:rPr>
          <w:sz w:val="20"/>
          <w:szCs w:val="20"/>
          <w:color w:val="auto"/>
        </w:rPr>
      </w:pPr>
      <w:r>
        <w:rPr>
          <w:rFonts w:ascii="Arial" w:cs="Arial" w:eastAsia="Arial" w:hAnsi="Arial"/>
          <w:sz w:val="18"/>
          <w:szCs w:val="18"/>
          <w:color w:val="auto"/>
        </w:rPr>
        <w:t>The balance of net derivative gains and (losses) recorded in AOCL as of June 30, 2022 and December 31, 2021 was $2 million and ($31) million, respectively. See "Note O. Accumulated Other Comprehensive Loss” for information regarding activity recorded as a component of AOCL during the three and six months ended June 30, 2022 and 2021. As of June 30, 2022, the Company had $2 million of derivative losses recorded in AOCL expected to be reclassified to earnings within the next twelve months.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PRODUCT WARRANTY LIABILITIES</w:t>
      </w:r>
    </w:p>
    <w:p>
      <w:pPr>
        <w:spacing w:after="0" w:line="144" w:lineRule="exact"/>
        <w:rPr>
          <w:sz w:val="20"/>
          <w:szCs w:val="20"/>
          <w:color w:val="auto"/>
        </w:rPr>
      </w:pPr>
    </w:p>
    <w:p>
      <w:pPr>
        <w:ind w:right="160" w:firstLine="494"/>
        <w:spacing w:after="0" w:line="318" w:lineRule="auto"/>
        <w:rPr>
          <w:sz w:val="20"/>
          <w:szCs w:val="20"/>
          <w:color w:val="auto"/>
        </w:rPr>
      </w:pPr>
      <w:r>
        <w:rPr>
          <w:rFonts w:ascii="Arial" w:cs="Arial" w:eastAsia="Arial" w:hAnsi="Arial"/>
          <w:sz w:val="18"/>
          <w:szCs w:val="18"/>
          <w:color w:val="auto"/>
        </w:rPr>
        <w:t>As of June 30, 2022, current and non-current product warranty liabilities were $28 million and $25 million, respectively. As of June 30, 2021, current and non-current product warranty liabilities were $29 million and $31 million, respectively.</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Product warranty liability activities consist of the following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30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5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40" w:type="dxa"/>
            <w:vAlign w:val="bottom"/>
            <w:gridSpan w:val="3"/>
          </w:tcPr>
          <w:p>
            <w:pPr>
              <w:jc w:val="right"/>
              <w:ind w:right="610"/>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5"/>
                <w:szCs w:val="15"/>
                <w:color w:val="auto"/>
              </w:rPr>
            </w:pPr>
          </w:p>
        </w:tc>
      </w:tr>
      <w:tr>
        <w:trPr>
          <w:trHeight w:val="185"/>
        </w:trPr>
        <w:tc>
          <w:tcPr>
            <w:tcW w:w="574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r>
      <w:tr>
        <w:trPr>
          <w:trHeight w:val="209"/>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860" w:type="dxa"/>
            <w:vAlign w:val="bottom"/>
            <w:tcBorders>
              <w:top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53</w:t>
            </w:r>
          </w:p>
        </w:tc>
        <w:tc>
          <w:tcPr>
            <w:tcW w:w="14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53</w:t>
            </w:r>
          </w:p>
        </w:tc>
        <w:tc>
          <w:tcPr>
            <w:tcW w:w="1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66</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Payments</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Increase in liability (warranty issued during period)</w:t>
            </w: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5</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Net adjustments to liability</w:t>
            </w: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r>
      <w:tr>
        <w:trPr>
          <w:trHeight w:val="249"/>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860" w:type="dxa"/>
            <w:vAlign w:val="bottom"/>
            <w:tcBorders>
              <w:bottom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53</w:t>
            </w: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53</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-24765</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-7620</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-24765</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-7620</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-24765</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-7620</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DEFERRED REVENUE</w:t>
      </w:r>
    </w:p>
    <w:p>
      <w:pPr>
        <w:spacing w:after="0" w:line="157" w:lineRule="exact"/>
        <w:rPr>
          <w:sz w:val="20"/>
          <w:szCs w:val="20"/>
          <w:color w:val="auto"/>
        </w:rPr>
      </w:pPr>
    </w:p>
    <w:p>
      <w:pPr>
        <w:ind w:right="420" w:firstLine="494"/>
        <w:spacing w:after="0" w:line="318" w:lineRule="auto"/>
        <w:rPr>
          <w:sz w:val="20"/>
          <w:szCs w:val="20"/>
          <w:color w:val="auto"/>
        </w:rPr>
      </w:pPr>
      <w:r>
        <w:rPr>
          <w:rFonts w:ascii="Arial" w:cs="Arial" w:eastAsia="Arial" w:hAnsi="Arial"/>
          <w:sz w:val="18"/>
          <w:szCs w:val="18"/>
          <w:color w:val="auto"/>
        </w:rPr>
        <w:t>As of June 30, 2022, current and non-current deferred revenue was $39 million and $96 million, respectively. As of June 30, 2021, current and non-current deferred revenue was $39 million and $103 million, respectively.</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revenue activity consists of the following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24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5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40" w:type="dxa"/>
            <w:vAlign w:val="bottom"/>
            <w:gridSpan w:val="3"/>
          </w:tcPr>
          <w:p>
            <w:pPr>
              <w:jc w:val="right"/>
              <w:ind w:right="570"/>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5"/>
                <w:szCs w:val="15"/>
                <w:color w:val="auto"/>
              </w:rPr>
            </w:pPr>
          </w:p>
        </w:tc>
      </w:tr>
      <w:tr>
        <w:trPr>
          <w:trHeight w:val="185"/>
        </w:trPr>
        <w:tc>
          <w:tcPr>
            <w:tcW w:w="57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34"/>
              <w:spacing w:after="0"/>
              <w:rPr>
                <w:sz w:val="20"/>
                <w:szCs w:val="20"/>
                <w:color w:val="auto"/>
              </w:rPr>
            </w:pPr>
            <w:r>
              <w:rPr>
                <w:rFonts w:ascii="Arial" w:cs="Arial" w:eastAsia="Arial" w:hAnsi="Arial"/>
                <w:sz w:val="14"/>
                <w:szCs w:val="14"/>
                <w:b w:val="1"/>
                <w:bCs w:val="1"/>
                <w:color w:val="auto"/>
              </w:rPr>
              <w:t>2021</w:t>
            </w:r>
          </w:p>
        </w:tc>
      </w:tr>
      <w:tr>
        <w:trPr>
          <w:trHeight w:val="209"/>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800" w:type="dxa"/>
            <w:vAlign w:val="bottom"/>
            <w:tcBorders>
              <w:top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132</w:t>
            </w:r>
          </w:p>
        </w:tc>
        <w:tc>
          <w:tcPr>
            <w:tcW w:w="14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b w:val="1"/>
                <w:bCs w:val="1"/>
                <w:color w:val="auto"/>
              </w:rPr>
              <w:t>136</w:t>
            </w:r>
          </w:p>
        </w:tc>
        <w:tc>
          <w:tcPr>
            <w:tcW w:w="1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143</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Increases</w:t>
            </w:r>
          </w:p>
        </w:tc>
        <w:tc>
          <w:tcPr>
            <w:tcW w:w="800" w:type="dxa"/>
            <w:vAlign w:val="bottom"/>
          </w:tcPr>
          <w:p>
            <w:pPr>
              <w:spacing w:after="0"/>
              <w:rPr>
                <w:sz w:val="18"/>
                <w:szCs w:val="18"/>
                <w:color w:val="auto"/>
              </w:rPr>
            </w:pPr>
          </w:p>
        </w:tc>
        <w:tc>
          <w:tcPr>
            <w:tcW w:w="500" w:type="dxa"/>
            <w:vAlign w:val="bottom"/>
          </w:tcPr>
          <w:p>
            <w:pPr>
              <w:jc w:val="right"/>
              <w:ind w:right="54"/>
              <w:spacing w:after="0"/>
              <w:rPr>
                <w:sz w:val="20"/>
                <w:szCs w:val="20"/>
                <w:color w:val="auto"/>
              </w:rPr>
            </w:pPr>
            <w:r>
              <w:rPr>
                <w:rFonts w:ascii="Arial" w:cs="Arial" w:eastAsia="Arial" w:hAnsi="Arial"/>
                <w:sz w:val="18"/>
                <w:szCs w:val="18"/>
                <w:b w:val="1"/>
                <w:bCs w:val="1"/>
                <w:color w:val="auto"/>
              </w:rPr>
              <w:t>13</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w:t>
            </w:r>
          </w:p>
        </w:tc>
      </w:tr>
      <w:tr>
        <w:trPr>
          <w:trHeight w:val="216"/>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 earned</w:t>
            </w:r>
          </w:p>
        </w:tc>
        <w:tc>
          <w:tcPr>
            <w:tcW w:w="8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(10 )</w:t>
            </w: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(21 )</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(17 )</w:t>
            </w:r>
          </w:p>
        </w:tc>
      </w:tr>
      <w:tr>
        <w:trPr>
          <w:trHeight w:val="209"/>
        </w:trPr>
        <w:tc>
          <w:tcPr>
            <w:tcW w:w="57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800" w:type="dxa"/>
            <w:vAlign w:val="bottom"/>
          </w:tcPr>
          <w:p>
            <w:pPr>
              <w:jc w:val="right"/>
              <w:ind w:right="59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ind w:right="54"/>
              <w:spacing w:after="0"/>
              <w:rPr>
                <w:sz w:val="20"/>
                <w:szCs w:val="20"/>
                <w:color w:val="auto"/>
              </w:rPr>
            </w:pPr>
            <w:r>
              <w:rPr>
                <w:rFonts w:ascii="Arial" w:cs="Arial" w:eastAsia="Arial" w:hAnsi="Arial"/>
                <w:sz w:val="18"/>
                <w:szCs w:val="18"/>
                <w:b w:val="1"/>
                <w:bCs w:val="1"/>
                <w:color w:val="auto"/>
              </w:rPr>
              <w:t>135</w:t>
            </w:r>
          </w:p>
        </w:tc>
        <w:tc>
          <w:tcPr>
            <w:tcW w:w="94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8"/>
              <w:spacing w:after="0"/>
              <w:rPr>
                <w:sz w:val="20"/>
                <w:szCs w:val="20"/>
                <w:color w:val="auto"/>
              </w:rPr>
            </w:pPr>
            <w:r>
              <w:rPr>
                <w:rFonts w:ascii="Arial" w:cs="Arial" w:eastAsia="Arial" w:hAnsi="Arial"/>
                <w:sz w:val="18"/>
                <w:szCs w:val="18"/>
                <w:b w:val="1"/>
                <w:bCs w:val="1"/>
                <w:color w:val="auto"/>
              </w:rPr>
              <w:t>135</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142</w:t>
            </w:r>
          </w:p>
        </w:tc>
      </w:tr>
      <w:tr>
        <w:trPr>
          <w:trHeight w:val="20"/>
        </w:trPr>
        <w:tc>
          <w:tcPr>
            <w:tcW w:w="5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-170815</wp:posOffset>
            </wp:positionV>
            <wp:extent cx="939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-170815</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-170815</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31" w:lineRule="exact"/>
        <w:rPr>
          <w:sz w:val="20"/>
          <w:szCs w:val="20"/>
          <w:color w:val="auto"/>
        </w:rPr>
      </w:pPr>
    </w:p>
    <w:p>
      <w:pPr>
        <w:jc w:val="both"/>
        <w:ind w:right="300" w:firstLine="494"/>
        <w:spacing w:after="0" w:line="299" w:lineRule="auto"/>
        <w:rPr>
          <w:sz w:val="20"/>
          <w:szCs w:val="20"/>
          <w:color w:val="auto"/>
        </w:rPr>
      </w:pPr>
      <w:r>
        <w:rPr>
          <w:rFonts w:ascii="Arial" w:cs="Arial" w:eastAsia="Arial" w:hAnsi="Arial"/>
          <w:sz w:val="18"/>
          <w:szCs w:val="18"/>
          <w:color w:val="auto"/>
        </w:rPr>
        <w:t>Deferred revenue recorded in current and non-current liabilities related to ETC as of June 30, 2022 was $30 million and $85 million, respectively. Deferred revenue recorded in current and non-current liabilities related to ETC as of June 30, 2021 was $30 million and $87 million, respectively.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LEASES</w:t>
      </w:r>
    </w:p>
    <w:p>
      <w:pPr>
        <w:spacing w:after="0" w:line="144" w:lineRule="exact"/>
        <w:rPr>
          <w:sz w:val="20"/>
          <w:szCs w:val="20"/>
          <w:color w:val="auto"/>
        </w:rPr>
      </w:pPr>
    </w:p>
    <w:p>
      <w:pPr>
        <w:ind w:right="60" w:firstLine="494"/>
        <w:spacing w:after="0" w:line="292" w:lineRule="auto"/>
        <w:rPr>
          <w:sz w:val="20"/>
          <w:szCs w:val="20"/>
          <w:color w:val="auto"/>
        </w:rPr>
      </w:pPr>
      <w:r>
        <w:rPr>
          <w:rFonts w:ascii="Arial" w:cs="Arial" w:eastAsia="Arial" w:hAnsi="Arial"/>
          <w:sz w:val="18"/>
          <w:szCs w:val="18"/>
          <w:color w:val="auto"/>
        </w:rPr>
        <w:t>Contracts are assessed by the Company to determine if the contract conveys the right to control an identified asset in exchange for consideration during a period of time. The Company classifies all identified leases as either operating or finance leases. As of June 30, 2022, the Company was not a party to any finance leases. Contracts that contain leases are assessed to determine if the consideration in the contract is related to a lease component, non-lease component or other components not related to the lease. Lease components are recorded as right-of-use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spacing w:after="0" w:line="71" w:lineRule="exact"/>
        <w:rPr>
          <w:sz w:val="20"/>
          <w:szCs w:val="20"/>
          <w:color w:val="auto"/>
        </w:rPr>
      </w:pPr>
    </w:p>
    <w:p>
      <w:pPr>
        <w:ind w:right="320" w:firstLine="494"/>
        <w:spacing w:after="0" w:line="307" w:lineRule="auto"/>
        <w:rPr>
          <w:sz w:val="20"/>
          <w:szCs w:val="20"/>
          <w:color w:val="auto"/>
        </w:rPr>
      </w:pPr>
      <w:r>
        <w:rPr>
          <w:rFonts w:ascii="Arial" w:cs="Arial" w:eastAsia="Arial" w:hAnsi="Arial"/>
          <w:sz w:val="18"/>
          <w:szCs w:val="18"/>
          <w:color w:val="auto"/>
        </w:rPr>
        <w:t>Certain lease contracts may contain an option to extend or terminate the lease. The Company considers the economic impact of extension and termination options by contract. If the Company concludes it is reasonably certain an option will be exercised, that option is included in the lease term and impacts the amount recorded as an ROU asset and lease liability at inception of the contract.</w:t>
      </w:r>
    </w:p>
    <w:p>
      <w:pPr>
        <w:spacing w:after="0" w:line="55" w:lineRule="exact"/>
        <w:rPr>
          <w:sz w:val="20"/>
          <w:szCs w:val="20"/>
          <w:color w:val="auto"/>
        </w:rPr>
      </w:pPr>
    </w:p>
    <w:p>
      <w:pPr>
        <w:ind w:right="20" w:firstLine="494"/>
        <w:spacing w:after="0" w:line="295" w:lineRule="auto"/>
        <w:rPr>
          <w:sz w:val="20"/>
          <w:szCs w:val="20"/>
          <w:color w:val="auto"/>
        </w:rPr>
      </w:pPr>
      <w:r>
        <w:rPr>
          <w:rFonts w:ascii="Arial" w:cs="Arial" w:eastAsia="Arial" w:hAnsi="Arial"/>
          <w:sz w:val="18"/>
          <w:szCs w:val="18"/>
          <w:color w:val="auto"/>
        </w:rPr>
        <w:t>The Company's lease liability is determined by discounting the future cash flows over the lease period. The Company determines its discount rates utilizing current secured financing rates based on the length of the lease period plus the Company's margin over LIBOR on the Term Loan. The Company believes this rate effectively represents a borrowing rate the Company could obtain on a debt instrument possessing similar terms as the lease. Lease liabilities are classified between current and non-current liabilities based on the terms of the underlying leases. The weighted average discount rate on operating leases as of June 30, 2022 and December 31, 2021 was 4.26% and 4.25%, respectively.</w:t>
      </w:r>
    </w:p>
    <w:p>
      <w:pPr>
        <w:spacing w:after="0" w:line="78" w:lineRule="exact"/>
        <w:rPr>
          <w:sz w:val="20"/>
          <w:szCs w:val="20"/>
          <w:color w:val="auto"/>
        </w:rPr>
      </w:pPr>
    </w:p>
    <w:p>
      <w:pPr>
        <w:ind w:right="60" w:firstLine="494"/>
        <w:spacing w:after="0" w:line="298" w:lineRule="auto"/>
        <w:rPr>
          <w:sz w:val="20"/>
          <w:szCs w:val="20"/>
          <w:color w:val="auto"/>
        </w:rPr>
      </w:pPr>
      <w:r>
        <w:rPr>
          <w:rFonts w:ascii="Arial" w:cs="Arial" w:eastAsia="Arial" w:hAnsi="Arial"/>
          <w:sz w:val="18"/>
          <w:szCs w:val="18"/>
          <w:color w:val="auto"/>
        </w:rPr>
        <w:t>As of June 30, 2022, the Company recorded current and non-current operating lease liabilities of $4 million and $11 million, respectively. As of December 31, 2021, the Company recorded current and non-current operating lease liabilities of $4 million and $13 million, respectively. The following table reconciles future undiscounted cash flows for operating leases as of June 30, 2022 to total operating lease liabilities: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40" w:type="dxa"/>
            <w:vAlign w:val="bottom"/>
          </w:tcPr>
          <w:p>
            <w:pPr>
              <w:jc w:val="right"/>
              <w:ind w:right="693"/>
              <w:spacing w:after="0"/>
              <w:rPr>
                <w:sz w:val="20"/>
                <w:szCs w:val="20"/>
                <w:color w:val="auto"/>
              </w:rPr>
            </w:pPr>
            <w:r>
              <w:rPr>
                <w:rFonts w:ascii="Arial" w:cs="Arial" w:eastAsia="Arial" w:hAnsi="Arial"/>
                <w:sz w:val="14"/>
                <w:szCs w:val="14"/>
                <w:b w:val="1"/>
                <w:bCs w:val="1"/>
                <w:color w:val="auto"/>
              </w:rPr>
              <w:t>June 30,</w:t>
            </w:r>
          </w:p>
        </w:tc>
      </w:tr>
      <w:tr>
        <w:trPr>
          <w:trHeight w:val="185"/>
        </w:trPr>
        <w:tc>
          <w:tcPr>
            <w:tcW w:w="9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2022</w:t>
            </w:r>
          </w:p>
        </w:tc>
      </w:tr>
      <w:tr>
        <w:trPr>
          <w:trHeight w:val="20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6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w:t>
            </w:r>
          </w:p>
        </w:tc>
      </w:tr>
      <w:tr>
        <w:trPr>
          <w:trHeight w:val="216"/>
        </w:trPr>
        <w:tc>
          <w:tcPr>
            <w:tcW w:w="9220" w:type="dxa"/>
            <w:vAlign w:val="bottom"/>
          </w:tcPr>
          <w:p>
            <w:pPr>
              <w:ind w:left="2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18"/>
                <w:szCs w:val="18"/>
                <w:color w:val="auto"/>
              </w:rPr>
            </w:pPr>
          </w:p>
        </w:tc>
        <w:tc>
          <w:tcPr>
            <w:tcW w:w="1640" w:type="dxa"/>
            <w:vAlign w:val="bottom"/>
          </w:tcPr>
          <w:p>
            <w:pPr>
              <w:jc w:val="right"/>
              <w:ind w:right="33"/>
              <w:spacing w:after="0"/>
              <w:rPr>
                <w:sz w:val="20"/>
                <w:szCs w:val="20"/>
                <w:color w:val="auto"/>
              </w:rPr>
            </w:pPr>
            <w:r>
              <w:rPr>
                <w:rFonts w:ascii="Arial" w:cs="Arial" w:eastAsia="Arial" w:hAnsi="Arial"/>
                <w:sz w:val="18"/>
                <w:szCs w:val="18"/>
                <w:b w:val="1"/>
                <w:bCs w:val="1"/>
                <w:color w:val="auto"/>
              </w:rPr>
              <w:t>4</w:t>
            </w:r>
          </w:p>
        </w:tc>
      </w:tr>
      <w:tr>
        <w:trPr>
          <w:trHeight w:val="216"/>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38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w:t>
            </w:r>
          </w:p>
        </w:tc>
      </w:tr>
      <w:tr>
        <w:trPr>
          <w:trHeight w:val="216"/>
        </w:trPr>
        <w:tc>
          <w:tcPr>
            <w:tcW w:w="9220" w:type="dxa"/>
            <w:vAlign w:val="bottom"/>
          </w:tcPr>
          <w:p>
            <w:pPr>
              <w:ind w:left="20"/>
              <w:spacing w:after="0"/>
              <w:rPr>
                <w:sz w:val="20"/>
                <w:szCs w:val="20"/>
                <w:color w:val="auto"/>
              </w:rPr>
            </w:pPr>
            <w:r>
              <w:rPr>
                <w:rFonts w:ascii="Arial" w:cs="Arial" w:eastAsia="Arial" w:hAnsi="Arial"/>
                <w:sz w:val="18"/>
                <w:szCs w:val="18"/>
                <w:color w:val="auto"/>
              </w:rPr>
              <w:t>2025</w:t>
            </w:r>
          </w:p>
        </w:tc>
        <w:tc>
          <w:tcPr>
            <w:tcW w:w="380" w:type="dxa"/>
            <w:vAlign w:val="bottom"/>
          </w:tcPr>
          <w:p>
            <w:pPr>
              <w:spacing w:after="0"/>
              <w:rPr>
                <w:sz w:val="18"/>
                <w:szCs w:val="18"/>
                <w:color w:val="auto"/>
              </w:rPr>
            </w:pPr>
          </w:p>
        </w:tc>
        <w:tc>
          <w:tcPr>
            <w:tcW w:w="1640" w:type="dxa"/>
            <w:vAlign w:val="bottom"/>
          </w:tcPr>
          <w:p>
            <w:pPr>
              <w:jc w:val="right"/>
              <w:ind w:right="33"/>
              <w:spacing w:after="0"/>
              <w:rPr>
                <w:sz w:val="20"/>
                <w:szCs w:val="20"/>
                <w:color w:val="auto"/>
              </w:rPr>
            </w:pPr>
            <w:r>
              <w:rPr>
                <w:rFonts w:ascii="Arial" w:cs="Arial" w:eastAsia="Arial" w:hAnsi="Arial"/>
                <w:sz w:val="18"/>
                <w:szCs w:val="18"/>
                <w:b w:val="1"/>
                <w:bCs w:val="1"/>
                <w:color w:val="auto"/>
              </w:rPr>
              <w:t>2</w:t>
            </w:r>
          </w:p>
        </w:tc>
      </w:tr>
      <w:tr>
        <w:trPr>
          <w:trHeight w:val="216"/>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38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w:t>
            </w:r>
          </w:p>
        </w:tc>
      </w:tr>
      <w:tr>
        <w:trPr>
          <w:trHeight w:val="216"/>
        </w:trPr>
        <w:tc>
          <w:tcPr>
            <w:tcW w:w="92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w:t>
            </w:r>
          </w:p>
        </w:tc>
      </w:tr>
      <w:tr>
        <w:trPr>
          <w:trHeight w:val="209"/>
        </w:trPr>
        <w:tc>
          <w:tcPr>
            <w:tcW w:w="92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lease payments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6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17</w:t>
            </w:r>
          </w:p>
        </w:tc>
      </w:tr>
      <w:tr>
        <w:trPr>
          <w:trHeight w:val="216"/>
        </w:trPr>
        <w:tc>
          <w:tcPr>
            <w:tcW w:w="9220" w:type="dxa"/>
            <w:vAlign w:val="bottom"/>
          </w:tcPr>
          <w:p>
            <w:pPr>
              <w:ind w:left="520"/>
              <w:spacing w:after="0"/>
              <w:rPr>
                <w:sz w:val="20"/>
                <w:szCs w:val="20"/>
                <w:color w:val="auto"/>
              </w:rPr>
            </w:pPr>
            <w:r>
              <w:rPr>
                <w:rFonts w:ascii="Arial" w:cs="Arial" w:eastAsia="Arial" w:hAnsi="Arial"/>
                <w:sz w:val="18"/>
                <w:szCs w:val="18"/>
                <w:color w:val="auto"/>
              </w:rPr>
              <w:t>Less: Interest</w:t>
            </w:r>
          </w:p>
        </w:tc>
        <w:tc>
          <w:tcPr>
            <w:tcW w:w="3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w:t>
            </w:r>
          </w:p>
        </w:tc>
      </w:tr>
      <w:tr>
        <w:trPr>
          <w:trHeight w:val="249"/>
        </w:trPr>
        <w:tc>
          <w:tcPr>
            <w:tcW w:w="92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Present value of lease liabilities</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15</w:t>
            </w:r>
          </w:p>
        </w:tc>
      </w:tr>
    </w:tbl>
    <w:p>
      <w:pPr>
        <w:spacing w:after="0" w:line="237" w:lineRule="exact"/>
        <w:rPr>
          <w:sz w:val="20"/>
          <w:szCs w:val="20"/>
          <w:color w:val="auto"/>
        </w:rPr>
      </w:pPr>
    </w:p>
    <w:p>
      <w:pPr>
        <w:ind w:right="260" w:firstLine="494"/>
        <w:spacing w:after="0" w:line="333" w:lineRule="auto"/>
        <w:rPr>
          <w:sz w:val="20"/>
          <w:szCs w:val="20"/>
          <w:color w:val="auto"/>
        </w:rPr>
      </w:pPr>
      <w:r>
        <w:rPr>
          <w:rFonts w:ascii="Arial" w:cs="Arial" w:eastAsia="Arial" w:hAnsi="Arial"/>
          <w:sz w:val="18"/>
          <w:szCs w:val="18"/>
          <w:color w:val="auto"/>
        </w:rPr>
        <w:t>ROU assets are calculated as the related lease liability adjusted for lease incentives, prepayments and the effect of escalating lease payments on period expense. The below table depicts the ROU assets held by the Company based on the underlying asset: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40" w:type="dxa"/>
            <w:vAlign w:val="bottom"/>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ind w:right="43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526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ind w:right="73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Buildings</w:t>
            </w:r>
          </w:p>
        </w:tc>
        <w:tc>
          <w:tcPr>
            <w:tcW w:w="402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ind w:right="1039"/>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14</w:t>
            </w:r>
          </w:p>
        </w:tc>
        <w:tc>
          <w:tcPr>
            <w:tcW w:w="1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Land</w:t>
            </w:r>
          </w:p>
        </w:tc>
        <w:tc>
          <w:tcPr>
            <w:tcW w:w="4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Vehicles</w:t>
            </w:r>
          </w:p>
        </w:tc>
        <w:tc>
          <w:tcPr>
            <w:tcW w:w="40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Arial" w:cs="Arial" w:eastAsia="Arial" w:hAnsi="Arial"/>
                <w:sz w:val="18"/>
                <w:szCs w:val="18"/>
                <w:color w:val="auto"/>
              </w:rPr>
              <w:t>Total ROU assets</w:t>
            </w:r>
          </w:p>
        </w:tc>
        <w:tc>
          <w:tcPr>
            <w:tcW w:w="5260" w:type="dxa"/>
            <w:vAlign w:val="bottom"/>
            <w:gridSpan w:val="2"/>
          </w:tcPr>
          <w:p>
            <w:pPr>
              <w:jc w:val="right"/>
              <w:ind w:right="1039"/>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16</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4020" w:type="dxa"/>
            <w:vAlign w:val="bottom"/>
            <w:vMerge w:val="restart"/>
          </w:tcPr>
          <w:p>
            <w:pPr>
              <w:jc w:val="right"/>
              <w:ind w:right="1696"/>
              <w:spacing w:after="0"/>
              <w:rPr>
                <w:sz w:val="20"/>
                <w:szCs w:val="20"/>
                <w:color w:val="auto"/>
              </w:rPr>
            </w:pPr>
            <w:r>
              <w:rPr>
                <w:rFonts w:ascii="Arial" w:cs="Arial" w:eastAsia="Arial" w:hAnsi="Arial"/>
                <w:sz w:val="18"/>
                <w:szCs w:val="18"/>
                <w:color w:val="auto"/>
              </w:rPr>
              <w:t>17</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348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348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5844540</wp:posOffset>
            </wp:positionH>
            <wp:positionV relativeFrom="paragraph">
              <wp:posOffset>-675640</wp:posOffset>
            </wp:positionV>
            <wp:extent cx="1111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weighted average remaining lease term as of June 30, 2022 and June 30, 2021 was 6.8 years and 7.1 years, respectively.</w:t>
      </w:r>
    </w:p>
    <w:p>
      <w:pPr>
        <w:spacing w:after="0" w:line="144" w:lineRule="exact"/>
        <w:rPr>
          <w:sz w:val="20"/>
          <w:szCs w:val="20"/>
          <w:color w:val="auto"/>
        </w:rPr>
      </w:pPr>
    </w:p>
    <w:p>
      <w:pPr>
        <w:ind w:right="100" w:firstLine="494"/>
        <w:spacing w:after="0" w:line="298" w:lineRule="auto"/>
        <w:rPr>
          <w:sz w:val="20"/>
          <w:szCs w:val="20"/>
          <w:color w:val="auto"/>
        </w:rPr>
      </w:pPr>
      <w:r>
        <w:rPr>
          <w:rFonts w:ascii="Arial" w:cs="Arial" w:eastAsia="Arial" w:hAnsi="Arial"/>
          <w:sz w:val="18"/>
          <w:szCs w:val="18"/>
          <w:color w:val="auto"/>
        </w:rPr>
        <w:t>Operating lease expense was $2 million for each of the three months ended June 30, 2022 and 2021 and $3 million for each of the six months ended June 30, 2022 and 2021, and was recorded within Selling, general and administrative expense and Engineering - research and development on the Company's Condensed Consolidated Statements of Comprehensive Income. There was no material short-term operating lease expense for any of the three or six months ended June 30, 2022 or 2021.</w:t>
      </w:r>
    </w:p>
    <w:p>
      <w:pPr>
        <w:spacing w:after="0" w:line="78" w:lineRule="exact"/>
        <w:rPr>
          <w:sz w:val="20"/>
          <w:szCs w:val="20"/>
          <w:color w:val="auto"/>
        </w:rPr>
      </w:pPr>
    </w:p>
    <w:p>
      <w:pPr>
        <w:ind w:right="120" w:firstLine="494"/>
        <w:spacing w:after="0" w:line="299" w:lineRule="auto"/>
        <w:rPr>
          <w:sz w:val="20"/>
          <w:szCs w:val="20"/>
          <w:color w:val="auto"/>
        </w:rPr>
      </w:pPr>
      <w:r>
        <w:rPr>
          <w:rFonts w:ascii="Arial" w:cs="Arial" w:eastAsia="Arial" w:hAnsi="Arial"/>
          <w:sz w:val="18"/>
          <w:szCs w:val="18"/>
          <w:color w:val="auto"/>
        </w:rPr>
        <w:t>The calculation of the Company's ROU assets and lease liabilities did not include cash consideration as of either June 30, 2022 or December 31, 2021. During the six months ended June 30, 2022 and 2021, the Company recorded zero and $1 million, respectively, of new ROU assets obtained in exchange for lease obligations.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OTHER CURRENT LIABILITIES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current liabilities consist of the following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ind w:right="393"/>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580" w:type="dxa"/>
            <w:vAlign w:val="bottom"/>
          </w:tcPr>
          <w:p>
            <w:pPr>
              <w:spacing w:after="0"/>
              <w:rPr>
                <w:sz w:val="16"/>
                <w:szCs w:val="16"/>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2021</w:t>
            </w:r>
          </w:p>
        </w:tc>
      </w:tr>
      <w:tr>
        <w:trPr>
          <w:trHeight w:val="209"/>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 and related costs</w:t>
            </w:r>
          </w:p>
        </w:tc>
        <w:tc>
          <w:tcPr>
            <w:tcW w:w="1160" w:type="dxa"/>
            <w:vAlign w:val="bottom"/>
            <w:shd w:val="clear" w:color="auto" w:fill="CFF0FC"/>
          </w:tcPr>
          <w:p>
            <w:pPr>
              <w:jc w:val="right"/>
              <w:ind w:right="959"/>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48</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80</w:t>
            </w:r>
          </w:p>
        </w:tc>
      </w:tr>
      <w:tr>
        <w:trPr>
          <w:trHeight w:val="216"/>
        </w:trPr>
        <w:tc>
          <w:tcPr>
            <w:tcW w:w="7580" w:type="dxa"/>
            <w:vAlign w:val="bottom"/>
          </w:tcPr>
          <w:p>
            <w:pPr>
              <w:ind w:left="20"/>
              <w:spacing w:after="0"/>
              <w:rPr>
                <w:sz w:val="20"/>
                <w:szCs w:val="20"/>
                <w:color w:val="auto"/>
              </w:rPr>
            </w:pPr>
            <w:r>
              <w:rPr>
                <w:rFonts w:ascii="Arial" w:cs="Arial" w:eastAsia="Arial" w:hAnsi="Arial"/>
                <w:sz w:val="18"/>
                <w:szCs w:val="18"/>
                <w:color w:val="auto"/>
              </w:rPr>
              <w:t>Sales allowances</w:t>
            </w:r>
          </w:p>
        </w:tc>
        <w:tc>
          <w:tcPr>
            <w:tcW w:w="116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rPr>
              <w:t>33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39</w:t>
            </w:r>
          </w:p>
        </w:tc>
      </w:tr>
      <w:tr>
        <w:trPr>
          <w:trHeight w:val="216"/>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interest payable</w:t>
            </w:r>
          </w:p>
        </w:tc>
        <w:tc>
          <w:tcPr>
            <w:tcW w:w="11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24</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24</w:t>
            </w:r>
          </w:p>
        </w:tc>
      </w:tr>
      <w:tr>
        <w:trPr>
          <w:trHeight w:val="216"/>
        </w:trPr>
        <w:tc>
          <w:tcPr>
            <w:tcW w:w="7580" w:type="dxa"/>
            <w:vAlign w:val="bottom"/>
          </w:tcPr>
          <w:p>
            <w:pPr>
              <w:ind w:left="20"/>
              <w:spacing w:after="0"/>
              <w:rPr>
                <w:sz w:val="20"/>
                <w:szCs w:val="20"/>
                <w:color w:val="auto"/>
              </w:rPr>
            </w:pPr>
            <w:r>
              <w:rPr>
                <w:rFonts w:ascii="Arial" w:cs="Arial" w:eastAsia="Arial" w:hAnsi="Arial"/>
                <w:sz w:val="18"/>
                <w:szCs w:val="18"/>
                <w:color w:val="auto"/>
              </w:rPr>
              <w:t>Taxes payable</w:t>
            </w:r>
          </w:p>
        </w:tc>
        <w:tc>
          <w:tcPr>
            <w:tcW w:w="116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rPr>
              <w:t>17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14</w:t>
            </w:r>
          </w:p>
        </w:tc>
      </w:tr>
      <w:tr>
        <w:trPr>
          <w:trHeight w:val="216"/>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Vendor buyback obligation</w:t>
            </w:r>
          </w:p>
        </w:tc>
        <w:tc>
          <w:tcPr>
            <w:tcW w:w="11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15</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w:t>
            </w:r>
          </w:p>
        </w:tc>
      </w:tr>
      <w:tr>
        <w:trPr>
          <w:trHeight w:val="216"/>
        </w:trPr>
        <w:tc>
          <w:tcPr>
            <w:tcW w:w="7580" w:type="dxa"/>
            <w:vAlign w:val="bottom"/>
          </w:tcPr>
          <w:p>
            <w:pPr>
              <w:ind w:left="20"/>
              <w:spacing w:after="0"/>
              <w:rPr>
                <w:sz w:val="20"/>
                <w:szCs w:val="20"/>
                <w:color w:val="auto"/>
              </w:rPr>
            </w:pPr>
            <w:r>
              <w:rPr>
                <w:rFonts w:ascii="Arial" w:cs="Arial" w:eastAsia="Arial" w:hAnsi="Arial"/>
                <w:sz w:val="18"/>
                <w:szCs w:val="18"/>
                <w:color w:val="auto"/>
              </w:rPr>
              <w:t>OPEB liability</w:t>
            </w:r>
          </w:p>
        </w:tc>
        <w:tc>
          <w:tcPr>
            <w:tcW w:w="116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4</w:t>
            </w:r>
          </w:p>
        </w:tc>
      </w:tr>
      <w:tr>
        <w:trPr>
          <w:trHeight w:val="216"/>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liability</w:t>
            </w:r>
          </w:p>
        </w:tc>
        <w:tc>
          <w:tcPr>
            <w:tcW w:w="11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w:t>
            </w:r>
          </w:p>
        </w:tc>
      </w:tr>
      <w:tr>
        <w:trPr>
          <w:trHeight w:val="216"/>
        </w:trPr>
        <w:tc>
          <w:tcPr>
            <w:tcW w:w="758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116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10</w:t>
            </w:r>
          </w:p>
        </w:tc>
      </w:tr>
      <w:tr>
        <w:trPr>
          <w:trHeight w:val="216"/>
        </w:trPr>
        <w:tc>
          <w:tcPr>
            <w:tcW w:w="7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accruals</w:t>
            </w:r>
          </w:p>
        </w:tc>
        <w:tc>
          <w:tcPr>
            <w:tcW w:w="11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14</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w:t>
            </w:r>
          </w:p>
        </w:tc>
      </w:tr>
      <w:tr>
        <w:trPr>
          <w:trHeight w:val="209"/>
        </w:trPr>
        <w:tc>
          <w:tcPr>
            <w:tcW w:w="7580" w:type="dxa"/>
            <w:vAlign w:val="bottom"/>
          </w:tcPr>
          <w:p>
            <w:pPr>
              <w:ind w:left="280"/>
              <w:spacing w:after="0"/>
              <w:rPr>
                <w:sz w:val="20"/>
                <w:szCs w:val="20"/>
                <w:color w:val="auto"/>
              </w:rPr>
            </w:pPr>
            <w:r>
              <w:rPr>
                <w:rFonts w:ascii="Arial" w:cs="Arial" w:eastAsia="Arial" w:hAnsi="Arial"/>
                <w:sz w:val="18"/>
                <w:szCs w:val="18"/>
                <w:color w:val="auto"/>
              </w:rPr>
              <w:t>Total</w:t>
            </w:r>
          </w:p>
        </w:tc>
        <w:tc>
          <w:tcPr>
            <w:tcW w:w="1160" w:type="dxa"/>
            <w:vAlign w:val="bottom"/>
          </w:tcPr>
          <w:p>
            <w:pPr>
              <w:jc w:val="right"/>
              <w:ind w:right="959"/>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rPr>
              <w:t>160</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204</w:t>
            </w:r>
          </w:p>
        </w:tc>
      </w:tr>
      <w:tr>
        <w:trPr>
          <w:trHeight w:val="20"/>
        </w:trPr>
        <w:tc>
          <w:tcPr>
            <w:tcW w:w="7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-170815</wp:posOffset>
            </wp:positionV>
            <wp:extent cx="1111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EMPLOYEE BENEFIT PLANS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Components of net periodic benefit cost (credit) consist of the following (dollars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4"/>
                <w:szCs w:val="14"/>
                <w:b w:val="1"/>
                <w:bCs w:val="1"/>
                <w:color w:val="auto"/>
              </w:rPr>
              <w:t>Pension Plans</w:t>
            </w:r>
          </w:p>
        </w:tc>
        <w:tc>
          <w:tcPr>
            <w:tcW w:w="4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center"/>
              <w:ind w:left="248"/>
              <w:spacing w:after="0"/>
              <w:rPr>
                <w:sz w:val="20"/>
                <w:szCs w:val="20"/>
                <w:color w:val="auto"/>
              </w:rPr>
            </w:pPr>
            <w:r>
              <w:rPr>
                <w:rFonts w:ascii="Arial" w:cs="Arial" w:eastAsia="Arial" w:hAnsi="Arial"/>
                <w:sz w:val="14"/>
                <w:szCs w:val="14"/>
                <w:b w:val="1"/>
                <w:bCs w:val="1"/>
                <w:color w:val="auto"/>
              </w:rPr>
              <w:t>Post-retirement Benefits</w:t>
            </w:r>
          </w:p>
        </w:tc>
        <w:tc>
          <w:tcPr>
            <w:tcW w:w="440" w:type="dxa"/>
            <w:vAlign w:val="bottom"/>
            <w:tcBorders>
              <w:bottom w:val="single" w:sz="8" w:color="auto"/>
            </w:tcBorders>
          </w:tcPr>
          <w:p>
            <w:pPr>
              <w:spacing w:after="0"/>
              <w:rPr>
                <w:sz w:val="16"/>
                <w:szCs w:val="16"/>
                <w:color w:val="auto"/>
              </w:rPr>
            </w:pPr>
          </w:p>
        </w:tc>
      </w:tr>
      <w:tr>
        <w:trPr>
          <w:trHeight w:val="146"/>
        </w:trPr>
        <w:tc>
          <w:tcPr>
            <w:tcW w:w="40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20" w:type="dxa"/>
            <w:vAlign w:val="bottom"/>
            <w:gridSpan w:val="4"/>
          </w:tcPr>
          <w:p>
            <w:pPr>
              <w:jc w:val="center"/>
              <w:ind w:left="228"/>
              <w:spacing w:after="0" w:line="146" w:lineRule="exact"/>
              <w:rPr>
                <w:sz w:val="20"/>
                <w:szCs w:val="20"/>
                <w:color w:val="auto"/>
              </w:rPr>
            </w:pPr>
            <w:r>
              <w:rPr>
                <w:rFonts w:ascii="Arial" w:cs="Arial" w:eastAsia="Arial" w:hAnsi="Arial"/>
                <w:sz w:val="14"/>
                <w:szCs w:val="14"/>
                <w:b w:val="1"/>
                <w:bCs w:val="1"/>
                <w:color w:val="auto"/>
              </w:rPr>
              <w:t>For the Three Months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gridSpan w:val="4"/>
          </w:tcPr>
          <w:p>
            <w:pPr>
              <w:jc w:val="center"/>
              <w:ind w:left="248"/>
              <w:spacing w:after="0" w:line="146" w:lineRule="exact"/>
              <w:rPr>
                <w:sz w:val="20"/>
                <w:szCs w:val="20"/>
                <w:color w:val="auto"/>
              </w:rPr>
            </w:pPr>
            <w:r>
              <w:rPr>
                <w:rFonts w:ascii="Arial" w:cs="Arial" w:eastAsia="Arial" w:hAnsi="Arial"/>
                <w:sz w:val="14"/>
                <w:szCs w:val="14"/>
                <w:b w:val="1"/>
                <w:bCs w:val="1"/>
                <w:color w:val="auto"/>
              </w:rPr>
              <w:t>For the Three Months</w:t>
            </w:r>
          </w:p>
        </w:tc>
        <w:tc>
          <w:tcPr>
            <w:tcW w:w="440" w:type="dxa"/>
            <w:vAlign w:val="bottom"/>
          </w:tcPr>
          <w:p>
            <w:pPr>
              <w:spacing w:after="0"/>
              <w:rPr>
                <w:sz w:val="12"/>
                <w:szCs w:val="12"/>
                <w:color w:val="auto"/>
              </w:rPr>
            </w:pPr>
          </w:p>
        </w:tc>
      </w:tr>
      <w:tr>
        <w:trPr>
          <w:trHeight w:val="162"/>
        </w:trPr>
        <w:tc>
          <w:tcPr>
            <w:tcW w:w="4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gridSpan w:val="3"/>
          </w:tcPr>
          <w:p>
            <w:pPr>
              <w:jc w:val="center"/>
              <w:ind w:right="370"/>
              <w:spacing w:after="0"/>
              <w:rPr>
                <w:sz w:val="20"/>
                <w:szCs w:val="20"/>
                <w:color w:val="auto"/>
              </w:rPr>
            </w:pPr>
            <w:r>
              <w:rPr>
                <w:rFonts w:ascii="Arial" w:cs="Arial" w:eastAsia="Arial" w:hAnsi="Arial"/>
                <w:sz w:val="14"/>
                <w:szCs w:val="14"/>
                <w:b w:val="1"/>
                <w:bCs w:val="1"/>
                <w:color w:val="auto"/>
              </w:rPr>
              <w:t>Ended June 30,</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20" w:type="dxa"/>
            <w:vAlign w:val="bottom"/>
            <w:gridSpan w:val="3"/>
          </w:tcPr>
          <w:p>
            <w:pPr>
              <w:jc w:val="center"/>
              <w:ind w:right="330"/>
              <w:spacing w:after="0"/>
              <w:rPr>
                <w:sz w:val="20"/>
                <w:szCs w:val="20"/>
                <w:color w:val="auto"/>
              </w:rPr>
            </w:pPr>
            <w:r>
              <w:rPr>
                <w:rFonts w:ascii="Arial" w:cs="Arial" w:eastAsia="Arial" w:hAnsi="Arial"/>
                <w:sz w:val="14"/>
                <w:szCs w:val="14"/>
                <w:b w:val="1"/>
                <w:bCs w:val="1"/>
                <w:color w:val="auto"/>
              </w:rPr>
              <w:t>Ended June 30,</w:t>
            </w:r>
          </w:p>
        </w:tc>
        <w:tc>
          <w:tcPr>
            <w:tcW w:w="440" w:type="dxa"/>
            <w:vAlign w:val="bottom"/>
          </w:tcPr>
          <w:p>
            <w:pPr>
              <w:spacing w:after="0"/>
              <w:rPr>
                <w:sz w:val="14"/>
                <w:szCs w:val="14"/>
                <w:color w:val="auto"/>
              </w:rPr>
            </w:pPr>
          </w:p>
        </w:tc>
      </w:tr>
      <w:tr>
        <w:trPr>
          <w:trHeight w:val="185"/>
        </w:trPr>
        <w:tc>
          <w:tcPr>
            <w:tcW w:w="4060" w:type="dxa"/>
            <w:vAlign w:val="bottom"/>
          </w:tcPr>
          <w:p>
            <w:pPr>
              <w:spacing w:after="0"/>
              <w:rPr>
                <w:sz w:val="16"/>
                <w:szCs w:val="16"/>
                <w:color w:val="auto"/>
              </w:rPr>
            </w:pPr>
          </w:p>
        </w:tc>
        <w:tc>
          <w:tcPr>
            <w:tcW w:w="23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8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6"/>
                <w:szCs w:val="16"/>
                <w:color w:val="auto"/>
              </w:rPr>
            </w:pPr>
          </w:p>
        </w:tc>
      </w:tr>
      <w:tr>
        <w:trPr>
          <w:trHeight w:val="209"/>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periodic benefit cost (credit):</w:t>
            </w:r>
          </w:p>
        </w:tc>
        <w:tc>
          <w:tcPr>
            <w:tcW w:w="158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360" w:type="dxa"/>
            <w:vAlign w:val="bottom"/>
            <w:gridSpan w:val="3"/>
          </w:tcPr>
          <w:p>
            <w:pPr>
              <w:jc w:val="right"/>
              <w:ind w:right="608"/>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35"/>
              <w:spacing w:after="0"/>
              <w:rPr>
                <w:sz w:val="20"/>
                <w:szCs w:val="20"/>
                <w:color w:val="auto"/>
              </w:rPr>
            </w:pPr>
            <w:r>
              <w:rPr>
                <w:rFonts w:ascii="Arial" w:cs="Arial" w:eastAsia="Arial" w:hAnsi="Arial"/>
                <w:sz w:val="18"/>
                <w:szCs w:val="18"/>
                <w:b w:val="1"/>
                <w:bCs w:val="1"/>
                <w:color w:val="auto"/>
              </w:rPr>
              <w:t>2</w:t>
            </w:r>
          </w:p>
        </w:tc>
        <w:tc>
          <w:tcPr>
            <w:tcW w:w="106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880" w:type="dxa"/>
            <w:vAlign w:val="bottom"/>
            <w:gridSpan w:val="4"/>
          </w:tcPr>
          <w:p>
            <w:pPr>
              <w:jc w:val="right"/>
              <w:ind w:right="568"/>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33"/>
              <w:spacing w:after="0"/>
              <w:rPr>
                <w:sz w:val="20"/>
                <w:szCs w:val="20"/>
                <w:color w:val="auto"/>
              </w:rPr>
            </w:pPr>
            <w:r>
              <w:rPr>
                <w:rFonts w:ascii="Arial" w:cs="Arial" w:eastAsia="Arial" w:hAnsi="Arial"/>
                <w:sz w:val="18"/>
                <w:szCs w:val="18"/>
                <w:b w:val="1"/>
                <w:bCs w:val="1"/>
                <w:color w:val="auto"/>
              </w:rPr>
              <w:t>1</w:t>
            </w:r>
          </w:p>
        </w:tc>
        <w:tc>
          <w:tcPr>
            <w:tcW w:w="102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16"/>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cost</w:t>
            </w:r>
          </w:p>
        </w:tc>
        <w:tc>
          <w:tcPr>
            <w:tcW w:w="1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16"/>
        </w:trPr>
        <w:tc>
          <w:tcPr>
            <w:tcW w:w="4060" w:type="dxa"/>
            <w:vAlign w:val="bottom"/>
          </w:tcPr>
          <w:p>
            <w:pPr>
              <w:ind w:left="20"/>
              <w:spacing w:after="0"/>
              <w:rPr>
                <w:sz w:val="20"/>
                <w:szCs w:val="20"/>
                <w:color w:val="auto"/>
              </w:rPr>
            </w:pPr>
            <w:r>
              <w:rPr>
                <w:rFonts w:ascii="Arial" w:cs="Arial" w:eastAsia="Arial" w:hAnsi="Arial"/>
                <w:sz w:val="18"/>
                <w:szCs w:val="18"/>
                <w:color w:val="auto"/>
              </w:rPr>
              <w:t>Expected return on assets</w:t>
            </w: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Prior service credit</w:t>
            </w:r>
          </w:p>
        </w:tc>
        <w:tc>
          <w:tcPr>
            <w:tcW w:w="15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09"/>
        </w:trPr>
        <w:tc>
          <w:tcPr>
            <w:tcW w:w="4060" w:type="dxa"/>
            <w:vAlign w:val="bottom"/>
          </w:tcPr>
          <w:p>
            <w:pPr>
              <w:ind w:left="20"/>
              <w:spacing w:after="0"/>
              <w:rPr>
                <w:sz w:val="20"/>
                <w:szCs w:val="20"/>
                <w:color w:val="auto"/>
              </w:rPr>
            </w:pPr>
            <w:r>
              <w:rPr>
                <w:rFonts w:ascii="Arial" w:cs="Arial" w:eastAsia="Arial" w:hAnsi="Arial"/>
                <w:sz w:val="18"/>
                <w:szCs w:val="18"/>
                <w:color w:val="auto"/>
              </w:rPr>
              <w:t>Net periodic benefit cost (credit)</w:t>
            </w:r>
          </w:p>
        </w:tc>
        <w:tc>
          <w:tcPr>
            <w:tcW w:w="1580" w:type="dxa"/>
            <w:vAlign w:val="bottom"/>
          </w:tcPr>
          <w:p>
            <w:pPr>
              <w:spacing w:after="0"/>
              <w:rPr>
                <w:sz w:val="18"/>
                <w:szCs w:val="18"/>
                <w:color w:val="auto"/>
              </w:rPr>
            </w:pPr>
          </w:p>
        </w:tc>
        <w:tc>
          <w:tcPr>
            <w:tcW w:w="780" w:type="dxa"/>
            <w:vAlign w:val="bottom"/>
            <w:tcBorders>
              <w:bottom w:val="single" w:sz="8" w:color="auto"/>
            </w:tcBorders>
            <w:gridSpan w:val="2"/>
          </w:tcPr>
          <w:p>
            <w:pPr>
              <w:jc w:val="right"/>
              <w:ind w:right="608"/>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8"/>
                <w:szCs w:val="18"/>
                <w:color w:val="auto"/>
              </w:rPr>
            </w:pP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gridSpan w:val="2"/>
          </w:tcPr>
          <w:p>
            <w:pPr>
              <w:spacing w:after="0"/>
              <w:rPr>
                <w:sz w:val="18"/>
                <w:szCs w:val="18"/>
                <w:color w:val="auto"/>
              </w:rPr>
            </w:pPr>
          </w:p>
        </w:tc>
        <w:tc>
          <w:tcPr>
            <w:tcW w:w="760" w:type="dxa"/>
            <w:vAlign w:val="bottom"/>
            <w:tcBorders>
              <w:bottom w:val="single" w:sz="8" w:color="auto"/>
            </w:tcBorders>
            <w:gridSpan w:val="2"/>
          </w:tcPr>
          <w:p>
            <w:pPr>
              <w:jc w:val="right"/>
              <w:ind w:right="568"/>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0"/>
        </w:trPr>
        <w:tc>
          <w:tcPr>
            <w:tcW w:w="4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371"/>
        </w:trPr>
        <w:tc>
          <w:tcPr>
            <w:tcW w:w="4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4"/>
                <w:szCs w:val="14"/>
                <w:b w:val="1"/>
                <w:bCs w:val="1"/>
                <w:color w:val="auto"/>
              </w:rPr>
              <w:t>Pension Plans</w:t>
            </w: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Borders>
              <w:bottom w:val="single" w:sz="8" w:color="auto"/>
            </w:tcBorders>
            <w:gridSpan w:val="4"/>
          </w:tcPr>
          <w:p>
            <w:pPr>
              <w:jc w:val="center"/>
              <w:ind w:left="268"/>
              <w:spacing w:after="0"/>
              <w:rPr>
                <w:sz w:val="20"/>
                <w:szCs w:val="20"/>
                <w:color w:val="auto"/>
              </w:rPr>
            </w:pPr>
            <w:r>
              <w:rPr>
                <w:rFonts w:ascii="Arial" w:cs="Arial" w:eastAsia="Arial" w:hAnsi="Arial"/>
                <w:sz w:val="14"/>
                <w:szCs w:val="14"/>
                <w:b w:val="1"/>
                <w:bCs w:val="1"/>
                <w:color w:val="auto"/>
              </w:rPr>
              <w:t>Post-retirement Benefits</w:t>
            </w:r>
          </w:p>
        </w:tc>
        <w:tc>
          <w:tcPr>
            <w:tcW w:w="440" w:type="dxa"/>
            <w:vAlign w:val="bottom"/>
            <w:tcBorders>
              <w:bottom w:val="single" w:sz="8" w:color="auto"/>
            </w:tcBorders>
          </w:tcPr>
          <w:p>
            <w:pPr>
              <w:spacing w:after="0"/>
              <w:rPr>
                <w:sz w:val="24"/>
                <w:szCs w:val="24"/>
                <w:color w:val="auto"/>
              </w:rPr>
            </w:pPr>
          </w:p>
        </w:tc>
      </w:tr>
      <w:tr>
        <w:trPr>
          <w:trHeight w:val="133"/>
        </w:trPr>
        <w:tc>
          <w:tcPr>
            <w:tcW w:w="40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20" w:type="dxa"/>
            <w:vAlign w:val="bottom"/>
            <w:gridSpan w:val="4"/>
          </w:tcPr>
          <w:p>
            <w:pPr>
              <w:jc w:val="center"/>
              <w:ind w:left="248"/>
              <w:spacing w:after="0" w:line="133" w:lineRule="exact"/>
              <w:rPr>
                <w:sz w:val="20"/>
                <w:szCs w:val="20"/>
                <w:color w:val="auto"/>
              </w:rPr>
            </w:pPr>
            <w:r>
              <w:rPr>
                <w:rFonts w:ascii="Arial" w:cs="Arial" w:eastAsia="Arial" w:hAnsi="Arial"/>
                <w:sz w:val="14"/>
                <w:szCs w:val="14"/>
                <w:b w:val="1"/>
                <w:bCs w:val="1"/>
                <w:color w:val="auto"/>
              </w:rPr>
              <w:t>For the Six Months</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60" w:type="dxa"/>
            <w:vAlign w:val="bottom"/>
            <w:gridSpan w:val="4"/>
          </w:tcPr>
          <w:p>
            <w:pPr>
              <w:jc w:val="center"/>
              <w:ind w:left="268"/>
              <w:spacing w:after="0" w:line="133" w:lineRule="exact"/>
              <w:rPr>
                <w:sz w:val="20"/>
                <w:szCs w:val="20"/>
                <w:color w:val="auto"/>
              </w:rPr>
            </w:pPr>
            <w:r>
              <w:rPr>
                <w:rFonts w:ascii="Arial" w:cs="Arial" w:eastAsia="Arial" w:hAnsi="Arial"/>
                <w:sz w:val="14"/>
                <w:szCs w:val="14"/>
                <w:b w:val="1"/>
                <w:bCs w:val="1"/>
                <w:color w:val="auto"/>
              </w:rPr>
              <w:t>For the Six Months</w:t>
            </w:r>
          </w:p>
        </w:tc>
        <w:tc>
          <w:tcPr>
            <w:tcW w:w="440" w:type="dxa"/>
            <w:vAlign w:val="bottom"/>
          </w:tcPr>
          <w:p>
            <w:pPr>
              <w:spacing w:after="0"/>
              <w:rPr>
                <w:sz w:val="11"/>
                <w:szCs w:val="11"/>
                <w:color w:val="auto"/>
              </w:rPr>
            </w:pPr>
          </w:p>
        </w:tc>
      </w:tr>
      <w:tr>
        <w:trPr>
          <w:trHeight w:val="175"/>
        </w:trPr>
        <w:tc>
          <w:tcPr>
            <w:tcW w:w="40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60" w:type="dxa"/>
            <w:vAlign w:val="bottom"/>
            <w:gridSpan w:val="3"/>
          </w:tcPr>
          <w:p>
            <w:pPr>
              <w:jc w:val="center"/>
              <w:ind w:right="350"/>
              <w:spacing w:after="0"/>
              <w:rPr>
                <w:sz w:val="20"/>
                <w:szCs w:val="20"/>
                <w:color w:val="auto"/>
              </w:rPr>
            </w:pPr>
            <w:r>
              <w:rPr>
                <w:rFonts w:ascii="Arial" w:cs="Arial" w:eastAsia="Arial" w:hAnsi="Arial"/>
                <w:sz w:val="14"/>
                <w:szCs w:val="14"/>
                <w:b w:val="1"/>
                <w:bCs w:val="1"/>
                <w:color w:val="auto"/>
              </w:rPr>
              <w:t>Ended June 30,</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20" w:type="dxa"/>
            <w:vAlign w:val="bottom"/>
            <w:gridSpan w:val="3"/>
          </w:tcPr>
          <w:p>
            <w:pPr>
              <w:jc w:val="center"/>
              <w:ind w:right="310"/>
              <w:spacing w:after="0"/>
              <w:rPr>
                <w:sz w:val="20"/>
                <w:szCs w:val="20"/>
                <w:color w:val="auto"/>
              </w:rPr>
            </w:pPr>
            <w:r>
              <w:rPr>
                <w:rFonts w:ascii="Arial" w:cs="Arial" w:eastAsia="Arial" w:hAnsi="Arial"/>
                <w:sz w:val="14"/>
                <w:szCs w:val="14"/>
                <w:b w:val="1"/>
                <w:bCs w:val="1"/>
                <w:color w:val="auto"/>
              </w:rPr>
              <w:t>Ended June 30,</w:t>
            </w:r>
          </w:p>
        </w:tc>
        <w:tc>
          <w:tcPr>
            <w:tcW w:w="440" w:type="dxa"/>
            <w:vAlign w:val="bottom"/>
          </w:tcPr>
          <w:p>
            <w:pPr>
              <w:spacing w:after="0"/>
              <w:rPr>
                <w:sz w:val="15"/>
                <w:szCs w:val="15"/>
                <w:color w:val="auto"/>
              </w:rPr>
            </w:pPr>
          </w:p>
        </w:tc>
      </w:tr>
      <w:tr>
        <w:trPr>
          <w:trHeight w:val="185"/>
        </w:trPr>
        <w:tc>
          <w:tcPr>
            <w:tcW w:w="4060" w:type="dxa"/>
            <w:vAlign w:val="bottom"/>
          </w:tcPr>
          <w:p>
            <w:pPr>
              <w:spacing w:after="0"/>
              <w:rPr>
                <w:sz w:val="16"/>
                <w:szCs w:val="16"/>
                <w:color w:val="auto"/>
              </w:rPr>
            </w:pPr>
          </w:p>
        </w:tc>
        <w:tc>
          <w:tcPr>
            <w:tcW w:w="23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8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6"/>
                <w:szCs w:val="16"/>
                <w:color w:val="auto"/>
              </w:rPr>
            </w:pPr>
          </w:p>
        </w:tc>
      </w:tr>
      <w:tr>
        <w:trPr>
          <w:trHeight w:val="209"/>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periodic benefit cost (credit):</w:t>
            </w:r>
          </w:p>
        </w:tc>
        <w:tc>
          <w:tcPr>
            <w:tcW w:w="1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360" w:type="dxa"/>
            <w:vAlign w:val="bottom"/>
            <w:gridSpan w:val="3"/>
          </w:tcPr>
          <w:p>
            <w:pPr>
              <w:jc w:val="right"/>
              <w:ind w:right="588"/>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35"/>
              <w:spacing w:after="0"/>
              <w:rPr>
                <w:sz w:val="20"/>
                <w:szCs w:val="20"/>
                <w:color w:val="auto"/>
              </w:rPr>
            </w:pPr>
            <w:r>
              <w:rPr>
                <w:rFonts w:ascii="Arial" w:cs="Arial" w:eastAsia="Arial" w:hAnsi="Arial"/>
                <w:sz w:val="18"/>
                <w:szCs w:val="18"/>
                <w:b w:val="1"/>
                <w:bCs w:val="1"/>
                <w:color w:val="auto"/>
              </w:rPr>
              <w:t>4</w:t>
            </w:r>
          </w:p>
        </w:tc>
        <w:tc>
          <w:tcPr>
            <w:tcW w:w="106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880" w:type="dxa"/>
            <w:vAlign w:val="bottom"/>
            <w:gridSpan w:val="4"/>
          </w:tcPr>
          <w:p>
            <w:pPr>
              <w:jc w:val="right"/>
              <w:ind w:right="548"/>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33"/>
              <w:spacing w:after="0"/>
              <w:rPr>
                <w:sz w:val="20"/>
                <w:szCs w:val="20"/>
                <w:color w:val="auto"/>
              </w:rPr>
            </w:pPr>
            <w:r>
              <w:rPr>
                <w:rFonts w:ascii="Arial" w:cs="Arial" w:eastAsia="Arial" w:hAnsi="Arial"/>
                <w:sz w:val="18"/>
                <w:szCs w:val="18"/>
                <w:b w:val="1"/>
                <w:bCs w:val="1"/>
                <w:color w:val="auto"/>
              </w:rPr>
              <w:t>1</w:t>
            </w:r>
          </w:p>
        </w:tc>
        <w:tc>
          <w:tcPr>
            <w:tcW w:w="102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16"/>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cost</w:t>
            </w:r>
          </w:p>
        </w:tc>
        <w:tc>
          <w:tcPr>
            <w:tcW w:w="1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3</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16"/>
        </w:trPr>
        <w:tc>
          <w:tcPr>
            <w:tcW w:w="4060" w:type="dxa"/>
            <w:vAlign w:val="bottom"/>
          </w:tcPr>
          <w:p>
            <w:pPr>
              <w:ind w:left="20"/>
              <w:spacing w:after="0"/>
              <w:rPr>
                <w:sz w:val="20"/>
                <w:szCs w:val="20"/>
                <w:color w:val="auto"/>
              </w:rPr>
            </w:pPr>
            <w:r>
              <w:rPr>
                <w:rFonts w:ascii="Arial" w:cs="Arial" w:eastAsia="Arial" w:hAnsi="Arial"/>
                <w:sz w:val="18"/>
                <w:szCs w:val="18"/>
                <w:color w:val="auto"/>
              </w:rPr>
              <w:t>Expected return on assets</w:t>
            </w: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Prior service credit</w:t>
            </w:r>
          </w:p>
        </w:tc>
        <w:tc>
          <w:tcPr>
            <w:tcW w:w="15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(5 )</w:t>
            </w: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(5 )</w:t>
            </w:r>
          </w:p>
        </w:tc>
      </w:tr>
      <w:tr>
        <w:trPr>
          <w:trHeight w:val="209"/>
        </w:trPr>
        <w:tc>
          <w:tcPr>
            <w:tcW w:w="4060" w:type="dxa"/>
            <w:vAlign w:val="bottom"/>
          </w:tcPr>
          <w:p>
            <w:pPr>
              <w:ind w:left="20"/>
              <w:spacing w:after="0"/>
              <w:rPr>
                <w:sz w:val="20"/>
                <w:szCs w:val="20"/>
                <w:color w:val="auto"/>
              </w:rPr>
            </w:pPr>
            <w:r>
              <w:rPr>
                <w:rFonts w:ascii="Arial" w:cs="Arial" w:eastAsia="Arial" w:hAnsi="Arial"/>
                <w:sz w:val="18"/>
                <w:szCs w:val="18"/>
                <w:color w:val="auto"/>
              </w:rPr>
              <w:t>Net periodic benefit cost (credit)</w:t>
            </w:r>
          </w:p>
        </w:tc>
        <w:tc>
          <w:tcPr>
            <w:tcW w:w="2360" w:type="dxa"/>
            <w:vAlign w:val="bottom"/>
            <w:gridSpan w:val="3"/>
          </w:tcPr>
          <w:p>
            <w:pPr>
              <w:jc w:val="right"/>
              <w:ind w:right="588"/>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35"/>
              <w:spacing w:after="0"/>
              <w:rPr>
                <w:sz w:val="20"/>
                <w:szCs w:val="20"/>
                <w:color w:val="auto"/>
              </w:rPr>
            </w:pPr>
            <w:r>
              <w:rPr>
                <w:rFonts w:ascii="Arial" w:cs="Arial" w:eastAsia="Arial" w:hAnsi="Arial"/>
                <w:sz w:val="18"/>
                <w:szCs w:val="18"/>
                <w:b w:val="1"/>
                <w:bCs w:val="1"/>
                <w:color w:val="auto"/>
              </w:rPr>
              <w:t>3</w:t>
            </w:r>
          </w:p>
        </w:tc>
        <w:tc>
          <w:tcPr>
            <w:tcW w:w="106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880" w:type="dxa"/>
            <w:vAlign w:val="bottom"/>
            <w:gridSpan w:val="4"/>
          </w:tcPr>
          <w:p>
            <w:pPr>
              <w:jc w:val="right"/>
              <w:ind w:right="548"/>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02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40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618"/>
        </w:trPr>
        <w:tc>
          <w:tcPr>
            <w:tcW w:w="4060" w:type="dxa"/>
            <w:vAlign w:val="bottom"/>
          </w:tcPr>
          <w:p>
            <w:pPr>
              <w:spacing w:after="0"/>
              <w:rPr>
                <w:sz w:val="24"/>
                <w:szCs w:val="24"/>
                <w:color w:val="auto"/>
              </w:rPr>
            </w:pPr>
          </w:p>
        </w:tc>
        <w:tc>
          <w:tcPr>
            <w:tcW w:w="2360" w:type="dxa"/>
            <w:vAlign w:val="bottom"/>
            <w:gridSpan w:val="3"/>
          </w:tcPr>
          <w:p>
            <w:pPr>
              <w:jc w:val="right"/>
              <w:ind w:right="628"/>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11"/>
        </w:trPr>
        <w:tc>
          <w:tcPr>
            <w:tcW w:w="406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-2097405</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-2097405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-2097405</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-658495</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-658495</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-658495</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1" w:lineRule="exact"/>
        <w:rPr>
          <w:sz w:val="20"/>
          <w:szCs w:val="20"/>
          <w:color w:val="auto"/>
        </w:rPr>
      </w:pPr>
    </w:p>
    <w:p>
      <w:pPr>
        <w:ind w:right="280" w:firstLine="494"/>
        <w:spacing w:after="0" w:line="318" w:lineRule="auto"/>
        <w:rPr>
          <w:sz w:val="20"/>
          <w:szCs w:val="20"/>
          <w:color w:val="auto"/>
        </w:rPr>
      </w:pPr>
      <w:r>
        <w:rPr>
          <w:rFonts w:ascii="Arial" w:cs="Arial" w:eastAsia="Arial" w:hAnsi="Arial"/>
          <w:sz w:val="18"/>
          <w:szCs w:val="18"/>
          <w:color w:val="auto"/>
        </w:rPr>
        <w:t>The components of net periodic benefit cost (credit) other than the service cost component are included in Other (expense) income, net in the Condensed Consolidated Statements of Comprehensive Income.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INCOME TAXES</w:t>
      </w:r>
    </w:p>
    <w:p>
      <w:pPr>
        <w:spacing w:after="0" w:line="130" w:lineRule="exact"/>
        <w:rPr>
          <w:sz w:val="20"/>
          <w:szCs w:val="20"/>
          <w:color w:val="auto"/>
        </w:rPr>
      </w:pPr>
    </w:p>
    <w:p>
      <w:pPr>
        <w:ind w:right="120" w:firstLine="494"/>
        <w:spacing w:after="0" w:line="298" w:lineRule="auto"/>
        <w:rPr>
          <w:sz w:val="20"/>
          <w:szCs w:val="20"/>
          <w:color w:val="auto"/>
        </w:rPr>
      </w:pPr>
      <w:r>
        <w:rPr>
          <w:rFonts w:ascii="Arial" w:cs="Arial" w:eastAsia="Arial" w:hAnsi="Arial"/>
          <w:sz w:val="18"/>
          <w:szCs w:val="18"/>
          <w:color w:val="auto"/>
        </w:rPr>
        <w:t>For the three and six months ended June 30, 2022, the Company recorded total income tax expense of $32 million and $66 million, respectively. The effective tax rate for each of the three and six months ended June 30, 2022 was 21%. For the three and six months ended June 30, 2021, the Company recorded total income tax expense of $30 million and $64 million, respectively. The effective tax rate for the three and six months ended June 30, 2021 was 21% and 22%, respectively.</w:t>
      </w:r>
    </w:p>
    <w:p>
      <w:pPr>
        <w:spacing w:after="0" w:line="64" w:lineRule="exact"/>
        <w:rPr>
          <w:sz w:val="20"/>
          <w:szCs w:val="20"/>
          <w:color w:val="auto"/>
        </w:rPr>
      </w:pPr>
    </w:p>
    <w:p>
      <w:pPr>
        <w:ind w:right="200" w:firstLine="494"/>
        <w:spacing w:after="0" w:line="298"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171" w:lineRule="exact"/>
        <w:rPr>
          <w:sz w:val="20"/>
          <w:szCs w:val="20"/>
          <w:color w:val="auto"/>
        </w:rPr>
      </w:pPr>
    </w:p>
    <w:p>
      <w:pPr>
        <w:ind w:firstLine="494"/>
        <w:spacing w:after="0" w:line="299" w:lineRule="auto"/>
        <w:rPr>
          <w:sz w:val="20"/>
          <w:szCs w:val="20"/>
          <w:color w:val="auto"/>
        </w:rPr>
      </w:pPr>
      <w:r>
        <w:rPr>
          <w:rFonts w:ascii="Arial" w:cs="Arial" w:eastAsia="Arial" w:hAnsi="Arial"/>
          <w:sz w:val="18"/>
          <w:szCs w:val="18"/>
          <w:color w:val="auto"/>
        </w:rPr>
        <w:t>The Company continues to provide for a valuation allowance on certain of its foreign deferred tax assets and an anticipated capital loss carryforward. The Company has determined, based on the evaluation of both objective and subjective evidence available, that this valuation allowance is necessary and that it is more likely than not that the deferred tax assets are not fully realizable.</w:t>
      </w:r>
    </w:p>
    <w:p>
      <w:pPr>
        <w:spacing w:after="0" w:line="76" w:lineRule="exact"/>
        <w:rPr>
          <w:sz w:val="20"/>
          <w:szCs w:val="20"/>
          <w:color w:val="auto"/>
        </w:rPr>
      </w:pPr>
    </w:p>
    <w:p>
      <w:pPr>
        <w:ind w:right="20" w:firstLine="494"/>
        <w:spacing w:after="0" w:line="315" w:lineRule="auto"/>
        <w:rPr>
          <w:sz w:val="20"/>
          <w:szCs w:val="20"/>
          <w:color w:val="auto"/>
        </w:rPr>
      </w:pPr>
      <w:r>
        <w:rPr>
          <w:rFonts w:ascii="Arial" w:cs="Arial" w:eastAsia="Arial" w:hAnsi="Arial"/>
          <w:sz w:val="17"/>
          <w:szCs w:val="17"/>
          <w:color w:val="auto"/>
        </w:rPr>
        <w:t>In accordance with the FASB’s authoritative guidance on accounting for income taxes, the Company has recorded a liability for unrecognized tax benefits related to a 2010 Research and Development Credit as of June 30, 2022 and December 31, 2021. The accounting guidance prescribes a recognition threshold and measurement attributes for the financial statement recognition and measurement of a tax position taken or expected to be taken in a tax return. The Company's returns will remain subject to examination by various taxing authorities for the duration of the applicable statute of limitations (generally three years from the later of the date of filing or the due date of the return).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ACCUMULATED OTHER COMPREHENSIVE LOSS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reconcile changes in AOCL by component (net of tax,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Pension</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Foreign</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and OPEB</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9"/>
              </w:rPr>
              <w:t>liability</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460"/>
              <w:spacing w:after="0" w:line="157" w:lineRule="exact"/>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adjustments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rate swaps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AOCL as of March 31, 2021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(21 )</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(35 )</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(30 )</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16"/>
        </w:trPr>
        <w:tc>
          <w:tcPr>
            <w:tcW w:w="5580" w:type="dxa"/>
            <w:vAlign w:val="bottom"/>
          </w:tcPr>
          <w:p>
            <w:pPr>
              <w:ind w:left="280"/>
              <w:spacing w:after="0"/>
              <w:rPr>
                <w:sz w:val="20"/>
                <w:szCs w:val="20"/>
                <w:color w:val="auto"/>
              </w:rPr>
            </w:pPr>
            <w:r>
              <w:rPr>
                <w:rFonts w:ascii="Arial" w:cs="Arial" w:eastAsia="Arial" w:hAnsi="Arial"/>
                <w:sz w:val="18"/>
                <w:szCs w:val="18"/>
                <w:color w:val="auto"/>
              </w:rPr>
              <w:t>Other comprehensive (loss) income before reclassifications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reclassified from AOCL</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(3 )</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ind w:left="280"/>
              <w:spacing w:after="0"/>
              <w:rPr>
                <w:sz w:val="20"/>
                <w:szCs w:val="20"/>
                <w:color w:val="auto"/>
              </w:rPr>
            </w:pPr>
            <w:r>
              <w:rPr>
                <w:rFonts w:ascii="Arial" w:cs="Arial" w:eastAsia="Arial" w:hAnsi="Arial"/>
                <w:sz w:val="18"/>
                <w:szCs w:val="18"/>
                <w:color w:val="auto"/>
              </w:rPr>
              <w:t>Income tax benefit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(2 )</w:t>
            </w:r>
          </w:p>
        </w:tc>
        <w:tc>
          <w:tcPr>
            <w:tcW w:w="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5580" w:type="dxa"/>
            <w:vAlign w:val="bottom"/>
          </w:tcPr>
          <w:p>
            <w:pPr>
              <w:ind w:left="20"/>
              <w:spacing w:after="0"/>
              <w:rPr>
                <w:sz w:val="20"/>
                <w:szCs w:val="20"/>
                <w:color w:val="auto"/>
              </w:rPr>
            </w:pPr>
            <w:r>
              <w:rPr>
                <w:rFonts w:ascii="Arial" w:cs="Arial" w:eastAsia="Arial" w:hAnsi="Arial"/>
                <w:sz w:val="18"/>
                <w:szCs w:val="18"/>
                <w:color w:val="auto"/>
              </w:rPr>
              <w:t>AOCL as of June 30, 2021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(23 )</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(34 )</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(26 )</w:t>
            </w:r>
          </w:p>
        </w:tc>
        <w:tc>
          <w:tcPr>
            <w:tcW w:w="20" w:type="dxa"/>
            <w:vAlign w:val="bottom"/>
          </w:tcPr>
          <w:p>
            <w:pPr>
              <w:spacing w:after="0"/>
              <w:rPr>
                <w:sz w:val="18"/>
                <w:szCs w:val="18"/>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AOCL as of March 31, 2022</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(19 )</w:t>
            </w: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(5 )</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(32 )</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16"/>
        </w:trPr>
        <w:tc>
          <w:tcPr>
            <w:tcW w:w="558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reclassified from AOCL</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(2 )</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558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09"/>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(2 )</w:t>
            </w:r>
          </w:p>
        </w:tc>
        <w:tc>
          <w:tcPr>
            <w:tcW w:w="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w:t>
            </w:r>
          </w:p>
        </w:tc>
        <w:tc>
          <w:tcPr>
            <w:tcW w:w="4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(8 )</w:t>
            </w: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(4 )</w:t>
            </w:r>
          </w:p>
        </w:tc>
        <w:tc>
          <w:tcPr>
            <w:tcW w:w="0" w:type="dxa"/>
            <w:vAlign w:val="bottom"/>
          </w:tcPr>
          <w:p>
            <w:pPr>
              <w:spacing w:after="0"/>
              <w:rPr>
                <w:sz w:val="1"/>
                <w:szCs w:val="1"/>
                <w:color w:val="auto"/>
              </w:rPr>
            </w:pPr>
          </w:p>
        </w:tc>
      </w:tr>
      <w:tr>
        <w:trPr>
          <w:trHeight w:val="209"/>
        </w:trPr>
        <w:tc>
          <w:tcPr>
            <w:tcW w:w="5580" w:type="dxa"/>
            <w:vAlign w:val="bottom"/>
          </w:tcPr>
          <w:p>
            <w:pPr>
              <w:ind w:left="20"/>
              <w:spacing w:after="0"/>
              <w:rPr>
                <w:sz w:val="20"/>
                <w:szCs w:val="20"/>
                <w:color w:val="auto"/>
              </w:rPr>
            </w:pPr>
            <w:r>
              <w:rPr>
                <w:rFonts w:ascii="Arial" w:cs="Arial" w:eastAsia="Arial" w:hAnsi="Arial"/>
                <w:sz w:val="18"/>
                <w:szCs w:val="18"/>
                <w:color w:val="auto"/>
              </w:rPr>
              <w:t>AOCL as of June 30, 2022</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(21 )</w:t>
            </w:r>
          </w:p>
        </w:tc>
        <w:tc>
          <w:tcPr>
            <w:tcW w:w="12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tcBorders>
              <w:bottom w:val="single" w:sz="8" w:color="auto"/>
            </w:tcBorders>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(40 )</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(60 )</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5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rPr>
              <w:t>Pension</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Foreign</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and OPEB</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440"/>
              <w:spacing w:after="0" w:line="157" w:lineRule="exact"/>
              <w:rPr>
                <w:sz w:val="20"/>
                <w:szCs w:val="20"/>
                <w:color w:val="auto"/>
              </w:rPr>
            </w:pPr>
            <w:r>
              <w:rPr>
                <w:rFonts w:ascii="Arial" w:cs="Arial" w:eastAsia="Arial" w:hAnsi="Arial"/>
                <w:sz w:val="14"/>
                <w:szCs w:val="14"/>
                <w:b w:val="1"/>
                <w:bCs w:val="1"/>
                <w:color w:val="auto"/>
              </w:rPr>
              <w:t>liability</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500"/>
              <w:spacing w:after="0" w:line="157" w:lineRule="exact"/>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80"/>
              <w:spacing w:after="0" w:line="157"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adjustments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rate swaps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AOCL as of December 31, 2020</w:t>
            </w:r>
          </w:p>
        </w:tc>
        <w:tc>
          <w:tcPr>
            <w:tcW w:w="22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(19 )</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(46 )</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(24 )</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16"/>
        </w:trPr>
        <w:tc>
          <w:tcPr>
            <w:tcW w:w="558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reclassified from AOCL</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58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9"/>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22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5580" w:type="dxa"/>
            <w:vAlign w:val="bottom"/>
          </w:tcPr>
          <w:p>
            <w:pPr>
              <w:ind w:left="20"/>
              <w:spacing w:after="0"/>
              <w:rPr>
                <w:sz w:val="20"/>
                <w:szCs w:val="20"/>
                <w:color w:val="auto"/>
              </w:rPr>
            </w:pPr>
            <w:r>
              <w:rPr>
                <w:rFonts w:ascii="Arial" w:cs="Arial" w:eastAsia="Arial" w:hAnsi="Arial"/>
                <w:sz w:val="18"/>
                <w:szCs w:val="18"/>
                <w:color w:val="auto"/>
              </w:rPr>
              <w:t>AOCL as of June 30, 2021</w:t>
            </w: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(23 )</w:t>
            </w:r>
          </w:p>
        </w:tc>
        <w:tc>
          <w:tcPr>
            <w:tcW w:w="6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(34 )</w:t>
            </w:r>
          </w:p>
        </w:tc>
        <w:tc>
          <w:tcPr>
            <w:tcW w:w="40" w:type="dxa"/>
            <w:vAlign w:val="bottom"/>
          </w:tcPr>
          <w:p>
            <w:pPr>
              <w:spacing w:after="0"/>
              <w:rPr>
                <w:sz w:val="18"/>
                <w:szCs w:val="18"/>
                <w:color w:val="auto"/>
              </w:rPr>
            </w:pPr>
          </w:p>
        </w:tc>
        <w:tc>
          <w:tcPr>
            <w:tcW w:w="3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(26 )</w:t>
            </w:r>
          </w:p>
        </w:tc>
        <w:tc>
          <w:tcPr>
            <w:tcW w:w="20" w:type="dxa"/>
            <w:vAlign w:val="bottom"/>
          </w:tcPr>
          <w:p>
            <w:pPr>
              <w:spacing w:after="0"/>
              <w:rPr>
                <w:sz w:val="18"/>
                <w:szCs w:val="18"/>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AOCL as of December 31, 2021</w:t>
            </w:r>
          </w:p>
        </w:tc>
        <w:tc>
          <w:tcPr>
            <w:tcW w:w="22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(17 )</w:t>
            </w: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(24 )</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(32 )</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16"/>
        </w:trPr>
        <w:tc>
          <w:tcPr>
            <w:tcW w:w="558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b w:val="1"/>
                <w:bCs w:val="1"/>
                <w:color w:val="auto"/>
              </w:rPr>
              <w:t>27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reclassified from AOCL</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(5 )</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6</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558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b w:val="1"/>
                <w:bCs w:val="1"/>
                <w:color w:val="auto"/>
              </w:rPr>
              <w:t>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0" w:type="dxa"/>
            <w:vAlign w:val="bottom"/>
          </w:tcPr>
          <w:p>
            <w:pPr>
              <w:spacing w:after="0"/>
              <w:rPr>
                <w:sz w:val="1"/>
                <w:szCs w:val="1"/>
                <w:color w:val="auto"/>
              </w:rPr>
            </w:pPr>
          </w:p>
        </w:tc>
      </w:tr>
      <w:tr>
        <w:trPr>
          <w:trHeight w:val="209"/>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22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(4 )</w:t>
            </w:r>
          </w:p>
        </w:tc>
        <w:tc>
          <w:tcPr>
            <w:tcW w:w="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25</w:t>
            </w: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(8 )</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09"/>
        </w:trPr>
        <w:tc>
          <w:tcPr>
            <w:tcW w:w="5580" w:type="dxa"/>
            <w:vAlign w:val="bottom"/>
          </w:tcPr>
          <w:p>
            <w:pPr>
              <w:ind w:left="20"/>
              <w:spacing w:after="0"/>
              <w:rPr>
                <w:sz w:val="20"/>
                <w:szCs w:val="20"/>
                <w:color w:val="auto"/>
              </w:rPr>
            </w:pPr>
            <w:r>
              <w:rPr>
                <w:rFonts w:ascii="Arial" w:cs="Arial" w:eastAsia="Arial" w:hAnsi="Arial"/>
                <w:sz w:val="18"/>
                <w:szCs w:val="18"/>
                <w:color w:val="auto"/>
              </w:rPr>
              <w:t>AOCL as of June 30, 2022</w:t>
            </w:r>
          </w:p>
        </w:tc>
        <w:tc>
          <w:tcPr>
            <w:tcW w:w="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(21 )</w:t>
            </w:r>
          </w:p>
        </w:tc>
        <w:tc>
          <w:tcPr>
            <w:tcW w:w="6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18"/>
                <w:szCs w:val="18"/>
                <w:color w:val="auto"/>
              </w:rPr>
            </w:pPr>
          </w:p>
        </w:tc>
        <w:tc>
          <w:tcPr>
            <w:tcW w:w="3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(40 )</w:t>
            </w:r>
          </w:p>
        </w:tc>
        <w:tc>
          <w:tcPr>
            <w:tcW w:w="20" w:type="dxa"/>
            <w:vAlign w:val="bottom"/>
          </w:tcPr>
          <w:p>
            <w:pPr>
              <w:spacing w:after="0"/>
              <w:rPr>
                <w:sz w:val="18"/>
                <w:szCs w:val="18"/>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(60 )</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-3424555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-3424555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-3424555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-2559685</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-2559685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-2559685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-1035685</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-1035685</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-1035685</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-170815</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-170815</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-170815</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390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b w:val="1"/>
                <w:bCs w:val="1"/>
                <w:color w:val="auto"/>
              </w:rPr>
              <w:t>Amounts reclassified from AOCL</w:t>
            </w:r>
          </w:p>
        </w:tc>
        <w:tc>
          <w:tcPr>
            <w:tcW w:w="340" w:type="dxa"/>
            <w:vAlign w:val="bottom"/>
            <w:tcBorders>
              <w:bottom w:val="single" w:sz="8" w:color="auto"/>
            </w:tcBorders>
          </w:tcPr>
          <w:p>
            <w:pPr>
              <w:spacing w:after="0"/>
              <w:rPr>
                <w:sz w:val="16"/>
                <w:szCs w:val="16"/>
                <w:color w:val="auto"/>
              </w:rPr>
            </w:pPr>
          </w:p>
        </w:tc>
        <w:tc>
          <w:tcPr>
            <w:tcW w:w="3240" w:type="dxa"/>
            <w:vAlign w:val="bottom"/>
            <w:vMerge w:val="restart"/>
          </w:tcPr>
          <w:p>
            <w:pPr>
              <w:jc w:val="center"/>
              <w:ind w:left="79"/>
              <w:spacing w:after="0"/>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33"/>
        </w:trPr>
        <w:tc>
          <w:tcPr>
            <w:tcW w:w="3760" w:type="dxa"/>
            <w:vAlign w:val="bottom"/>
          </w:tcPr>
          <w:p>
            <w:pPr>
              <w:spacing w:after="0"/>
              <w:rPr>
                <w:sz w:val="11"/>
                <w:szCs w:val="11"/>
                <w:color w:val="auto"/>
              </w:rPr>
            </w:pPr>
          </w:p>
        </w:tc>
        <w:tc>
          <w:tcPr>
            <w:tcW w:w="1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1"/>
                <w:szCs w:val="11"/>
                <w:color w:val="auto"/>
              </w:rPr>
            </w:pPr>
          </w:p>
        </w:tc>
        <w:tc>
          <w:tcPr>
            <w:tcW w:w="3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240" w:type="dxa"/>
            <w:vAlign w:val="bottom"/>
          </w:tcPr>
          <w:p>
            <w:pPr>
              <w:jc w:val="center"/>
              <w:ind w:left="99"/>
              <w:spacing w:after="0" w:line="149"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185"/>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AOCL Components</w:t>
            </w:r>
          </w:p>
        </w:tc>
        <w:tc>
          <w:tcPr>
            <w:tcW w:w="17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June 30, 2022</w:t>
            </w:r>
          </w:p>
        </w:tc>
        <w:tc>
          <w:tcPr>
            <w:tcW w:w="3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June 30, 2021</w:t>
            </w:r>
          </w:p>
        </w:tc>
        <w:tc>
          <w:tcPr>
            <w:tcW w:w="340" w:type="dxa"/>
            <w:vAlign w:val="bottom"/>
            <w:tcBorders>
              <w:bottom w:val="single" w:sz="8" w:color="auto"/>
            </w:tcBorders>
          </w:tcPr>
          <w:p>
            <w:pPr>
              <w:spacing w:after="0"/>
              <w:rPr>
                <w:sz w:val="16"/>
                <w:szCs w:val="16"/>
                <w:color w:val="auto"/>
              </w:rPr>
            </w:pPr>
          </w:p>
        </w:tc>
        <w:tc>
          <w:tcPr>
            <w:tcW w:w="3240" w:type="dxa"/>
            <w:vAlign w:val="bottom"/>
          </w:tcPr>
          <w:p>
            <w:pPr>
              <w:jc w:val="center"/>
              <w:ind w:left="99"/>
              <w:spacing w:after="0"/>
              <w:rPr>
                <w:sz w:val="20"/>
                <w:szCs w:val="20"/>
                <w:color w:val="auto"/>
              </w:rPr>
            </w:pPr>
            <w:r>
              <w:rPr>
                <w:rFonts w:ascii="Arial" w:cs="Arial" w:eastAsia="Arial" w:hAnsi="Arial"/>
                <w:sz w:val="14"/>
                <w:szCs w:val="14"/>
                <w:b w:val="1"/>
                <w:bCs w:val="1"/>
                <w:color w:val="auto"/>
              </w:rPr>
              <w:t>Comprehensive Income</w:t>
            </w: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700" w:type="dxa"/>
            <w:vAlign w:val="bottom"/>
            <w:shd w:val="clear" w:color="auto" w:fill="CFF0FC"/>
          </w:tcPr>
          <w:p>
            <w:pPr>
              <w:jc w:val="right"/>
              <w:ind w:right="1499"/>
              <w:spacing w:after="0"/>
              <w:rPr>
                <w:sz w:val="20"/>
                <w:szCs w:val="20"/>
                <w:color w:val="auto"/>
              </w:rPr>
            </w:pPr>
            <w:r>
              <w:rPr>
                <w:rFonts w:ascii="Arial" w:cs="Arial" w:eastAsia="Arial" w:hAnsi="Arial"/>
                <w:sz w:val="18"/>
                <w:szCs w:val="18"/>
                <w:b w:val="1"/>
                <w:bCs w:val="1"/>
                <w:color w:val="auto"/>
                <w:w w:val="9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(3 )</w:t>
            </w: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1479"/>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3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16"/>
        </w:trPr>
        <w:tc>
          <w:tcPr>
            <w:tcW w:w="3760" w:type="dxa"/>
            <w:vAlign w:val="bottom"/>
          </w:tcPr>
          <w:p>
            <w:pPr>
              <w:ind w:left="280"/>
              <w:spacing w:after="0"/>
              <w:rPr>
                <w:sz w:val="20"/>
                <w:szCs w:val="20"/>
                <w:color w:val="auto"/>
              </w:rPr>
            </w:pPr>
            <w:r>
              <w:rPr>
                <w:rFonts w:ascii="Arial" w:cs="Arial" w:eastAsia="Arial" w:hAnsi="Arial"/>
                <w:sz w:val="18"/>
                <w:szCs w:val="18"/>
                <w:color w:val="auto"/>
              </w:rPr>
              <w:t>Prior service cost</w:t>
            </w:r>
          </w:p>
        </w:tc>
        <w:tc>
          <w:tcPr>
            <w:tcW w:w="17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3240" w:type="dxa"/>
            <w:vAlign w:val="bottom"/>
          </w:tcPr>
          <w:p>
            <w:pPr>
              <w:ind w:left="180"/>
              <w:spacing w:after="0"/>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209"/>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reclassifications, before tax</w:t>
            </w:r>
          </w:p>
        </w:tc>
        <w:tc>
          <w:tcPr>
            <w:tcW w:w="1700" w:type="dxa"/>
            <w:vAlign w:val="bottom"/>
            <w:tcBorders>
              <w:bottom w:val="single" w:sz="8" w:color="auto"/>
            </w:tcBorders>
            <w:shd w:val="clear" w:color="auto" w:fill="CFF0FC"/>
          </w:tcPr>
          <w:p>
            <w:pPr>
              <w:jc w:val="right"/>
              <w:ind w:right="1499"/>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c>
          <w:tcPr>
            <w:tcW w:w="18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1479"/>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09"/>
        </w:trPr>
        <w:tc>
          <w:tcPr>
            <w:tcW w:w="3760" w:type="dxa"/>
            <w:vAlign w:val="bottom"/>
          </w:tcPr>
          <w:p>
            <w:pPr>
              <w:ind w:left="20"/>
              <w:spacing w:after="0"/>
              <w:rPr>
                <w:sz w:val="20"/>
                <w:szCs w:val="20"/>
                <w:color w:val="auto"/>
              </w:rPr>
            </w:pPr>
            <w:r>
              <w:rPr>
                <w:rFonts w:ascii="Arial" w:cs="Arial" w:eastAsia="Arial" w:hAnsi="Arial"/>
                <w:sz w:val="18"/>
                <w:szCs w:val="18"/>
                <w:color w:val="auto"/>
              </w:rPr>
              <w:t>Total reclassifications, net of tax</w:t>
            </w:r>
          </w:p>
        </w:tc>
        <w:tc>
          <w:tcPr>
            <w:tcW w:w="1700" w:type="dxa"/>
            <w:vAlign w:val="bottom"/>
          </w:tcPr>
          <w:p>
            <w:pPr>
              <w:jc w:val="right"/>
              <w:ind w:right="1499"/>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860" w:type="dxa"/>
            <w:vAlign w:val="bottom"/>
            <w:gridSpan w:val="2"/>
          </w:tcPr>
          <w:p>
            <w:pPr>
              <w:jc w:val="right"/>
              <w:ind w:right="1479"/>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3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76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3686810</wp:posOffset>
            </wp:positionH>
            <wp:positionV relativeFrom="paragraph">
              <wp:posOffset>-633095</wp:posOffset>
            </wp:positionV>
            <wp:extent cx="1111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-633095</wp:posOffset>
            </wp:positionV>
            <wp:extent cx="1028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388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Amounts reclassified from AOCL</w:t>
            </w:r>
          </w:p>
        </w:tc>
        <w:tc>
          <w:tcPr>
            <w:tcW w:w="360" w:type="dxa"/>
            <w:vAlign w:val="bottom"/>
            <w:tcBorders>
              <w:bottom w:val="single" w:sz="8" w:color="auto"/>
            </w:tcBorders>
          </w:tcPr>
          <w:p>
            <w:pPr>
              <w:spacing w:after="0"/>
              <w:rPr>
                <w:sz w:val="16"/>
                <w:szCs w:val="16"/>
                <w:color w:val="auto"/>
              </w:rPr>
            </w:pPr>
          </w:p>
        </w:tc>
        <w:tc>
          <w:tcPr>
            <w:tcW w:w="3240" w:type="dxa"/>
            <w:vAlign w:val="bottom"/>
            <w:vMerge w:val="restart"/>
          </w:tcPr>
          <w:p>
            <w:pPr>
              <w:jc w:val="center"/>
              <w:ind w:left="79"/>
              <w:spacing w:after="0"/>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33"/>
        </w:trPr>
        <w:tc>
          <w:tcPr>
            <w:tcW w:w="3760" w:type="dxa"/>
            <w:vAlign w:val="bottom"/>
          </w:tcPr>
          <w:p>
            <w:pPr>
              <w:spacing w:after="0"/>
              <w:rPr>
                <w:sz w:val="11"/>
                <w:szCs w:val="11"/>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Six months ended</w:t>
            </w:r>
          </w:p>
        </w:tc>
        <w:tc>
          <w:tcPr>
            <w:tcW w:w="360" w:type="dxa"/>
            <w:vAlign w:val="bottom"/>
          </w:tcPr>
          <w:p>
            <w:pPr>
              <w:spacing w:after="0"/>
              <w:rPr>
                <w:sz w:val="11"/>
                <w:szCs w:val="11"/>
                <w:color w:val="auto"/>
              </w:rPr>
            </w:pPr>
          </w:p>
        </w:tc>
        <w:tc>
          <w:tcPr>
            <w:tcW w:w="3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3240" w:type="dxa"/>
            <w:vAlign w:val="bottom"/>
          </w:tcPr>
          <w:p>
            <w:pPr>
              <w:ind w:left="720"/>
              <w:spacing w:after="0" w:line="149"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185"/>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AOCL Components</w:t>
            </w:r>
          </w:p>
        </w:tc>
        <w:tc>
          <w:tcPr>
            <w:tcW w:w="16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June 30, 2022</w:t>
            </w:r>
          </w:p>
        </w:tc>
        <w:tc>
          <w:tcPr>
            <w:tcW w:w="3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June 30, 2021</w:t>
            </w:r>
          </w:p>
        </w:tc>
        <w:tc>
          <w:tcPr>
            <w:tcW w:w="360" w:type="dxa"/>
            <w:vAlign w:val="bottom"/>
            <w:tcBorders>
              <w:bottom w:val="single" w:sz="8" w:color="auto"/>
            </w:tcBorders>
          </w:tcPr>
          <w:p>
            <w:pPr>
              <w:spacing w:after="0"/>
              <w:rPr>
                <w:sz w:val="16"/>
                <w:szCs w:val="16"/>
                <w:color w:val="auto"/>
              </w:rPr>
            </w:pPr>
          </w:p>
        </w:tc>
        <w:tc>
          <w:tcPr>
            <w:tcW w:w="3240" w:type="dxa"/>
            <w:vAlign w:val="bottom"/>
          </w:tcPr>
          <w:p>
            <w:pPr>
              <w:jc w:val="center"/>
              <w:ind w:left="99"/>
              <w:spacing w:after="0"/>
              <w:rPr>
                <w:sz w:val="20"/>
                <w:szCs w:val="20"/>
                <w:color w:val="auto"/>
              </w:rPr>
            </w:pPr>
            <w:r>
              <w:rPr>
                <w:rFonts w:ascii="Arial" w:cs="Arial" w:eastAsia="Arial" w:hAnsi="Arial"/>
                <w:sz w:val="14"/>
                <w:szCs w:val="14"/>
                <w:b w:val="1"/>
                <w:bCs w:val="1"/>
                <w:color w:val="auto"/>
              </w:rPr>
              <w:t>Comprehensive Income</w:t>
            </w: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660" w:type="dxa"/>
            <w:vAlign w:val="bottom"/>
            <w:shd w:val="clear" w:color="auto" w:fill="CFF0FC"/>
          </w:tcPr>
          <w:p>
            <w:pPr>
              <w:jc w:val="right"/>
              <w:ind w:right="1459"/>
              <w:spacing w:after="0"/>
              <w:rPr>
                <w:sz w:val="20"/>
                <w:szCs w:val="20"/>
                <w:color w:val="auto"/>
              </w:rPr>
            </w:pPr>
            <w:r>
              <w:rPr>
                <w:rFonts w:ascii="Arial" w:cs="Arial" w:eastAsia="Arial" w:hAnsi="Arial"/>
                <w:sz w:val="18"/>
                <w:szCs w:val="18"/>
                <w:b w:val="1"/>
                <w:bCs w:val="1"/>
                <w:color w:val="auto"/>
                <w:w w:val="9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(6 )</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147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3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16"/>
        </w:trPr>
        <w:tc>
          <w:tcPr>
            <w:tcW w:w="3760" w:type="dxa"/>
            <w:vAlign w:val="bottom"/>
          </w:tcPr>
          <w:p>
            <w:pPr>
              <w:ind w:left="280"/>
              <w:spacing w:after="0"/>
              <w:rPr>
                <w:sz w:val="20"/>
                <w:szCs w:val="20"/>
                <w:color w:val="auto"/>
              </w:rPr>
            </w:pPr>
            <w:r>
              <w:rPr>
                <w:rFonts w:ascii="Arial" w:cs="Arial" w:eastAsia="Arial" w:hAnsi="Arial"/>
                <w:sz w:val="18"/>
                <w:szCs w:val="18"/>
                <w:color w:val="auto"/>
              </w:rPr>
              <w:t>Prior service cost</w:t>
            </w:r>
          </w:p>
        </w:tc>
        <w:tc>
          <w:tcPr>
            <w:tcW w:w="1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3240" w:type="dxa"/>
            <w:vAlign w:val="bottom"/>
          </w:tcPr>
          <w:p>
            <w:pPr>
              <w:ind w:left="180"/>
              <w:spacing w:after="0"/>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209"/>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reclassifications, before tax</w:t>
            </w:r>
          </w:p>
        </w:tc>
        <w:tc>
          <w:tcPr>
            <w:tcW w:w="1660" w:type="dxa"/>
            <w:vAlign w:val="bottom"/>
            <w:tcBorders>
              <w:bottom w:val="single" w:sz="8" w:color="auto"/>
            </w:tcBorders>
            <w:shd w:val="clear" w:color="auto" w:fill="CFF0FC"/>
          </w:tcPr>
          <w:p>
            <w:pPr>
              <w:jc w:val="right"/>
              <w:ind w:right="1459"/>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c>
          <w:tcPr>
            <w:tcW w:w="16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147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32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09"/>
        </w:trPr>
        <w:tc>
          <w:tcPr>
            <w:tcW w:w="3760" w:type="dxa"/>
            <w:vAlign w:val="bottom"/>
          </w:tcPr>
          <w:p>
            <w:pPr>
              <w:ind w:left="20"/>
              <w:spacing w:after="0"/>
              <w:rPr>
                <w:sz w:val="20"/>
                <w:szCs w:val="20"/>
                <w:color w:val="auto"/>
              </w:rPr>
            </w:pPr>
            <w:r>
              <w:rPr>
                <w:rFonts w:ascii="Arial" w:cs="Arial" w:eastAsia="Arial" w:hAnsi="Arial"/>
                <w:sz w:val="18"/>
                <w:szCs w:val="18"/>
                <w:color w:val="auto"/>
              </w:rPr>
              <w:t>Total reclassifications, net of tax</w:t>
            </w:r>
          </w:p>
        </w:tc>
        <w:tc>
          <w:tcPr>
            <w:tcW w:w="1660" w:type="dxa"/>
            <w:vAlign w:val="bottom"/>
          </w:tcPr>
          <w:p>
            <w:pPr>
              <w:jc w:val="right"/>
              <w:ind w:right="1459"/>
              <w:spacing w:after="0"/>
              <w:rPr>
                <w:sz w:val="20"/>
                <w:szCs w:val="20"/>
                <w:color w:val="auto"/>
              </w:rPr>
            </w:pPr>
            <w:r>
              <w:rPr>
                <w:rFonts w:ascii="Arial" w:cs="Arial" w:eastAsia="Arial" w:hAnsi="Arial"/>
                <w:sz w:val="18"/>
                <w:szCs w:val="18"/>
                <w:b w:val="1"/>
                <w:bCs w:val="1"/>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840" w:type="dxa"/>
            <w:vAlign w:val="bottom"/>
            <w:gridSpan w:val="2"/>
          </w:tcPr>
          <w:p>
            <w:pPr>
              <w:jc w:val="right"/>
              <w:ind w:right="1479"/>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(2 )</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3686810</wp:posOffset>
            </wp:positionH>
            <wp:positionV relativeFrom="paragraph">
              <wp:posOffset>-170815</wp:posOffset>
            </wp:positionV>
            <wp:extent cx="1028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-170815</wp:posOffset>
            </wp:positionV>
            <wp:extent cx="1028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Prior service cost and actuarial loss are included in the computation of the Company’s net periodic benefit cost (credit). See "Note 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Employee Benefit Plans” for additional details.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COMMITMENTS AND CONTINGENCIES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55" w:lineRule="exact"/>
        <w:rPr>
          <w:sz w:val="20"/>
          <w:szCs w:val="20"/>
          <w:color w:val="auto"/>
        </w:rPr>
      </w:pPr>
    </w:p>
    <w:p>
      <w:pPr>
        <w:ind w:right="40" w:firstLine="494"/>
        <w:spacing w:after="0" w:line="299" w:lineRule="auto"/>
        <w:rPr>
          <w:sz w:val="20"/>
          <w:szCs w:val="20"/>
          <w:color w:val="auto"/>
        </w:rPr>
      </w:pPr>
      <w:r>
        <w:rPr>
          <w:rFonts w:ascii="Arial" w:cs="Arial" w:eastAsia="Arial" w:hAnsi="Arial"/>
          <w:sz w:val="18"/>
          <w:szCs w:val="18"/>
          <w:color w:val="auto"/>
        </w:rPr>
        <w:t>The Company has an agreement with the Environmental Protection Agency to perform remedial activities at the Company’s Indianapolis, Indiana manufacturing facilities related to historical soil and groundwater contamination. As of June 30, 2022, the Company had a liability recorded in the amount of $3 million.</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142" w:lineRule="exact"/>
        <w:rPr>
          <w:sz w:val="20"/>
          <w:szCs w:val="20"/>
          <w:color w:val="auto"/>
        </w:rPr>
      </w:pPr>
    </w:p>
    <w:p>
      <w:pPr>
        <w:ind w:right="220" w:firstLine="494"/>
        <w:spacing w:after="0" w:line="298" w:lineRule="auto"/>
        <w:rPr>
          <w:sz w:val="20"/>
          <w:szCs w:val="20"/>
          <w:color w:val="auto"/>
        </w:rPr>
      </w:pPr>
      <w:r>
        <w:rPr>
          <w:rFonts w:ascii="Arial" w:cs="Arial" w:eastAsia="Arial" w:hAnsi="Arial"/>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EARNINGS PER SHARE</w:t>
      </w:r>
    </w:p>
    <w:p>
      <w:pPr>
        <w:spacing w:after="0" w:line="144" w:lineRule="exact"/>
        <w:rPr>
          <w:sz w:val="20"/>
          <w:szCs w:val="20"/>
          <w:color w:val="auto"/>
        </w:rPr>
      </w:pPr>
    </w:p>
    <w:p>
      <w:pPr>
        <w:ind w:right="20" w:firstLine="494"/>
        <w:spacing w:after="0" w:line="312" w:lineRule="auto"/>
        <w:rPr>
          <w:sz w:val="20"/>
          <w:szCs w:val="20"/>
          <w:color w:val="auto"/>
        </w:rPr>
      </w:pPr>
      <w:r>
        <w:rPr>
          <w:rFonts w:ascii="Arial" w:cs="Arial" w:eastAsia="Arial" w:hAnsi="Arial"/>
          <w:sz w:val="17"/>
          <w:szCs w:val="17"/>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and compensation cost for future service that the Company has not yet recognized. For the three and six months ended June 30, 2022, there were 2 million and 1 million, respectively, outstanding stock options excluded from the diluted EPS calculation because they were anti-dilutive. For each of the three and six months ended June 30, 2021, there were 1 million outstanding stock options excluded from the diluted EPS calculation because they were anti-dilutive.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right="180" w:firstLine="494"/>
        <w:spacing w:after="0" w:line="318" w:lineRule="auto"/>
        <w:rPr>
          <w:sz w:val="20"/>
          <w:szCs w:val="20"/>
          <w:color w:val="auto"/>
        </w:rPr>
      </w:pPr>
      <w:r>
        <w:rPr>
          <w:rFonts w:ascii="Arial" w:cs="Arial" w:eastAsia="Arial" w:hAnsi="Arial"/>
          <w:sz w:val="18"/>
          <w:szCs w:val="18"/>
          <w:color w:val="auto"/>
        </w:rPr>
        <w:t>The following table reconciles the numerators and denominators used to calculate basic EPS and diluted EPS (in millions,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18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5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gridSpan w:val="3"/>
          </w:tcPr>
          <w:p>
            <w:pPr>
              <w:jc w:val="right"/>
              <w:ind w:right="510"/>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5"/>
                <w:szCs w:val="15"/>
                <w:color w:val="auto"/>
              </w:rPr>
            </w:pPr>
          </w:p>
        </w:tc>
      </w:tr>
      <w:tr>
        <w:trPr>
          <w:trHeight w:val="185"/>
        </w:trPr>
        <w:tc>
          <w:tcPr>
            <w:tcW w:w="57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r>
      <w:tr>
        <w:trPr>
          <w:trHeight w:val="249"/>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760" w:type="dxa"/>
            <w:vAlign w:val="bottom"/>
            <w:tcBorders>
              <w:top w:val="single" w:sz="8" w:color="auto"/>
              <w:bottom w:val="single" w:sz="8" w:color="auto"/>
            </w:tcBorders>
            <w:shd w:val="clear" w:color="auto" w:fill="CFF0FC"/>
          </w:tcPr>
          <w:p>
            <w:pPr>
              <w:jc w:val="right"/>
              <w:ind w:right="557"/>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122</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110</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251</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230</w:t>
            </w:r>
          </w:p>
        </w:tc>
      </w:tr>
      <w:tr>
        <w:trPr>
          <w:trHeight w:val="196"/>
        </w:trPr>
        <w:tc>
          <w:tcPr>
            <w:tcW w:w="5780" w:type="dxa"/>
            <w:vAlign w:val="bottom"/>
          </w:tcPr>
          <w:p>
            <w:pPr>
              <w:ind w:left="20"/>
              <w:spacing w:after="0" w:line="196" w:lineRule="exact"/>
              <w:rPr>
                <w:sz w:val="20"/>
                <w:szCs w:val="20"/>
                <w:color w:val="auto"/>
              </w:rPr>
            </w:pPr>
            <w:r>
              <w:rPr>
                <w:rFonts w:ascii="Arial" w:cs="Arial" w:eastAsia="Arial" w:hAnsi="Arial"/>
                <w:sz w:val="18"/>
                <w:szCs w:val="18"/>
                <w:color w:val="auto"/>
              </w:rPr>
              <w:t>Weighted average shares of common stock outstanding</w:t>
            </w:r>
          </w:p>
        </w:tc>
        <w:tc>
          <w:tcPr>
            <w:tcW w:w="760" w:type="dxa"/>
            <w:vAlign w:val="bottom"/>
          </w:tcPr>
          <w:p>
            <w:pPr>
              <w:spacing w:after="0"/>
              <w:rPr>
                <w:sz w:val="17"/>
                <w:szCs w:val="17"/>
                <w:color w:val="auto"/>
              </w:rPr>
            </w:pPr>
          </w:p>
        </w:tc>
        <w:tc>
          <w:tcPr>
            <w:tcW w:w="520" w:type="dxa"/>
            <w:vAlign w:val="bottom"/>
          </w:tcPr>
          <w:p>
            <w:pPr>
              <w:jc w:val="right"/>
              <w:ind w:right="53"/>
              <w:spacing w:after="0" w:line="196" w:lineRule="exact"/>
              <w:rPr>
                <w:sz w:val="20"/>
                <w:szCs w:val="20"/>
                <w:color w:val="auto"/>
              </w:rPr>
            </w:pPr>
            <w:r>
              <w:rPr>
                <w:rFonts w:ascii="Arial" w:cs="Arial" w:eastAsia="Arial" w:hAnsi="Arial"/>
                <w:sz w:val="18"/>
                <w:szCs w:val="18"/>
                <w:b w:val="1"/>
                <w:bCs w:val="1"/>
                <w:color w:val="auto"/>
              </w:rPr>
              <w:t>97</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109</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6"/>
              <w:spacing w:after="0" w:line="196" w:lineRule="exact"/>
              <w:rPr>
                <w:sz w:val="20"/>
                <w:szCs w:val="20"/>
                <w:color w:val="auto"/>
              </w:rPr>
            </w:pPr>
            <w:r>
              <w:rPr>
                <w:rFonts w:ascii="Arial" w:cs="Arial" w:eastAsia="Arial" w:hAnsi="Arial"/>
                <w:sz w:val="18"/>
                <w:szCs w:val="18"/>
                <w:b w:val="1"/>
                <w:bCs w:val="1"/>
                <w:color w:val="auto"/>
              </w:rPr>
              <w:t>97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3"/>
              <w:spacing w:after="0" w:line="196" w:lineRule="exact"/>
              <w:rPr>
                <w:sz w:val="20"/>
                <w:szCs w:val="20"/>
                <w:color w:val="auto"/>
              </w:rPr>
            </w:pPr>
            <w:r>
              <w:rPr>
                <w:rFonts w:ascii="Arial" w:cs="Arial" w:eastAsia="Arial" w:hAnsi="Arial"/>
                <w:sz w:val="18"/>
                <w:szCs w:val="18"/>
                <w:color w:val="auto"/>
              </w:rPr>
              <w:t>110</w:t>
            </w:r>
          </w:p>
        </w:tc>
      </w:tr>
      <w:tr>
        <w:trPr>
          <w:trHeight w:val="216"/>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Dilutive effect of stock-based awards</w:t>
            </w:r>
          </w:p>
        </w:tc>
        <w:tc>
          <w:tcPr>
            <w:tcW w:w="7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w:t>
            </w:r>
          </w:p>
        </w:tc>
      </w:tr>
      <w:tr>
        <w:trPr>
          <w:trHeight w:val="209"/>
        </w:trPr>
        <w:tc>
          <w:tcPr>
            <w:tcW w:w="5780" w:type="dxa"/>
            <w:vAlign w:val="bottom"/>
          </w:tcPr>
          <w:p>
            <w:pPr>
              <w:ind w:left="280"/>
              <w:spacing w:after="0"/>
              <w:rPr>
                <w:sz w:val="20"/>
                <w:szCs w:val="20"/>
                <w:color w:val="auto"/>
              </w:rPr>
            </w:pPr>
            <w:r>
              <w:rPr>
                <w:rFonts w:ascii="Arial" w:cs="Arial" w:eastAsia="Arial" w:hAnsi="Arial"/>
                <w:sz w:val="18"/>
                <w:szCs w:val="18"/>
                <w:color w:val="auto"/>
              </w:rPr>
              <w:t>Diluted weighted average shares of common stock outstanding</w:t>
            </w:r>
          </w:p>
        </w:tc>
        <w:tc>
          <w:tcPr>
            <w:tcW w:w="7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97</w:t>
            </w:r>
          </w:p>
        </w:tc>
        <w:tc>
          <w:tcPr>
            <w:tcW w:w="1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98</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111</w:t>
            </w:r>
          </w:p>
        </w:tc>
      </w:tr>
      <w:tr>
        <w:trPr>
          <w:trHeight w:val="20"/>
        </w:trPr>
        <w:tc>
          <w:tcPr>
            <w:tcW w:w="5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6"/>
        </w:trPr>
        <w:tc>
          <w:tcPr>
            <w:tcW w:w="5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Basic earnings per share attributable to common stockholders</w:t>
            </w:r>
          </w:p>
        </w:tc>
        <w:tc>
          <w:tcPr>
            <w:tcW w:w="760" w:type="dxa"/>
            <w:vAlign w:val="bottom"/>
            <w:tcBorders>
              <w:bottom w:val="single" w:sz="8" w:color="auto"/>
            </w:tcBorders>
            <w:shd w:val="clear" w:color="auto" w:fill="CFF0FC"/>
          </w:tcPr>
          <w:p>
            <w:pPr>
              <w:jc w:val="right"/>
              <w:ind w:right="557"/>
              <w:spacing w:after="0" w:line="196" w:lineRule="exact"/>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FF0FC"/>
          </w:tcPr>
          <w:p>
            <w:pPr>
              <w:jc w:val="right"/>
              <w:ind w:right="53"/>
              <w:spacing w:after="0" w:line="196" w:lineRule="exact"/>
              <w:rPr>
                <w:sz w:val="20"/>
                <w:szCs w:val="20"/>
                <w:color w:val="auto"/>
              </w:rPr>
            </w:pPr>
            <w:r>
              <w:rPr>
                <w:rFonts w:ascii="Arial" w:cs="Arial" w:eastAsia="Arial" w:hAnsi="Arial"/>
                <w:sz w:val="18"/>
                <w:szCs w:val="18"/>
                <w:b w:val="1"/>
                <w:bCs w:val="1"/>
                <w:color w:val="auto"/>
              </w:rPr>
              <w:t>1.26</w:t>
            </w:r>
          </w:p>
        </w:tc>
        <w:tc>
          <w:tcPr>
            <w:tcW w:w="1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57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1.01</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FF0FC"/>
          </w:tcPr>
          <w:p>
            <w:pPr>
              <w:jc w:val="right"/>
              <w:ind w:right="36"/>
              <w:spacing w:after="0" w:line="196" w:lineRule="exact"/>
              <w:rPr>
                <w:sz w:val="20"/>
                <w:szCs w:val="20"/>
                <w:color w:val="auto"/>
              </w:rPr>
            </w:pPr>
            <w:r>
              <w:rPr>
                <w:rFonts w:ascii="Arial" w:cs="Arial" w:eastAsia="Arial" w:hAnsi="Arial"/>
                <w:sz w:val="18"/>
                <w:szCs w:val="18"/>
                <w:b w:val="1"/>
                <w:bCs w:val="1"/>
                <w:color w:val="auto"/>
              </w:rPr>
              <w:t>2.59</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2.09</w:t>
            </w:r>
          </w:p>
        </w:tc>
      </w:tr>
      <w:tr>
        <w:trPr>
          <w:trHeight w:val="196"/>
        </w:trPr>
        <w:tc>
          <w:tcPr>
            <w:tcW w:w="5780" w:type="dxa"/>
            <w:vAlign w:val="bottom"/>
          </w:tcPr>
          <w:p>
            <w:pPr>
              <w:ind w:left="280"/>
              <w:spacing w:after="0" w:line="196" w:lineRule="exact"/>
              <w:rPr>
                <w:sz w:val="20"/>
                <w:szCs w:val="20"/>
                <w:color w:val="auto"/>
              </w:rPr>
            </w:pPr>
            <w:r>
              <w:rPr>
                <w:rFonts w:ascii="Arial" w:cs="Arial" w:eastAsia="Arial" w:hAnsi="Arial"/>
                <w:sz w:val="18"/>
                <w:szCs w:val="18"/>
                <w:color w:val="auto"/>
              </w:rPr>
              <w:t>Diluted earnings per share attributable to common stockholders</w:t>
            </w:r>
          </w:p>
        </w:tc>
        <w:tc>
          <w:tcPr>
            <w:tcW w:w="760" w:type="dxa"/>
            <w:vAlign w:val="bottom"/>
          </w:tcPr>
          <w:p>
            <w:pPr>
              <w:jc w:val="right"/>
              <w:ind w:right="557"/>
              <w:spacing w:after="0" w:line="196" w:lineRule="exact"/>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53"/>
              <w:spacing w:after="0" w:line="196" w:lineRule="exact"/>
              <w:rPr>
                <w:sz w:val="20"/>
                <w:szCs w:val="20"/>
                <w:color w:val="auto"/>
              </w:rPr>
            </w:pPr>
            <w:r>
              <w:rPr>
                <w:rFonts w:ascii="Arial" w:cs="Arial" w:eastAsia="Arial" w:hAnsi="Arial"/>
                <w:sz w:val="18"/>
                <w:szCs w:val="18"/>
                <w:b w:val="1"/>
                <w:bCs w:val="1"/>
                <w:color w:val="auto"/>
              </w:rPr>
              <w:t>1.26</w:t>
            </w:r>
          </w:p>
        </w:tc>
        <w:tc>
          <w:tcPr>
            <w:tcW w:w="900" w:type="dxa"/>
            <w:vAlign w:val="bottom"/>
            <w:gridSpan w:val="2"/>
          </w:tcPr>
          <w:p>
            <w:pPr>
              <w:jc w:val="right"/>
              <w:ind w:right="570"/>
              <w:spacing w:after="0" w:line="196" w:lineRule="exact"/>
              <w:rPr>
                <w:sz w:val="20"/>
                <w:szCs w:val="20"/>
                <w:color w:val="auto"/>
              </w:rPr>
            </w:pPr>
            <w:r>
              <w:rPr>
                <w:rFonts w:ascii="Arial" w:cs="Arial" w:eastAsia="Arial" w:hAnsi="Arial"/>
                <w:sz w:val="18"/>
                <w:szCs w:val="18"/>
                <w:color w:val="auto"/>
              </w:rPr>
              <w:t>$</w:t>
            </w:r>
          </w:p>
        </w:tc>
        <w:tc>
          <w:tcPr>
            <w:tcW w:w="5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1.01</w:t>
            </w:r>
          </w:p>
        </w:tc>
        <w:tc>
          <w:tcPr>
            <w:tcW w:w="400" w:type="dxa"/>
            <w:vAlign w:val="bottom"/>
            <w:gridSpan w:val="2"/>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6"/>
              <w:spacing w:after="0" w:line="196" w:lineRule="exact"/>
              <w:rPr>
                <w:sz w:val="20"/>
                <w:szCs w:val="20"/>
                <w:color w:val="auto"/>
              </w:rPr>
            </w:pPr>
            <w:r>
              <w:rPr>
                <w:rFonts w:ascii="Arial" w:cs="Arial" w:eastAsia="Arial" w:hAnsi="Arial"/>
                <w:sz w:val="18"/>
                <w:szCs w:val="18"/>
                <w:b w:val="1"/>
                <w:bCs w:val="1"/>
                <w:color w:val="auto"/>
              </w:rPr>
              <w:t>2.56</w:t>
            </w:r>
          </w:p>
        </w:tc>
        <w:tc>
          <w:tcPr>
            <w:tcW w:w="44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line="196" w:lineRule="exact"/>
              <w:rPr>
                <w:sz w:val="20"/>
                <w:szCs w:val="20"/>
                <w:color w:val="auto"/>
              </w:rPr>
            </w:pPr>
            <w:r>
              <w:rPr>
                <w:rFonts w:ascii="Arial" w:cs="Arial" w:eastAsia="Arial" w:hAnsi="Arial"/>
                <w:sz w:val="18"/>
                <w:szCs w:val="18"/>
                <w:color w:val="auto"/>
              </w:rPr>
              <w:t>2.07</w:t>
            </w:r>
          </w:p>
        </w:tc>
      </w:tr>
      <w:tr>
        <w:trPr>
          <w:trHeight w:val="20"/>
        </w:trPr>
        <w:tc>
          <w:tcPr>
            <w:tcW w:w="5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-795655</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-778510</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-795655</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-778510</wp:posOffset>
            </wp:positionV>
            <wp:extent cx="857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-795655</wp:posOffset>
            </wp:positionV>
            <wp:extent cx="857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-778510</wp:posOffset>
            </wp:positionV>
            <wp:extent cx="857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-495935</wp:posOffset>
            </wp:positionV>
            <wp:extent cx="857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-495935</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-495935</wp:posOffset>
            </wp:positionV>
            <wp:extent cx="857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-187960</wp:posOffset>
            </wp:positionV>
            <wp:extent cx="857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-170815</wp:posOffset>
            </wp:positionV>
            <wp:extent cx="857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-187960</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-170815</wp:posOffset>
            </wp:positionV>
            <wp:extent cx="85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-187960</wp:posOffset>
            </wp:positionV>
            <wp:extent cx="857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-170815</wp:posOffset>
            </wp:positionV>
            <wp:extent cx="857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COMMON STOCK</w:t>
      </w:r>
    </w:p>
    <w:p>
      <w:pPr>
        <w:spacing w:after="0" w:line="157" w:lineRule="exact"/>
        <w:rPr>
          <w:sz w:val="20"/>
          <w:szCs w:val="20"/>
          <w:color w:val="auto"/>
        </w:rPr>
      </w:pPr>
    </w:p>
    <w:p>
      <w:pPr>
        <w:jc w:val="both"/>
        <w:ind w:right="160" w:firstLine="494"/>
        <w:spacing w:after="0" w:line="299" w:lineRule="auto"/>
        <w:rPr>
          <w:sz w:val="20"/>
          <w:szCs w:val="20"/>
          <w:color w:val="auto"/>
        </w:rPr>
      </w:pPr>
      <w:r>
        <w:rPr>
          <w:rFonts w:ascii="Arial" w:cs="Arial" w:eastAsia="Arial" w:hAnsi="Arial"/>
          <w:sz w:val="18"/>
          <w:szCs w:val="18"/>
          <w:color w:val="auto"/>
        </w:rPr>
        <w:t>The Company's current stock repurchase program (the "Repurchase Program") was authorized by the Board of Directors in 2016. On February 24, 2022, the Board of Directors authorized the Company to repurchase an additional $1,000 million of its common stock, bringing the total amount authorized under the Repurchase Program to $4,000 million.</w:t>
      </w:r>
    </w:p>
    <w:p>
      <w:pPr>
        <w:spacing w:after="0" w:line="76" w:lineRule="exact"/>
        <w:rPr>
          <w:sz w:val="20"/>
          <w:szCs w:val="20"/>
          <w:color w:val="auto"/>
        </w:rPr>
      </w:pPr>
    </w:p>
    <w:p>
      <w:pPr>
        <w:ind w:right="60" w:firstLine="494"/>
        <w:spacing w:after="0" w:line="294" w:lineRule="auto"/>
        <w:rPr>
          <w:sz w:val="20"/>
          <w:szCs w:val="20"/>
          <w:color w:val="auto"/>
        </w:rPr>
      </w:pPr>
      <w:r>
        <w:rPr>
          <w:rFonts w:ascii="Arial" w:cs="Arial" w:eastAsia="Arial" w:hAnsi="Arial"/>
          <w:sz w:val="18"/>
          <w:szCs w:val="18"/>
          <w:color w:val="auto"/>
        </w:rPr>
        <w:t>During the three and six months ended June 30, 2022, the Company repurchased $34 million and $115 million, respectively, of its common stock under the Repurchase Program, leaving $1,199 million of authorized repurchases remaining under the Repurchase Program as of June 30, 2022. The Repurchase Program has no termination date, and the timing and amount of stock purchases are subject to market conditions and corporate needs. The Repurchase Program may be modified, suspended or discontinued at any time at the Company’s discretion.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 ACQUISITIONS</w:t>
      </w:r>
    </w:p>
    <w:p>
      <w:pPr>
        <w:spacing w:after="0" w:line="144" w:lineRule="exact"/>
        <w:rPr>
          <w:sz w:val="20"/>
          <w:szCs w:val="20"/>
          <w:color w:val="auto"/>
        </w:rPr>
      </w:pPr>
    </w:p>
    <w:p>
      <w:pPr>
        <w:ind w:right="20" w:firstLine="494"/>
        <w:spacing w:after="0" w:line="298" w:lineRule="auto"/>
        <w:rPr>
          <w:sz w:val="20"/>
          <w:szCs w:val="20"/>
          <w:color w:val="auto"/>
        </w:rPr>
      </w:pPr>
      <w:r>
        <w:rPr>
          <w:rFonts w:ascii="Arial" w:cs="Arial" w:eastAsia="Arial" w:hAnsi="Arial"/>
          <w:sz w:val="18"/>
          <w:szCs w:val="18"/>
          <w:color w:val="auto"/>
        </w:rPr>
        <w:t>On March 31, 2022, the Company acquired transmission portfolio assets of India-based AVTEC Ltd's off-highway business and AVTEC's Madras Export Procession Zone off-highway component machining business ("AVTEC"), for $23 million in cash. The Company accounted for this transaction under the acquisition method in accordance with authoritative guidance on business combinations. Control was obtained as of the purchase date through the purchase agreement. The acquired business was integrated into the Company's single operating segment.</w:t>
      </w:r>
    </w:p>
    <w:p>
      <w:pPr>
        <w:spacing w:after="0" w:line="63" w:lineRule="exact"/>
        <w:rPr>
          <w:sz w:val="20"/>
          <w:szCs w:val="20"/>
          <w:color w:val="auto"/>
        </w:rPr>
      </w:pPr>
    </w:p>
    <w:p>
      <w:pPr>
        <w:ind w:right="40" w:firstLine="494"/>
        <w:spacing w:after="0" w:line="298" w:lineRule="auto"/>
        <w:rPr>
          <w:sz w:val="20"/>
          <w:szCs w:val="20"/>
          <w:color w:val="auto"/>
        </w:rPr>
      </w:pPr>
      <w:r>
        <w:rPr>
          <w:rFonts w:ascii="Arial" w:cs="Arial" w:eastAsia="Arial" w:hAnsi="Arial"/>
          <w:sz w:val="18"/>
          <w:szCs w:val="18"/>
          <w:color w:val="auto"/>
        </w:rPr>
        <w:t>The purchase price allocation for this transaction resulted in the recognition of goodwill, intangible assets and property, plant and equipment of $13 million, $8 million and $2 million, respectively. The Company has completed its initial accounting for the fair value of the acquired assets and liabilities, and any adjustments identified in the measurement period, which will not exceed one year from the acquisition date, will be accounted for prospectively.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left="60"/>
        <w:spacing w:after="0"/>
        <w:tabs>
          <w:tab w:leader="none" w:pos="14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7" w:lineRule="exact"/>
        <w:rPr>
          <w:sz w:val="20"/>
          <w:szCs w:val="20"/>
          <w:color w:val="auto"/>
        </w:rPr>
      </w:pPr>
    </w:p>
    <w:p>
      <w:pPr>
        <w:ind w:right="40" w:firstLine="494"/>
        <w:spacing w:after="0" w:line="298"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78" w:lineRule="exact"/>
        <w:rPr>
          <w:sz w:val="20"/>
          <w:szCs w:val="20"/>
          <w:color w:val="auto"/>
        </w:rPr>
      </w:pPr>
    </w:p>
    <w:p>
      <w:pPr>
        <w:ind w:right="40" w:firstLine="494"/>
        <w:spacing w:after="0" w:line="292" w:lineRule="auto"/>
        <w:rPr>
          <w:sz w:val="20"/>
          <w:szCs w:val="20"/>
          <w:color w:val="auto"/>
        </w:rPr>
      </w:pPr>
      <w:r>
        <w:rPr>
          <w:rFonts w:ascii="Arial" w:cs="Arial" w:eastAsia="Arial" w:hAnsi="Arial"/>
          <w:sz w:val="18"/>
          <w:szCs w:val="18"/>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in our Quarterly Report on Form 10-Q for the quarter ended March 31, 2022 as filed with the Securities and Exchange Commission (“SEC”) on April 28, 2022, and in Part I, Item 1A "Risk Factors" in our Annual Report on Form 10-K for the year ended December 31, 2021 as filed with the SEC on February 17, 2022. Our actual results may differ materially from those contained in or implied by any forward-looking statements.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ind w:right="200" w:firstLine="494"/>
        <w:spacing w:after="0" w:line="298" w:lineRule="auto"/>
        <w:rPr>
          <w:sz w:val="20"/>
          <w:szCs w:val="20"/>
          <w:color w:val="auto"/>
        </w:rPr>
      </w:pPr>
      <w:r>
        <w:rPr>
          <w:rFonts w:ascii="Arial" w:cs="Arial" w:eastAsia="Arial" w:hAnsi="Arial"/>
          <w:sz w:val="18"/>
          <w:szCs w:val="18"/>
          <w:color w:val="auto"/>
        </w:rPr>
        <w:t>Allison Transmission Holdings, Inc. and its subsidiaries (“Allison,” the “Company,” “we,” “us” or “our”)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is traded on the New York Stock Exchange under the symbol “ALSN”.</w:t>
      </w:r>
    </w:p>
    <w:p>
      <w:pPr>
        <w:spacing w:after="0" w:line="78" w:lineRule="exact"/>
        <w:rPr>
          <w:sz w:val="20"/>
          <w:szCs w:val="20"/>
          <w:color w:val="auto"/>
        </w:rPr>
      </w:pPr>
    </w:p>
    <w:p>
      <w:pPr>
        <w:ind w:right="140" w:firstLine="499"/>
        <w:spacing w:after="0" w:line="299" w:lineRule="auto"/>
        <w:rPr>
          <w:sz w:val="20"/>
          <w:szCs w:val="20"/>
          <w:color w:val="auto"/>
        </w:rPr>
      </w:pPr>
      <w:r>
        <w:rPr>
          <w:rFonts w:ascii="Arial" w:cs="Arial" w:eastAsia="Arial" w:hAnsi="Arial"/>
          <w:sz w:val="18"/>
          <w:szCs w:val="18"/>
          <w:color w:val="auto"/>
        </w:rPr>
        <w:t>Although approximately 76% of revenues were generated in North America in 2021, we have a global presence by serving customers in Asia, Europe, South America and Africa. We serve customers through an independent network of approximately 1,400 independent distributor and dealer locations worldwide.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98" w:lineRule="exact"/>
        <w:rPr>
          <w:sz w:val="20"/>
          <w:szCs w:val="20"/>
          <w:color w:val="auto"/>
        </w:rPr>
      </w:pPr>
    </w:p>
    <w:p>
      <w:pPr>
        <w:ind w:firstLine="494"/>
        <w:spacing w:after="0" w:line="292" w:lineRule="auto"/>
        <w:rPr>
          <w:sz w:val="20"/>
          <w:szCs w:val="20"/>
          <w:color w:val="auto"/>
        </w:rPr>
      </w:pPr>
      <w:r>
        <w:rPr>
          <w:rFonts w:ascii="Arial" w:cs="Arial" w:eastAsia="Arial" w:hAnsi="Arial"/>
          <w:sz w:val="18"/>
          <w:szCs w:val="18"/>
          <w:color w:val="auto"/>
        </w:rPr>
        <w:t>During the first half of 2022, global markets continued to experience supply chain, labor and raw material constraints, as a result of factors including the COVID-19 pandemic and the war in Ukraine, that created volatility in our business performance. As a result, we experienced, and expect to continue to experience, raw material and component part price inflation, increased freight and logistics costs, increased labor costs as a result of labor shortages and increased foreign exchange volatility. In addition, despite increased customer demand, our net sales for the first half of 2022 were negatively impacted as a result of our customers’ inability to secure components from the broader commercial vehicle supply base which resulted in reduced commercial vehicle build schedules. We expect that commercial vehicle build schedules will continue to be negatively impacted by the availability of components throughout the remainder of 2022.</w:t>
      </w:r>
    </w:p>
    <w:p>
      <w:pPr>
        <w:spacing w:after="0" w:line="138" w:lineRule="exact"/>
        <w:rPr>
          <w:sz w:val="20"/>
          <w:szCs w:val="20"/>
          <w:color w:val="auto"/>
        </w:rPr>
      </w:pPr>
    </w:p>
    <w:p>
      <w:pPr>
        <w:jc w:val="both"/>
        <w:ind w:right="20" w:firstLine="494"/>
        <w:spacing w:after="0" w:line="298" w:lineRule="auto"/>
        <w:rPr>
          <w:sz w:val="20"/>
          <w:szCs w:val="20"/>
          <w:color w:val="auto"/>
        </w:rPr>
      </w:pPr>
      <w:r>
        <w:rPr>
          <w:rFonts w:ascii="Arial" w:cs="Arial" w:eastAsia="Arial" w:hAnsi="Arial"/>
          <w:sz w:val="18"/>
          <w:szCs w:val="18"/>
          <w:color w:val="auto"/>
        </w:rPr>
        <w:t>To limit the spread of variants and sub-variants of COVID-19, governments have taken, and may in the future take, various actions that have impacted, and may continue to impact, our employees, operations, customers and supply base, including the administration or mandate of vaccinations, travel bans and restrictions, quarantines, curfews, stay-at-home orders, social distancing guidelines and business shutdowns and closures.</w:t>
      </w:r>
    </w:p>
    <w:p>
      <w:pPr>
        <w:spacing w:after="0" w:line="118" w:lineRule="exact"/>
        <w:rPr>
          <w:sz w:val="20"/>
          <w:szCs w:val="20"/>
          <w:color w:val="auto"/>
        </w:rPr>
      </w:pPr>
    </w:p>
    <w:p>
      <w:pPr>
        <w:ind w:right="120" w:firstLine="494"/>
        <w:spacing w:after="0" w:line="307" w:lineRule="auto"/>
        <w:rPr>
          <w:sz w:val="20"/>
          <w:szCs w:val="20"/>
          <w:color w:val="auto"/>
        </w:rPr>
      </w:pPr>
      <w:r>
        <w:rPr>
          <w:rFonts w:ascii="Arial" w:cs="Arial" w:eastAsia="Arial" w:hAnsi="Arial"/>
          <w:sz w:val="18"/>
          <w:szCs w:val="18"/>
          <w:color w:val="auto"/>
        </w:rPr>
        <w:t>Our net sales are driven by commercial vehicle production, which tends to be highly correlated to macroeconomic conditions. In 2022, we expect higher customer demand in the Global On-Highway, Global Off-Highway and Service Parts, Support Equipment &amp; Other end markets as well as price increases on certain products.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Second Quarter Net Sales by End Market (dollars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End Market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Q2 2022</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Q2 2021</w:t>
            </w:r>
          </w:p>
        </w:tc>
        <w:tc>
          <w:tcPr>
            <w:tcW w:w="120" w:type="dxa"/>
            <w:vAlign w:val="bottom"/>
          </w:tcPr>
          <w:p>
            <w:pPr>
              <w:spacing w:after="0"/>
              <w:rPr>
                <w:sz w:val="14"/>
                <w:szCs w:val="14"/>
                <w:color w:val="auto"/>
              </w:rPr>
            </w:pPr>
          </w:p>
        </w:tc>
        <w:tc>
          <w:tcPr>
            <w:tcW w:w="16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 Variance</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0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 Sales</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Net Sales</w:t>
            </w:r>
          </w:p>
        </w:tc>
        <w:tc>
          <w:tcPr>
            <w:tcW w:w="120" w:type="dxa"/>
            <w:vAlign w:val="bottom"/>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500" w:type="dxa"/>
            <w:vAlign w:val="bottom"/>
          </w:tcPr>
          <w:p>
            <w:pPr>
              <w:ind w:left="20"/>
              <w:spacing w:after="0" w:line="190" w:lineRule="exact"/>
              <w:rPr>
                <w:sz w:val="20"/>
                <w:szCs w:val="20"/>
                <w:color w:val="auto"/>
              </w:rPr>
            </w:pPr>
            <w:r>
              <w:rPr>
                <w:rFonts w:ascii="Arial" w:cs="Arial" w:eastAsia="Arial" w:hAnsi="Arial"/>
                <w:sz w:val="18"/>
                <w:szCs w:val="18"/>
                <w:color w:val="auto"/>
              </w:rPr>
              <w:t>North America On-Highway</w:t>
            </w:r>
          </w:p>
        </w:tc>
        <w:tc>
          <w:tcPr>
            <w:tcW w:w="1000" w:type="dxa"/>
            <w:vAlign w:val="bottom"/>
          </w:tcPr>
          <w:p>
            <w:pPr>
              <w:jc w:val="right"/>
              <w:ind w:right="799"/>
              <w:spacing w:after="0" w:line="190" w:lineRule="exact"/>
              <w:rPr>
                <w:sz w:val="20"/>
                <w:szCs w:val="20"/>
                <w:color w:val="auto"/>
              </w:rPr>
            </w:pPr>
            <w:r>
              <w:rPr>
                <w:rFonts w:ascii="Arial" w:cs="Arial" w:eastAsia="Arial" w:hAnsi="Arial"/>
                <w:sz w:val="18"/>
                <w:szCs w:val="18"/>
                <w:b w:val="1"/>
                <w:bCs w:val="1"/>
                <w:color w:val="auto"/>
                <w:w w:val="99"/>
              </w:rPr>
              <w:t>$</w:t>
            </w:r>
          </w:p>
        </w:tc>
        <w:tc>
          <w:tcPr>
            <w:tcW w:w="440" w:type="dxa"/>
            <w:vAlign w:val="bottom"/>
          </w:tcPr>
          <w:p>
            <w:pPr>
              <w:jc w:val="right"/>
              <w:ind w:right="50"/>
              <w:spacing w:after="0" w:line="190" w:lineRule="exact"/>
              <w:rPr>
                <w:sz w:val="20"/>
                <w:szCs w:val="20"/>
                <w:color w:val="auto"/>
              </w:rPr>
            </w:pPr>
            <w:r>
              <w:rPr>
                <w:rFonts w:ascii="Arial" w:cs="Arial" w:eastAsia="Arial" w:hAnsi="Arial"/>
                <w:sz w:val="18"/>
                <w:szCs w:val="18"/>
                <w:b w:val="1"/>
                <w:bCs w:val="1"/>
                <w:color w:val="auto"/>
                <w:w w:val="93"/>
              </w:rPr>
              <w:t>340</w:t>
            </w:r>
          </w:p>
        </w:tc>
        <w:tc>
          <w:tcPr>
            <w:tcW w:w="140" w:type="dxa"/>
            <w:vAlign w:val="bottom"/>
          </w:tcPr>
          <w:p>
            <w:pPr>
              <w:spacing w:after="0"/>
              <w:rPr>
                <w:sz w:val="16"/>
                <w:szCs w:val="16"/>
                <w:color w:val="auto"/>
              </w:rPr>
            </w:pPr>
          </w:p>
        </w:tc>
        <w:tc>
          <w:tcPr>
            <w:tcW w:w="220" w:type="dxa"/>
            <w:vAlign w:val="bottom"/>
          </w:tcPr>
          <w:p>
            <w:pPr>
              <w:jc w:val="right"/>
              <w:ind w:right="30"/>
              <w:spacing w:after="0" w:line="190"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4"/>
              <w:spacing w:after="0" w:line="190" w:lineRule="exact"/>
              <w:rPr>
                <w:sz w:val="20"/>
                <w:szCs w:val="20"/>
                <w:color w:val="auto"/>
              </w:rPr>
            </w:pPr>
            <w:r>
              <w:rPr>
                <w:rFonts w:ascii="Arial" w:cs="Arial" w:eastAsia="Arial" w:hAnsi="Arial"/>
                <w:sz w:val="18"/>
                <w:szCs w:val="18"/>
                <w:color w:val="auto"/>
              </w:rPr>
              <w:t>302</w:t>
            </w:r>
          </w:p>
        </w:tc>
        <w:tc>
          <w:tcPr>
            <w:tcW w:w="120" w:type="dxa"/>
            <w:vAlign w:val="bottom"/>
          </w:tcPr>
          <w:p>
            <w:pPr>
              <w:spacing w:after="0"/>
              <w:rPr>
                <w:sz w:val="16"/>
                <w:szCs w:val="16"/>
                <w:color w:val="auto"/>
              </w:rPr>
            </w:pPr>
          </w:p>
        </w:tc>
        <w:tc>
          <w:tcPr>
            <w:tcW w:w="1740" w:type="dxa"/>
            <w:vAlign w:val="bottom"/>
            <w:gridSpan w:val="2"/>
          </w:tcPr>
          <w:p>
            <w:pPr>
              <w:jc w:val="right"/>
              <w:ind w:right="40"/>
              <w:spacing w:after="0" w:line="190" w:lineRule="exact"/>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North America Off-Highway</w:t>
            </w:r>
          </w:p>
        </w:tc>
        <w:tc>
          <w:tcPr>
            <w:tcW w:w="1000" w:type="dxa"/>
            <w:vAlign w:val="bottom"/>
          </w:tcPr>
          <w:p>
            <w:pPr>
              <w:spacing w:after="0"/>
              <w:rPr>
                <w:sz w:val="18"/>
                <w:szCs w:val="18"/>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b w:val="1"/>
                <w:bCs w:val="1"/>
                <w:color w:val="auto"/>
              </w:rPr>
              <w:t>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Defense</w:t>
            </w:r>
          </w:p>
        </w:tc>
        <w:tc>
          <w:tcPr>
            <w:tcW w:w="1000" w:type="dxa"/>
            <w:vAlign w:val="bottom"/>
          </w:tcPr>
          <w:p>
            <w:pPr>
              <w:spacing w:after="0"/>
              <w:rPr>
                <w:sz w:val="18"/>
                <w:szCs w:val="18"/>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b w:val="1"/>
                <w:bCs w:val="1"/>
                <w:color w:val="auto"/>
              </w:rPr>
              <w:t>29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48</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Outside North America On-Highway</w:t>
            </w:r>
          </w:p>
        </w:tc>
        <w:tc>
          <w:tcPr>
            <w:tcW w:w="1000" w:type="dxa"/>
            <w:vAlign w:val="bottom"/>
          </w:tcPr>
          <w:p>
            <w:pPr>
              <w:spacing w:after="0"/>
              <w:rPr>
                <w:sz w:val="18"/>
                <w:szCs w:val="18"/>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105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98</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Outside North America Off-Highway</w:t>
            </w:r>
          </w:p>
        </w:tc>
        <w:tc>
          <w:tcPr>
            <w:tcW w:w="1000" w:type="dxa"/>
            <w:vAlign w:val="bottom"/>
          </w:tcPr>
          <w:p>
            <w:pPr>
              <w:spacing w:after="0"/>
              <w:rPr>
                <w:sz w:val="18"/>
                <w:szCs w:val="18"/>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b w:val="1"/>
                <w:bCs w:val="1"/>
                <w:color w:val="auto"/>
              </w:rPr>
              <w:t>32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35"/>
        </w:trPr>
        <w:tc>
          <w:tcPr>
            <w:tcW w:w="6500" w:type="dxa"/>
            <w:vAlign w:val="bottom"/>
          </w:tcPr>
          <w:p>
            <w:pPr>
              <w:ind w:left="20"/>
              <w:spacing w:after="0"/>
              <w:rPr>
                <w:sz w:val="20"/>
                <w:szCs w:val="20"/>
                <w:color w:val="auto"/>
              </w:rPr>
            </w:pPr>
            <w:r>
              <w:rPr>
                <w:rFonts w:ascii="Arial" w:cs="Arial" w:eastAsia="Arial" w:hAnsi="Arial"/>
                <w:sz w:val="18"/>
                <w:szCs w:val="18"/>
                <w:color w:val="auto"/>
              </w:rPr>
              <w:t>Service Parts, Support Equipment and Other</w:t>
            </w:r>
          </w:p>
        </w:tc>
        <w:tc>
          <w:tcPr>
            <w:tcW w:w="10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138</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128</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9"/>
        </w:trPr>
        <w:tc>
          <w:tcPr>
            <w:tcW w:w="650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664</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603</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-992505</wp:posOffset>
            </wp:positionV>
            <wp:extent cx="713232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-718820</wp:posOffset>
            </wp:positionV>
            <wp:extent cx="713232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0" w:lineRule="exact"/>
        <w:rPr>
          <w:sz w:val="20"/>
          <w:szCs w:val="20"/>
          <w:color w:val="auto"/>
        </w:rPr>
      </w:pPr>
    </w:p>
    <w:p>
      <w:pPr>
        <w:ind w:right="480" w:firstLine="494"/>
        <w:spacing w:after="0" w:line="318" w:lineRule="auto"/>
        <w:rPr>
          <w:sz w:val="20"/>
          <w:szCs w:val="20"/>
          <w:color w:val="auto"/>
        </w:rPr>
      </w:pPr>
      <w:r>
        <w:rPr>
          <w:rFonts w:ascii="Arial" w:cs="Arial" w:eastAsia="Arial" w:hAnsi="Arial"/>
          <w:sz w:val="18"/>
          <w:szCs w:val="18"/>
          <w:color w:val="auto"/>
        </w:rPr>
        <w:t>North America On-Highway end market net sales were up 13% for the second quarter 2022 compared to the second quarter 2021, principally driven by continued strength in customer demand for last mile delivery, regional haul and vocational trucks.</w:t>
      </w:r>
    </w:p>
    <w:p>
      <w:pPr>
        <w:spacing w:after="0" w:line="45" w:lineRule="exact"/>
        <w:rPr>
          <w:sz w:val="20"/>
          <w:szCs w:val="20"/>
          <w:color w:val="auto"/>
        </w:rPr>
      </w:pPr>
    </w:p>
    <w:p>
      <w:pPr>
        <w:ind w:right="280" w:firstLine="494"/>
        <w:spacing w:after="0" w:line="307" w:lineRule="auto"/>
        <w:rPr>
          <w:sz w:val="20"/>
          <w:szCs w:val="20"/>
          <w:color w:val="auto"/>
        </w:rPr>
      </w:pPr>
      <w:r>
        <w:rPr>
          <w:rFonts w:ascii="Arial" w:cs="Arial" w:eastAsia="Arial" w:hAnsi="Arial"/>
          <w:sz w:val="18"/>
          <w:szCs w:val="18"/>
          <w:color w:val="auto"/>
        </w:rPr>
        <w:t>Global Off-Highway end market net sales were up $25 million for the second quarter 2022 compared to the second quarter 2021, principally driven by sustained demand for hydraulic fracturing applications in the energy sector as well as higher demand in the mining and construction sectors.</w:t>
      </w:r>
    </w:p>
    <w:p>
      <w:pPr>
        <w:spacing w:after="0" w:line="69" w:lineRule="exact"/>
        <w:rPr>
          <w:sz w:val="20"/>
          <w:szCs w:val="20"/>
          <w:color w:val="auto"/>
        </w:rPr>
      </w:pPr>
    </w:p>
    <w:p>
      <w:pPr>
        <w:ind w:right="140" w:firstLine="494"/>
        <w:spacing w:after="0" w:line="318" w:lineRule="auto"/>
        <w:rPr>
          <w:sz w:val="20"/>
          <w:szCs w:val="20"/>
          <w:color w:val="auto"/>
        </w:rPr>
      </w:pPr>
      <w:r>
        <w:rPr>
          <w:rFonts w:ascii="Arial" w:cs="Arial" w:eastAsia="Arial" w:hAnsi="Arial"/>
          <w:sz w:val="18"/>
          <w:szCs w:val="18"/>
          <w:color w:val="auto"/>
        </w:rPr>
        <w:t>Defense end market net sales were down 40% for the second quarter 2022 compared to the second quarter 2021, principally driven by lower demand for Tracked vehicle applications.</w:t>
      </w:r>
    </w:p>
    <w:p>
      <w:pPr>
        <w:spacing w:after="0" w:line="45" w:lineRule="exact"/>
        <w:rPr>
          <w:sz w:val="20"/>
          <w:szCs w:val="20"/>
          <w:color w:val="auto"/>
        </w:rPr>
      </w:pPr>
    </w:p>
    <w:p>
      <w:pPr>
        <w:ind w:right="400" w:firstLine="494"/>
        <w:spacing w:after="0" w:line="333" w:lineRule="auto"/>
        <w:rPr>
          <w:sz w:val="20"/>
          <w:szCs w:val="20"/>
          <w:color w:val="auto"/>
        </w:rPr>
      </w:pPr>
      <w:r>
        <w:rPr>
          <w:rFonts w:ascii="Arial" w:cs="Arial" w:eastAsia="Arial" w:hAnsi="Arial"/>
          <w:sz w:val="18"/>
          <w:szCs w:val="18"/>
          <w:color w:val="auto"/>
        </w:rPr>
        <w:t>Outside North America On-Highway end market net sales were up 7% for the second quarter 2022 compared to the second quarter 2021, principally driven by higher demand in Europe and South America.</w:t>
      </w:r>
    </w:p>
    <w:p>
      <w:pPr>
        <w:spacing w:after="0" w:line="32" w:lineRule="exact"/>
        <w:rPr>
          <w:sz w:val="20"/>
          <w:szCs w:val="20"/>
          <w:color w:val="auto"/>
        </w:rPr>
      </w:pPr>
    </w:p>
    <w:p>
      <w:pPr>
        <w:ind w:right="320" w:firstLine="494"/>
        <w:spacing w:after="0" w:line="333" w:lineRule="auto"/>
        <w:rPr>
          <w:sz w:val="20"/>
          <w:szCs w:val="20"/>
          <w:color w:val="auto"/>
        </w:rPr>
      </w:pPr>
      <w:r>
        <w:rPr>
          <w:rFonts w:ascii="Arial" w:cs="Arial" w:eastAsia="Arial" w:hAnsi="Arial"/>
          <w:sz w:val="18"/>
          <w:szCs w:val="18"/>
          <w:color w:val="auto"/>
        </w:rPr>
        <w:t>Service Parts, Support Equipment and Other end market net sales were up 8% for the second quarter 2022 compared to the second quarter 2021, principally driven by North America service parts and global support equipment.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42" w:lineRule="exact"/>
        <w:rPr>
          <w:sz w:val="20"/>
          <w:szCs w:val="20"/>
          <w:color w:val="auto"/>
        </w:rPr>
      </w:pPr>
    </w:p>
    <w:p>
      <w:pPr>
        <w:ind w:right="200" w:firstLine="494"/>
        <w:spacing w:after="0" w:line="319" w:lineRule="auto"/>
        <w:rPr>
          <w:sz w:val="20"/>
          <w:szCs w:val="20"/>
          <w:color w:val="auto"/>
        </w:rPr>
      </w:pPr>
      <w:r>
        <w:rPr>
          <w:rFonts w:ascii="Arial" w:cs="Arial" w:eastAsia="Arial" w:hAnsi="Arial"/>
          <w:sz w:val="17"/>
          <w:szCs w:val="17"/>
          <w:color w:val="auto"/>
        </w:rPr>
        <w:t>We generate our net sales primarily from the sale of vehicle propulsion solutions, service and component parts, support equipment, defense kits, engineering services, royalties and extended transmission coverage to a wide array of original equipment manufacturers, distributors and the U.S. and other governments.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3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42" w:lineRule="exact"/>
        <w:rPr>
          <w:sz w:val="20"/>
          <w:szCs w:val="20"/>
          <w:color w:val="auto"/>
        </w:rPr>
      </w:pPr>
    </w:p>
    <w:p>
      <w:pPr>
        <w:ind w:right="180" w:firstLine="494"/>
        <w:spacing w:after="0" w:line="295" w:lineRule="auto"/>
        <w:rPr>
          <w:sz w:val="20"/>
          <w:szCs w:val="20"/>
          <w:color w:val="auto"/>
        </w:rPr>
      </w:pPr>
      <w:r>
        <w:rPr>
          <w:rFonts w:ascii="Arial" w:cs="Arial" w:eastAsia="Arial" w:hAnsi="Arial"/>
          <w:sz w:val="18"/>
          <w:szCs w:val="18"/>
          <w:color w:val="auto"/>
        </w:rPr>
        <w:t>Our primary components of cost of sales are purchased parts, overhead expense related to our manufacturing operations and direct labor associated with the manufacture and assembly of propulsion solutions and parts. For the six months ended June 30, 2022, direct material costs were approximately 67%, overhead costs were approximately 26%, and direct labor costs were approximately 7% of total cost of sales. We are subject to changes in our cost of sales caused by movements in underlying commodity prices. We seek to hedge against this risk by using long-term agreements, as appropriate. See Part I, Item 3, “Quantitative and Qualitative Disclosures about Market Risk — Commodity Price Risk” included below.</w:t>
      </w:r>
    </w:p>
    <w:p>
      <w:pPr>
        <w:spacing w:after="0" w:line="11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2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42" w:lineRule="exact"/>
        <w:rPr>
          <w:sz w:val="20"/>
          <w:szCs w:val="20"/>
          <w:color w:val="auto"/>
        </w:rPr>
      </w:pPr>
    </w:p>
    <w:p>
      <w:pPr>
        <w:ind w:right="440" w:firstLine="494"/>
        <w:spacing w:after="0" w:line="299" w:lineRule="auto"/>
        <w:rPr>
          <w:sz w:val="20"/>
          <w:szCs w:val="20"/>
          <w:color w:val="auto"/>
        </w:rPr>
      </w:pPr>
      <w:r>
        <w:rPr>
          <w:rFonts w:ascii="Arial" w:cs="Arial" w:eastAsia="Arial" w:hAnsi="Arial"/>
          <w:sz w:val="18"/>
          <w:szCs w:val="18"/>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42" w:lineRule="exact"/>
        <w:rPr>
          <w:sz w:val="20"/>
          <w:szCs w:val="20"/>
          <w:color w:val="auto"/>
        </w:rPr>
      </w:pPr>
    </w:p>
    <w:p>
      <w:pPr>
        <w:ind w:firstLine="494"/>
        <w:spacing w:after="0" w:line="318"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4" w:right="5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96" w:lineRule="exact"/>
        <w:rPr>
          <w:sz w:val="20"/>
          <w:szCs w:val="20"/>
          <w:color w:val="auto"/>
        </w:rPr>
      </w:pPr>
    </w:p>
    <w:p>
      <w:pPr>
        <w:ind w:right="80" w:firstLine="494"/>
        <w:spacing w:after="0" w:line="289" w:lineRule="auto"/>
        <w:rPr>
          <w:sz w:val="20"/>
          <w:szCs w:val="20"/>
          <w:color w:val="auto"/>
        </w:rPr>
      </w:pPr>
      <w:r>
        <w:rPr>
          <w:rFonts w:ascii="Arial" w:cs="Arial" w:eastAsia="Arial" w:hAnsi="Arial"/>
          <w:sz w:val="18"/>
          <w:szCs w:val="18"/>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 to Adjusted EBITDA and Adjusted EBITDA as a percent of net sales is Net income and Net income as a percent of net sales, respectively. Adjusted EBITDA is calculated as earnings before interest expense, net, income tax expense, amortization of intangible assets, depreciation of property, plant and equipment and other adjustments as defined by the Second Amended and Restated Credit Agreement dated as of March 29, 2019, as amended (the “Credit Agreement”) governing Allison Transmission, Inc.’s (“ATI”), our wholly-owned subsidiary, term loan facility in the amount of $628 million due March 2026 (“Term Loan”). Adjusted EBITDA as a percent of net sales is calculated as Adjusted EBITDA divided by net sales.</w:t>
      </w:r>
    </w:p>
    <w:p>
      <w:pPr>
        <w:spacing w:after="0" w:line="144" w:lineRule="exact"/>
        <w:rPr>
          <w:sz w:val="20"/>
          <w:szCs w:val="20"/>
          <w:color w:val="auto"/>
        </w:rPr>
      </w:pPr>
    </w:p>
    <w:p>
      <w:pPr>
        <w:ind w:right="160" w:firstLine="494"/>
        <w:spacing w:after="0" w:line="292" w:lineRule="auto"/>
        <w:rPr>
          <w:sz w:val="20"/>
          <w:szCs w:val="20"/>
          <w:color w:val="auto"/>
        </w:rPr>
      </w:pPr>
      <w:r>
        <w:rPr>
          <w:rFonts w:ascii="Arial" w:cs="Arial" w:eastAsia="Arial" w:hAnsi="Arial"/>
          <w:sz w:val="18"/>
          <w:szCs w:val="18"/>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additions of long-lived assets.</w:t>
      </w:r>
    </w:p>
    <w:p>
      <w:pPr>
        <w:spacing w:after="0" w:line="85" w:lineRule="exact"/>
        <w:rPr>
          <w:sz w:val="20"/>
          <w:szCs w:val="20"/>
          <w:color w:val="auto"/>
        </w:rPr>
      </w:pPr>
    </w:p>
    <w:p>
      <w:pPr>
        <w:ind w:right="140" w:firstLine="494"/>
        <w:spacing w:after="0" w:line="279" w:lineRule="auto"/>
        <w:rPr>
          <w:sz w:val="20"/>
          <w:szCs w:val="20"/>
          <w:color w:val="auto"/>
        </w:rPr>
      </w:pPr>
      <w:r>
        <w:rPr>
          <w:rFonts w:ascii="Arial" w:cs="Arial" w:eastAsia="Arial" w:hAnsi="Arial"/>
          <w:sz w:val="18"/>
          <w:szCs w:val="18"/>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4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(unaudited, dollars in millions)</w:t>
            </w: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80" w:type="dxa"/>
            <w:vAlign w:val="bottom"/>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(GAAP)</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122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251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plus: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32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66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26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53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Unrealized (gain) loss on marketable securities (a)</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80"/>
              <w:spacing w:after="0"/>
              <w:rPr>
                <w:sz w:val="20"/>
                <w:szCs w:val="20"/>
                <w:color w:val="auto"/>
              </w:rPr>
            </w:pPr>
            <w:r>
              <w:rPr>
                <w:rFonts w:ascii="Arial" w:cs="Arial" w:eastAsia="Arial" w:hAnsi="Arial"/>
                <w:sz w:val="18"/>
                <w:szCs w:val="18"/>
                <w:color w:val="auto"/>
              </w:rPr>
              <w:t>Stock-based compensation expense (b)</w:t>
            </w:r>
          </w:p>
        </w:tc>
        <w:tc>
          <w:tcPr>
            <w:tcW w:w="28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Technology-related investment gain (c)</w:t>
            </w: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(6 )</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80"/>
              <w:spacing w:after="0"/>
              <w:rPr>
                <w:sz w:val="20"/>
                <w:szCs w:val="20"/>
                <w:color w:val="auto"/>
              </w:rPr>
            </w:pPr>
            <w:r>
              <w:rPr>
                <w:rFonts w:ascii="Arial" w:cs="Arial" w:eastAsia="Arial" w:hAnsi="Arial"/>
                <w:sz w:val="18"/>
                <w:szCs w:val="18"/>
                <w:color w:val="auto"/>
              </w:rPr>
              <w:t>Unrealized loss on foreign exchange (d)</w:t>
            </w:r>
          </w:p>
        </w:tc>
        <w:tc>
          <w:tcPr>
            <w:tcW w:w="28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Acquisition-related earnouts (e)</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Adjusted EBITDA (Non-GAAP)</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227</w:t>
            </w: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471</w:t>
            </w: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sales (GAAP)</w:t>
            </w: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b w:val="1"/>
                <w:bCs w:val="1"/>
                <w:color w:val="auto"/>
              </w:rPr>
              <w:t>664</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603</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1,341</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1,191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780" w:type="dxa"/>
            <w:vAlign w:val="bottom"/>
          </w:tcPr>
          <w:p>
            <w:pPr>
              <w:ind w:left="20"/>
              <w:spacing w:after="0" w:line="197" w:lineRule="exact"/>
              <w:rPr>
                <w:sz w:val="20"/>
                <w:szCs w:val="20"/>
                <w:color w:val="auto"/>
              </w:rPr>
            </w:pPr>
            <w:r>
              <w:rPr>
                <w:rFonts w:ascii="Arial" w:cs="Arial" w:eastAsia="Arial" w:hAnsi="Arial"/>
                <w:sz w:val="18"/>
                <w:szCs w:val="18"/>
                <w:b w:val="1"/>
                <w:bCs w:val="1"/>
                <w:color w:val="auto"/>
              </w:rPr>
              <w:t>Net income as a percent of net sales (GAAP)</w:t>
            </w:r>
          </w:p>
        </w:tc>
        <w:tc>
          <w:tcPr>
            <w:tcW w:w="280" w:type="dxa"/>
            <w:vAlign w:val="bottom"/>
          </w:tcPr>
          <w:p>
            <w:pPr>
              <w:spacing w:after="0"/>
              <w:rPr>
                <w:sz w:val="17"/>
                <w:szCs w:val="17"/>
                <w:color w:val="auto"/>
              </w:rPr>
            </w:pPr>
          </w:p>
        </w:tc>
        <w:tc>
          <w:tcPr>
            <w:tcW w:w="1220" w:type="dxa"/>
            <w:vAlign w:val="bottom"/>
            <w:gridSpan w:val="2"/>
          </w:tcPr>
          <w:p>
            <w:pPr>
              <w:jc w:val="right"/>
              <w:ind w:right="80"/>
              <w:spacing w:after="0" w:line="197" w:lineRule="exact"/>
              <w:rPr>
                <w:sz w:val="20"/>
                <w:szCs w:val="20"/>
                <w:color w:val="auto"/>
              </w:rPr>
            </w:pPr>
            <w:r>
              <w:rPr>
                <w:rFonts w:ascii="Arial" w:cs="Arial" w:eastAsia="Arial" w:hAnsi="Arial"/>
                <w:sz w:val="18"/>
                <w:szCs w:val="18"/>
                <w:b w:val="1"/>
                <w:bCs w:val="1"/>
                <w:color w:val="auto"/>
              </w:rPr>
              <w:t>18.4 %</w:t>
            </w:r>
          </w:p>
        </w:tc>
        <w:tc>
          <w:tcPr>
            <w:tcW w:w="240" w:type="dxa"/>
            <w:vAlign w:val="bottom"/>
          </w:tcPr>
          <w:p>
            <w:pPr>
              <w:spacing w:after="0"/>
              <w:rPr>
                <w:sz w:val="17"/>
                <w:szCs w:val="17"/>
                <w:color w:val="auto"/>
              </w:rPr>
            </w:pPr>
          </w:p>
        </w:tc>
        <w:tc>
          <w:tcPr>
            <w:tcW w:w="1060" w:type="dxa"/>
            <w:vAlign w:val="bottom"/>
            <w:gridSpan w:val="2"/>
          </w:tcPr>
          <w:p>
            <w:pPr>
              <w:jc w:val="right"/>
              <w:ind w:right="40"/>
              <w:spacing w:after="0" w:line="197" w:lineRule="exact"/>
              <w:rPr>
                <w:sz w:val="20"/>
                <w:szCs w:val="20"/>
                <w:color w:val="auto"/>
              </w:rPr>
            </w:pPr>
            <w:r>
              <w:rPr>
                <w:rFonts w:ascii="Arial" w:cs="Arial" w:eastAsia="Arial" w:hAnsi="Arial"/>
                <w:sz w:val="18"/>
                <w:szCs w:val="18"/>
                <w:color w:val="auto"/>
              </w:rPr>
              <w:t>18.2 %</w:t>
            </w:r>
          </w:p>
        </w:tc>
        <w:tc>
          <w:tcPr>
            <w:tcW w:w="300" w:type="dxa"/>
            <w:vAlign w:val="bottom"/>
          </w:tcPr>
          <w:p>
            <w:pPr>
              <w:spacing w:after="0"/>
              <w:rPr>
                <w:sz w:val="17"/>
                <w:szCs w:val="17"/>
                <w:color w:val="auto"/>
              </w:rPr>
            </w:pPr>
          </w:p>
        </w:tc>
        <w:tc>
          <w:tcPr>
            <w:tcW w:w="1160" w:type="dxa"/>
            <w:vAlign w:val="bottom"/>
            <w:gridSpan w:val="2"/>
          </w:tcPr>
          <w:p>
            <w:pPr>
              <w:jc w:val="right"/>
              <w:ind w:right="40"/>
              <w:spacing w:after="0" w:line="197" w:lineRule="exact"/>
              <w:rPr>
                <w:sz w:val="20"/>
                <w:szCs w:val="20"/>
                <w:color w:val="auto"/>
              </w:rPr>
            </w:pPr>
            <w:r>
              <w:rPr>
                <w:rFonts w:ascii="Arial" w:cs="Arial" w:eastAsia="Arial" w:hAnsi="Arial"/>
                <w:sz w:val="18"/>
                <w:szCs w:val="18"/>
                <w:b w:val="1"/>
                <w:bCs w:val="1"/>
                <w:color w:val="auto"/>
              </w:rPr>
              <w:t>18.7 %</w:t>
            </w:r>
          </w:p>
        </w:tc>
        <w:tc>
          <w:tcPr>
            <w:tcW w:w="240" w:type="dxa"/>
            <w:vAlign w:val="bottom"/>
          </w:tcPr>
          <w:p>
            <w:pPr>
              <w:spacing w:after="0"/>
              <w:rPr>
                <w:sz w:val="17"/>
                <w:szCs w:val="17"/>
                <w:color w:val="auto"/>
              </w:rPr>
            </w:pPr>
          </w:p>
        </w:tc>
        <w:tc>
          <w:tcPr>
            <w:tcW w:w="102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Adjusted EBITDA as a percent of net sales (Non-GAAP)</w:t>
            </w:r>
          </w:p>
        </w:tc>
        <w:tc>
          <w:tcPr>
            <w:tcW w:w="2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34.2 %</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35.3 %</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35.1 %</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36.5 %</w:t>
            </w:r>
          </w:p>
        </w:tc>
        <w:tc>
          <w:tcPr>
            <w:tcW w:w="0" w:type="dxa"/>
            <w:vAlign w:val="bottom"/>
          </w:tcPr>
          <w:p>
            <w:pPr>
              <w:spacing w:after="0"/>
              <w:rPr>
                <w:sz w:val="1"/>
                <w:szCs w:val="1"/>
                <w:color w:val="auto"/>
              </w:rPr>
            </w:pPr>
          </w:p>
        </w:tc>
      </w:tr>
      <w:tr>
        <w:trPr>
          <w:trHeight w:val="235"/>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 (GAAP)</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53"/>
              <w:spacing w:after="0"/>
              <w:rPr>
                <w:sz w:val="20"/>
                <w:szCs w:val="20"/>
                <w:color w:val="auto"/>
              </w:rPr>
            </w:pPr>
            <w:r>
              <w:rPr>
                <w:rFonts w:ascii="Arial" w:cs="Arial" w:eastAsia="Arial" w:hAnsi="Arial"/>
                <w:sz w:val="18"/>
                <w:szCs w:val="18"/>
                <w:b w:val="1"/>
                <w:bCs w:val="1"/>
                <w:color w:val="auto"/>
              </w:rPr>
              <w:t>66</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b w:val="1"/>
                <w:bCs w:val="1"/>
                <w:color w:val="auto"/>
              </w:rPr>
              <w:t>229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Deductions to reconcile to Adjusted free cash flow:</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Additions of long-lived assets</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(50 )</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Adjusted free cash flow (Non-GAAP)</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36</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179</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4542790</wp:posOffset>
            </wp:positionH>
            <wp:positionV relativeFrom="paragraph">
              <wp:posOffset>-1163955</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-1163955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-1163955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-718820</wp:posOffset>
            </wp:positionV>
            <wp:extent cx="71323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-24765</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-7620</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1" w:lineRule="exact"/>
        <w:rPr>
          <w:sz w:val="20"/>
          <w:szCs w:val="20"/>
          <w:color w:val="auto"/>
        </w:rPr>
      </w:pPr>
    </w:p>
    <w:p>
      <w:pPr>
        <w:ind w:left="640" w:right="300" w:hanging="377"/>
        <w:spacing w:after="0" w:line="31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(gain) loss (recorded in Other (expense) income, net) related to an investment in the common stock of Jing-Jin Electric Technologies Co. Ltd.</w:t>
      </w:r>
    </w:p>
    <w:p>
      <w:pPr>
        <w:spacing w:after="0" w:line="11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4"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1" w:lineRule="exact"/>
        <w:rPr>
          <w:sz w:val="20"/>
          <w:szCs w:val="20"/>
          <w:color w:val="auto"/>
        </w:rPr>
      </w:pPr>
    </w:p>
    <w:p>
      <w:pPr>
        <w:ind w:left="640" w:right="180" w:hanging="377"/>
        <w:spacing w:after="0" w:line="281"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stock-based compensation expense (recorded in Cost of sales, Selling, general and administrative, and Engineering - research and development).</w:t>
      </w:r>
    </w:p>
    <w:p>
      <w:pPr>
        <w:ind w:left="640" w:right="160" w:hanging="377"/>
        <w:spacing w:after="0" w:line="289"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 gain (recorded in Other (expense) income, net) related to investments in co-development agreements to expand our position in propulsion solution technologies.</w:t>
      </w:r>
    </w:p>
    <w:p>
      <w:pPr>
        <w:ind w:left="640" w:hanging="377"/>
        <w:spacing w:after="0" w:line="289"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losses (recorded in Other (expense) income, net) on intercompany financing transactions related to investments in plant assets for our India facility.</w:t>
      </w:r>
    </w:p>
    <w:p>
      <w:pPr>
        <w:ind w:left="640" w:right="180" w:hanging="377"/>
        <w:spacing w:after="0" w:line="31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expenses (recorded in Selling, general and administrative and Engineering – research and development) for earnouts related to our acquisition of Vantage Power Limited.</w:t>
      </w:r>
    </w:p>
    <w:p>
      <w:pPr>
        <w:spacing w:after="0" w:line="3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4"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three months ended June 30, 2022 and 2021</w:t>
      </w:r>
    </w:p>
    <w:p>
      <w:pPr>
        <w:spacing w:after="0" w:line="142" w:lineRule="exact"/>
        <w:rPr>
          <w:sz w:val="20"/>
          <w:szCs w:val="20"/>
          <w:color w:val="auto"/>
        </w:rPr>
      </w:pPr>
    </w:p>
    <w:p>
      <w:pPr>
        <w:ind w:right="120" w:firstLine="494"/>
        <w:spacing w:after="0" w:line="307" w:lineRule="auto"/>
        <w:rPr>
          <w:sz w:val="20"/>
          <w:szCs w:val="20"/>
          <w:color w:val="auto"/>
        </w:rPr>
      </w:pPr>
      <w:r>
        <w:rPr>
          <w:rFonts w:ascii="Arial" w:cs="Arial" w:eastAsia="Arial" w:hAnsi="Arial"/>
          <w:sz w:val="18"/>
          <w:szCs w:val="18"/>
          <w:color w:val="auto"/>
        </w:rPr>
        <w:t>The following table sets forth certain financial information for the three months ended June 30, 2022 and 2021. The following table and discussion should be read in conjunction with the information contained in our condensed consolidated financial statements and the notes thereto included in Part I, Item 1 of this Quarterly Report on Form 10-Q.</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 June 30,</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33"/>
        </w:trPr>
        <w:tc>
          <w:tcPr>
            <w:tcW w:w="5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right"/>
              <w:ind w:right="494"/>
              <w:spacing w:after="0" w:line="13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ind w:right="473"/>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85"/>
        </w:trPr>
        <w:tc>
          <w:tcPr>
            <w:tcW w:w="5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260" w:type="dxa"/>
            <w:vAlign w:val="bottom"/>
          </w:tcPr>
          <w:p>
            <w:pPr>
              <w:spacing w:after="0"/>
              <w:rPr>
                <w:sz w:val="16"/>
                <w:szCs w:val="16"/>
                <w:color w:val="auto"/>
              </w:rPr>
            </w:pPr>
          </w:p>
        </w:tc>
        <w:tc>
          <w:tcPr>
            <w:tcW w:w="860" w:type="dxa"/>
            <w:vAlign w:val="bottom"/>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740" w:type="dxa"/>
            <w:vAlign w:val="bottom"/>
            <w:gridSpan w:val="3"/>
          </w:tcPr>
          <w:p>
            <w:pPr>
              <w:jc w:val="right"/>
              <w:ind w:right="610"/>
              <w:spacing w:after="0"/>
              <w:rPr>
                <w:sz w:val="20"/>
                <w:szCs w:val="20"/>
                <w:color w:val="auto"/>
              </w:rPr>
            </w:pPr>
            <w:r>
              <w:rPr>
                <w:rFonts w:ascii="Arial" w:cs="Arial" w:eastAsia="Arial" w:hAnsi="Arial"/>
                <w:sz w:val="14"/>
                <w:szCs w:val="14"/>
                <w:b w:val="1"/>
                <w:bCs w:val="1"/>
                <w:color w:val="auto"/>
              </w:rPr>
              <w:t>of net sales</w:t>
            </w:r>
          </w:p>
        </w:tc>
        <w:tc>
          <w:tcPr>
            <w:tcW w:w="860" w:type="dxa"/>
            <w:vAlign w:val="bottom"/>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4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of net sales</w:t>
            </w:r>
          </w:p>
        </w:tc>
      </w:tr>
      <w:tr>
        <w:trPr>
          <w:trHeight w:val="190"/>
        </w:trPr>
        <w:tc>
          <w:tcPr>
            <w:tcW w:w="5720" w:type="dxa"/>
            <w:vAlign w:val="bottom"/>
          </w:tcPr>
          <w:p>
            <w:pPr>
              <w:ind w:left="20"/>
              <w:spacing w:after="0" w:line="190" w:lineRule="exact"/>
              <w:rPr>
                <w:sz w:val="20"/>
                <w:szCs w:val="20"/>
                <w:color w:val="auto"/>
              </w:rPr>
            </w:pPr>
            <w:r>
              <w:rPr>
                <w:rFonts w:ascii="Arial" w:cs="Arial" w:eastAsia="Arial" w:hAnsi="Arial"/>
                <w:sz w:val="18"/>
                <w:szCs w:val="18"/>
                <w:color w:val="auto"/>
              </w:rPr>
              <w:t>Net sales</w:t>
            </w:r>
          </w:p>
        </w:tc>
        <w:tc>
          <w:tcPr>
            <w:tcW w:w="260" w:type="dxa"/>
            <w:vAlign w:val="bottom"/>
            <w:tcBorders>
              <w:top w:val="single" w:sz="8" w:color="auto"/>
            </w:tcBorders>
          </w:tcPr>
          <w:p>
            <w:pPr>
              <w:jc w:val="right"/>
              <w:ind w:right="70"/>
              <w:spacing w:after="0" w:line="190" w:lineRule="exact"/>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b w:val="1"/>
                <w:bCs w:val="1"/>
                <w:color w:val="auto"/>
              </w:rPr>
              <w:t>664</w:t>
            </w:r>
          </w:p>
        </w:tc>
        <w:tc>
          <w:tcPr>
            <w:tcW w:w="240" w:type="dxa"/>
            <w:vAlign w:val="bottom"/>
          </w:tcPr>
          <w:p>
            <w:pPr>
              <w:spacing w:after="0"/>
              <w:rPr>
                <w:sz w:val="16"/>
                <w:szCs w:val="16"/>
                <w:color w:val="auto"/>
              </w:rPr>
            </w:pPr>
          </w:p>
        </w:tc>
        <w:tc>
          <w:tcPr>
            <w:tcW w:w="128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b w:val="1"/>
                <w:bCs w:val="1"/>
                <w:color w:val="auto"/>
              </w:rPr>
              <w:t>100</w:t>
            </w:r>
          </w:p>
        </w:tc>
        <w:tc>
          <w:tcPr>
            <w:tcW w:w="220" w:type="dxa"/>
            <w:vAlign w:val="bottom"/>
          </w:tcPr>
          <w:p>
            <w:pPr>
              <w:jc w:val="right"/>
              <w:spacing w:after="0" w:line="190" w:lineRule="exact"/>
              <w:rPr>
                <w:sz w:val="20"/>
                <w:szCs w:val="20"/>
                <w:color w:val="auto"/>
              </w:rPr>
            </w:pPr>
            <w:r>
              <w:rPr>
                <w:rFonts w:ascii="Arial" w:cs="Arial" w:eastAsia="Arial" w:hAnsi="Arial"/>
                <w:sz w:val="18"/>
                <w:szCs w:val="18"/>
                <w:b w:val="1"/>
                <w:bCs w:val="1"/>
                <w:color w:val="auto"/>
                <w:w w:val="87"/>
              </w:rPr>
              <w:t>%</w:t>
            </w:r>
          </w:p>
        </w:tc>
        <w:tc>
          <w:tcPr>
            <w:tcW w:w="240" w:type="dxa"/>
            <w:vAlign w:val="bottom"/>
            <w:tcBorders>
              <w:top w:val="single" w:sz="8" w:color="auto"/>
            </w:tcBorders>
          </w:tcPr>
          <w:p>
            <w:pPr>
              <w:jc w:val="right"/>
              <w:ind w:right="50"/>
              <w:spacing w:after="0" w:line="190"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rPr>
              <w:t>603</w:t>
            </w:r>
          </w:p>
        </w:tc>
        <w:tc>
          <w:tcPr>
            <w:tcW w:w="220" w:type="dxa"/>
            <w:vAlign w:val="bottom"/>
          </w:tcPr>
          <w:p>
            <w:pPr>
              <w:spacing w:after="0"/>
              <w:rPr>
                <w:sz w:val="16"/>
                <w:szCs w:val="16"/>
                <w:color w:val="auto"/>
              </w:rPr>
            </w:pPr>
          </w:p>
        </w:tc>
        <w:tc>
          <w:tcPr>
            <w:tcW w:w="124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rPr>
              <w:t>100</w:t>
            </w:r>
          </w:p>
        </w:tc>
        <w:tc>
          <w:tcPr>
            <w:tcW w:w="160" w:type="dxa"/>
            <w:vAlign w:val="bottom"/>
            <w:gridSpan w:val="2"/>
          </w:tcPr>
          <w:p>
            <w:pPr>
              <w:jc w:val="right"/>
              <w:spacing w:after="0" w:line="190" w:lineRule="exact"/>
              <w:rPr>
                <w:sz w:val="20"/>
                <w:szCs w:val="20"/>
                <w:color w:val="auto"/>
              </w:rPr>
            </w:pPr>
            <w:r>
              <w:rPr>
                <w:rFonts w:ascii="Arial" w:cs="Arial" w:eastAsia="Arial" w:hAnsi="Arial"/>
                <w:sz w:val="18"/>
                <w:szCs w:val="18"/>
                <w:color w:val="auto"/>
                <w:w w:val="87"/>
              </w:rPr>
              <w:t>%</w:t>
            </w:r>
          </w:p>
        </w:tc>
      </w:tr>
      <w:tr>
        <w:trPr>
          <w:trHeight w:val="235"/>
        </w:trPr>
        <w:tc>
          <w:tcPr>
            <w:tcW w:w="57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w:t>
            </w:r>
          </w:p>
        </w:tc>
        <w:tc>
          <w:tcPr>
            <w:tcW w:w="24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311</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7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78</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720" w:type="dxa"/>
            <w:vAlign w:val="bottom"/>
          </w:tcPr>
          <w:p>
            <w:pPr>
              <w:ind w:left="280"/>
              <w:spacing w:after="0"/>
              <w:rPr>
                <w:sz w:val="20"/>
                <w:szCs w:val="20"/>
                <w:color w:val="auto"/>
              </w:rPr>
            </w:pPr>
            <w:r>
              <w:rPr>
                <w:rFonts w:ascii="Arial" w:cs="Arial" w:eastAsia="Arial" w:hAnsi="Arial"/>
                <w:sz w:val="18"/>
                <w:szCs w:val="18"/>
                <w:color w:val="auto"/>
              </w:rPr>
              <w:t>Engineering — research and development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24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7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124</w:t>
            </w:r>
          </w:p>
        </w:tc>
        <w:tc>
          <w:tcPr>
            <w:tcW w:w="2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7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187</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(30 )</w:t>
            </w:r>
          </w:p>
        </w:tc>
        <w:tc>
          <w:tcPr>
            <w:tcW w:w="1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(5 )</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(30 )</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60" w:type="dxa"/>
            <w:vAlign w:val="bottom"/>
          </w:tcPr>
          <w:p>
            <w:pPr>
              <w:spacing w:after="0"/>
              <w:rPr>
                <w:sz w:val="18"/>
                <w:szCs w:val="18"/>
                <w:color w:val="auto"/>
              </w:rPr>
            </w:pPr>
          </w:p>
        </w:tc>
      </w:tr>
      <w:tr>
        <w:trPr>
          <w:trHeight w:val="216"/>
        </w:trPr>
        <w:tc>
          <w:tcPr>
            <w:tcW w:w="572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(3 )</w:t>
            </w:r>
          </w:p>
        </w:tc>
        <w:tc>
          <w:tcPr>
            <w:tcW w:w="174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9"/>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154</w:t>
            </w:r>
          </w:p>
        </w:tc>
        <w:tc>
          <w:tcPr>
            <w:tcW w:w="24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w:t>
            </w: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7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(32 )</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(5 )</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(30 )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60" w:type="dxa"/>
            <w:vAlign w:val="bottom"/>
          </w:tcPr>
          <w:p>
            <w:pPr>
              <w:spacing w:after="0"/>
              <w:rPr>
                <w:sz w:val="18"/>
                <w:szCs w:val="18"/>
                <w:color w:val="auto"/>
              </w:rPr>
            </w:pPr>
          </w:p>
        </w:tc>
      </w:tr>
      <w:tr>
        <w:trPr>
          <w:trHeight w:val="209"/>
        </w:trPr>
        <w:tc>
          <w:tcPr>
            <w:tcW w:w="5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w:t>
            </w:r>
          </w:p>
        </w:tc>
        <w:tc>
          <w:tcPr>
            <w:tcW w:w="24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-1849120</wp:posOffset>
            </wp:positionV>
            <wp:extent cx="713232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-872490</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-872490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-872490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-872490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55" w:lineRule="exact"/>
        <w:rPr>
          <w:sz w:val="20"/>
          <w:szCs w:val="20"/>
          <w:color w:val="auto"/>
        </w:rPr>
      </w:pPr>
    </w:p>
    <w:p>
      <w:pPr>
        <w:ind w:right="140" w:firstLine="494"/>
        <w:spacing w:after="0" w:line="291" w:lineRule="auto"/>
        <w:rPr>
          <w:sz w:val="20"/>
          <w:szCs w:val="20"/>
          <w:color w:val="auto"/>
        </w:rPr>
      </w:pPr>
      <w:r>
        <w:rPr>
          <w:rFonts w:ascii="Arial" w:cs="Arial" w:eastAsia="Arial" w:hAnsi="Arial"/>
          <w:sz w:val="18"/>
          <w:szCs w:val="18"/>
          <w:color w:val="auto"/>
        </w:rPr>
        <w:t>Net sales for the quarter ended June 30, 2022 were $664 million compared to $603 million for the quarter ended June 30, 2021, an increase of 10%. The increase was principally driven by a $38 million, or 13%, increase in net sales in the North America On-Highway end market principally driven by continued strength in customer demand for last mile delivery, regional haul and vocational trucks, a $25 million, or 93%, increase in net sales in the Global Off-Highway end market principally driven by sustained demand for hydraulic fracturing applications in the energy sector as well as higher demand in the mining and construction sectors, a $10 million, or 8%, increase in net sales in the Service Parts, Support Equipment and Other end market principally driven by North America service parts and global support equipment and a $7 million, or 7%, increase in net sales in the Outside North America On-Highway end market principally driven by higher demand in Europe and South America, partially offset by a $19 million, or 40%, decrease in net sales in the Defense end market principally driven by lower demand for Tracked vehicle applications.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55" w:lineRule="exact"/>
        <w:rPr>
          <w:sz w:val="20"/>
          <w:szCs w:val="20"/>
          <w:color w:val="auto"/>
        </w:rPr>
      </w:pPr>
    </w:p>
    <w:p>
      <w:pPr>
        <w:jc w:val="both"/>
        <w:ind w:right="100" w:firstLine="494"/>
        <w:spacing w:after="0" w:line="307" w:lineRule="auto"/>
        <w:rPr>
          <w:sz w:val="20"/>
          <w:szCs w:val="20"/>
          <w:color w:val="auto"/>
        </w:rPr>
      </w:pPr>
      <w:r>
        <w:rPr>
          <w:rFonts w:ascii="Arial" w:cs="Arial" w:eastAsia="Arial" w:hAnsi="Arial"/>
          <w:sz w:val="18"/>
          <w:szCs w:val="18"/>
          <w:color w:val="auto"/>
        </w:rPr>
        <w:t>Cost of sales for the quarter ended June 30, 2022 was $353 million compared to $315 million for the quarter ended June 30, 2021, an increase of 12%. The increase was principally driven by unfavorable material costs and increased direct material and manufacturing expense commensurate with increased net sales.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Gross profit</w:t>
      </w:r>
    </w:p>
    <w:p>
      <w:pPr>
        <w:spacing w:after="0" w:line="142" w:lineRule="exact"/>
        <w:rPr>
          <w:sz w:val="20"/>
          <w:szCs w:val="20"/>
          <w:color w:val="auto"/>
        </w:rPr>
      </w:pPr>
    </w:p>
    <w:p>
      <w:pPr>
        <w:ind w:right="140" w:firstLine="494"/>
        <w:spacing w:after="0" w:line="319" w:lineRule="auto"/>
        <w:rPr>
          <w:sz w:val="20"/>
          <w:szCs w:val="20"/>
          <w:color w:val="auto"/>
        </w:rPr>
      </w:pPr>
      <w:r>
        <w:rPr>
          <w:rFonts w:ascii="Arial" w:cs="Arial" w:eastAsia="Arial" w:hAnsi="Arial"/>
          <w:sz w:val="17"/>
          <w:szCs w:val="17"/>
          <w:color w:val="auto"/>
        </w:rPr>
        <w:t>Gross profit for the quarter ended June 30, 2022 was $311 million compared to $288 million for the quarter ended June 30, 2021, an increase of 8%. The increase was principally driven by $33 million of price increases on certain products and $20 million related to increased net sales, partially offset by $25 million of unfavorable material costs and $3 million of higher manufacturing expense commensurate with increased net sales. Gross profit as a percent of net sales for the three months ended June 30, 2022 decreased 100 basis points compared to the same period in 2021 principally driven by increased cost of goods sold, partially offset by price increases on certain products.</w:t>
      </w:r>
    </w:p>
    <w:p>
      <w:pPr>
        <w:spacing w:after="0" w:line="10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4"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42" w:lineRule="exact"/>
        <w:rPr>
          <w:sz w:val="20"/>
          <w:szCs w:val="20"/>
          <w:color w:val="auto"/>
        </w:rPr>
      </w:pPr>
    </w:p>
    <w:p>
      <w:pPr>
        <w:ind w:right="440" w:firstLine="494"/>
        <w:spacing w:after="0" w:line="318" w:lineRule="auto"/>
        <w:rPr>
          <w:sz w:val="20"/>
          <w:szCs w:val="20"/>
          <w:color w:val="auto"/>
        </w:rPr>
      </w:pPr>
      <w:r>
        <w:rPr>
          <w:rFonts w:ascii="Arial" w:cs="Arial" w:eastAsia="Arial" w:hAnsi="Arial"/>
          <w:sz w:val="18"/>
          <w:szCs w:val="18"/>
          <w:color w:val="auto"/>
        </w:rPr>
        <w:t>Selling, general and administrative expenses for the quarter ended June 30, 2022 were $78 million compared to $80 million for the quarter ended June 30, 2021, a decrease of 3%. The decrease was principally driven by lower commercial activities spending.</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42" w:lineRule="exact"/>
        <w:rPr>
          <w:sz w:val="20"/>
          <w:szCs w:val="20"/>
          <w:color w:val="auto"/>
        </w:rPr>
      </w:pPr>
    </w:p>
    <w:p>
      <w:pPr>
        <w:ind w:right="320" w:firstLine="494"/>
        <w:spacing w:after="0" w:line="318" w:lineRule="auto"/>
        <w:rPr>
          <w:sz w:val="20"/>
          <w:szCs w:val="20"/>
          <w:color w:val="auto"/>
        </w:rPr>
      </w:pPr>
      <w:r>
        <w:rPr>
          <w:rFonts w:ascii="Arial" w:cs="Arial" w:eastAsia="Arial" w:hAnsi="Arial"/>
          <w:sz w:val="18"/>
          <w:szCs w:val="18"/>
          <w:color w:val="auto"/>
        </w:rPr>
        <w:t>Engineering expenses for the quarter ended June 30, 2022 were $46 million compared to $41 million for the quarter ended June 30, 2021, an increase of 12%. The increase was principally driven by increased product initiatives spending.</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 net for each of the quarters ended June 30, 2022 and 2021 was $30 million.</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42" w:lineRule="exact"/>
        <w:rPr>
          <w:sz w:val="20"/>
          <w:szCs w:val="20"/>
          <w:color w:val="auto"/>
        </w:rPr>
      </w:pPr>
    </w:p>
    <w:p>
      <w:pPr>
        <w:jc w:val="both"/>
        <w:ind w:right="220" w:firstLine="494"/>
        <w:spacing w:after="0" w:line="299" w:lineRule="auto"/>
        <w:rPr>
          <w:sz w:val="20"/>
          <w:szCs w:val="20"/>
          <w:color w:val="auto"/>
        </w:rPr>
      </w:pPr>
      <w:r>
        <w:rPr>
          <w:rFonts w:ascii="Arial" w:cs="Arial" w:eastAsia="Arial" w:hAnsi="Arial"/>
          <w:sz w:val="18"/>
          <w:szCs w:val="18"/>
          <w:color w:val="auto"/>
        </w:rPr>
        <w:t>Other (expense) income, net for the quarter ended June 30, 2022 was ($3) million compared to $3 million for the quarter ended June 30, 2021. The change was principally driven by $5 million of unfavorable foreign exchange and $3 million of unfavorable change associated with assets held in a rabbi trust, partially offset by a $4 million unrealized gain on marketable securities.</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42" w:lineRule="exact"/>
        <w:rPr>
          <w:sz w:val="20"/>
          <w:szCs w:val="20"/>
          <w:color w:val="auto"/>
        </w:rPr>
      </w:pPr>
    </w:p>
    <w:p>
      <w:pPr>
        <w:ind w:right="220" w:firstLine="494"/>
        <w:spacing w:after="0" w:line="299" w:lineRule="auto"/>
        <w:rPr>
          <w:sz w:val="20"/>
          <w:szCs w:val="20"/>
          <w:color w:val="auto"/>
        </w:rPr>
      </w:pPr>
      <w:r>
        <w:rPr>
          <w:rFonts w:ascii="Arial" w:cs="Arial" w:eastAsia="Arial" w:hAnsi="Arial"/>
          <w:sz w:val="18"/>
          <w:szCs w:val="18"/>
          <w:color w:val="auto"/>
        </w:rPr>
        <w:t>Income tax expense for the three months ended June 30, 2022 was $32 million, resulting in an effective tax rate of 21%, compared to $30 million of income tax expense and an effective tax rate of 21% for the three months ended June 30, 2021. The increase in income tax expense was principally driven by increased taxable income.</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six months ended June 30, 2022 and 2021</w:t>
      </w:r>
    </w:p>
    <w:p>
      <w:pPr>
        <w:spacing w:after="0" w:line="142" w:lineRule="exact"/>
        <w:rPr>
          <w:sz w:val="20"/>
          <w:szCs w:val="20"/>
          <w:color w:val="auto"/>
        </w:rPr>
      </w:pPr>
    </w:p>
    <w:p>
      <w:pPr>
        <w:jc w:val="both"/>
        <w:ind w:right="320" w:firstLine="494"/>
        <w:spacing w:after="0" w:line="307" w:lineRule="auto"/>
        <w:rPr>
          <w:sz w:val="20"/>
          <w:szCs w:val="20"/>
          <w:color w:val="auto"/>
        </w:rPr>
      </w:pPr>
      <w:r>
        <w:rPr>
          <w:rFonts w:ascii="Arial" w:cs="Arial" w:eastAsia="Arial" w:hAnsi="Arial"/>
          <w:sz w:val="18"/>
          <w:szCs w:val="18"/>
          <w:color w:val="auto"/>
        </w:rPr>
        <w:t>The following table sets forth certain financial information for the six months ended June 30, 2022 and 2021. The following table and discussion should be read in conjunction with the information contained in our condensed consolidated financial statements and the notes thereto included in Part I, Item 1 of this Quarterly Report on Form 10-Q.</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33"/>
        </w:trPr>
        <w:tc>
          <w:tcPr>
            <w:tcW w:w="5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40" w:type="dxa"/>
            <w:vAlign w:val="bottom"/>
            <w:gridSpan w:val="2"/>
          </w:tcPr>
          <w:p>
            <w:pPr>
              <w:jc w:val="right"/>
              <w:ind w:right="535"/>
              <w:spacing w:after="0" w:line="133"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20" w:type="dxa"/>
            <w:vAlign w:val="bottom"/>
            <w:gridSpan w:val="2"/>
          </w:tcPr>
          <w:p>
            <w:pPr>
              <w:jc w:val="right"/>
              <w:ind w:right="553"/>
              <w:spacing w:after="0" w:line="133"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r>
      <w:tr>
        <w:trPr>
          <w:trHeight w:val="185"/>
        </w:trPr>
        <w:tc>
          <w:tcPr>
            <w:tcW w:w="57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12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of net sales</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of net sales</w:t>
            </w:r>
          </w:p>
        </w:tc>
        <w:tc>
          <w:tcPr>
            <w:tcW w:w="60" w:type="dxa"/>
            <w:vAlign w:val="bottom"/>
          </w:tcPr>
          <w:p>
            <w:pPr>
              <w:spacing w:after="0"/>
              <w:rPr>
                <w:sz w:val="16"/>
                <w:szCs w:val="16"/>
                <w:color w:val="auto"/>
              </w:rPr>
            </w:pPr>
          </w:p>
        </w:tc>
      </w:tr>
      <w:tr>
        <w:trPr>
          <w:trHeight w:val="190"/>
        </w:trPr>
        <w:tc>
          <w:tcPr>
            <w:tcW w:w="5740" w:type="dxa"/>
            <w:vAlign w:val="bottom"/>
          </w:tcPr>
          <w:p>
            <w:pPr>
              <w:ind w:left="20"/>
              <w:spacing w:after="0" w:line="190" w:lineRule="exact"/>
              <w:rPr>
                <w:sz w:val="20"/>
                <w:szCs w:val="20"/>
                <w:color w:val="auto"/>
              </w:rPr>
            </w:pPr>
            <w:r>
              <w:rPr>
                <w:rFonts w:ascii="Arial" w:cs="Arial" w:eastAsia="Arial" w:hAnsi="Arial"/>
                <w:sz w:val="18"/>
                <w:szCs w:val="18"/>
                <w:color w:val="auto"/>
              </w:rPr>
              <w:t>Net sales</w:t>
            </w:r>
          </w:p>
        </w:tc>
        <w:tc>
          <w:tcPr>
            <w:tcW w:w="260" w:type="dxa"/>
            <w:vAlign w:val="bottom"/>
          </w:tcPr>
          <w:p>
            <w:pPr>
              <w:jc w:val="right"/>
              <w:ind w:right="50"/>
              <w:spacing w:after="0" w:line="190" w:lineRule="exact"/>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2"/>
              <w:spacing w:after="0" w:line="190" w:lineRule="exact"/>
              <w:rPr>
                <w:sz w:val="20"/>
                <w:szCs w:val="20"/>
                <w:color w:val="auto"/>
              </w:rPr>
            </w:pPr>
            <w:r>
              <w:rPr>
                <w:rFonts w:ascii="Arial" w:cs="Arial" w:eastAsia="Arial" w:hAnsi="Arial"/>
                <w:sz w:val="18"/>
                <w:szCs w:val="18"/>
                <w:b w:val="1"/>
                <w:bCs w:val="1"/>
                <w:color w:val="auto"/>
              </w:rPr>
              <w:t>1,341</w:t>
            </w:r>
          </w:p>
        </w:tc>
        <w:tc>
          <w:tcPr>
            <w:tcW w:w="160" w:type="dxa"/>
            <w:vAlign w:val="bottom"/>
          </w:tcPr>
          <w:p>
            <w:pPr>
              <w:spacing w:after="0"/>
              <w:rPr>
                <w:sz w:val="16"/>
                <w:szCs w:val="16"/>
                <w:color w:val="auto"/>
              </w:rPr>
            </w:pPr>
          </w:p>
        </w:tc>
        <w:tc>
          <w:tcPr>
            <w:tcW w:w="1680" w:type="dxa"/>
            <w:vAlign w:val="bottom"/>
            <w:gridSpan w:val="3"/>
          </w:tcPr>
          <w:p>
            <w:pPr>
              <w:jc w:val="right"/>
              <w:ind w:right="140"/>
              <w:spacing w:after="0" w:line="190" w:lineRule="exact"/>
              <w:rPr>
                <w:sz w:val="20"/>
                <w:szCs w:val="20"/>
                <w:color w:val="auto"/>
              </w:rPr>
            </w:pPr>
            <w:r>
              <w:rPr>
                <w:rFonts w:ascii="Arial" w:cs="Arial" w:eastAsia="Arial" w:hAnsi="Arial"/>
                <w:sz w:val="18"/>
                <w:szCs w:val="18"/>
                <w:b w:val="1"/>
                <w:bCs w:val="1"/>
                <w:color w:val="auto"/>
              </w:rPr>
              <w:t xml:space="preserve">100 % </w:t>
            </w:r>
            <w:r>
              <w:rPr>
                <w:rFonts w:ascii="Arial" w:cs="Arial" w:eastAsia="Arial" w:hAnsi="Arial"/>
                <w:sz w:val="18"/>
                <w:szCs w:val="18"/>
                <w:color w:val="auto"/>
              </w:rPr>
              <w:t>$</w:t>
            </w:r>
          </w:p>
        </w:tc>
        <w:tc>
          <w:tcPr>
            <w:tcW w:w="980" w:type="dxa"/>
            <w:vAlign w:val="bottom"/>
          </w:tcPr>
          <w:p>
            <w:pPr>
              <w:jc w:val="right"/>
              <w:ind w:right="52"/>
              <w:spacing w:after="0" w:line="190" w:lineRule="exact"/>
              <w:rPr>
                <w:sz w:val="20"/>
                <w:szCs w:val="20"/>
                <w:color w:val="auto"/>
              </w:rPr>
            </w:pPr>
            <w:r>
              <w:rPr>
                <w:rFonts w:ascii="Arial" w:cs="Arial" w:eastAsia="Arial" w:hAnsi="Arial"/>
                <w:sz w:val="18"/>
                <w:szCs w:val="18"/>
                <w:color w:val="auto"/>
              </w:rPr>
              <w:t>1,191</w:t>
            </w:r>
          </w:p>
        </w:tc>
        <w:tc>
          <w:tcPr>
            <w:tcW w:w="120" w:type="dxa"/>
            <w:vAlign w:val="bottom"/>
          </w:tcPr>
          <w:p>
            <w:pPr>
              <w:spacing w:after="0"/>
              <w:rPr>
                <w:sz w:val="16"/>
                <w:szCs w:val="16"/>
                <w:color w:val="auto"/>
              </w:rPr>
            </w:pPr>
          </w:p>
        </w:tc>
        <w:tc>
          <w:tcPr>
            <w:tcW w:w="136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100 %</w:t>
            </w:r>
          </w:p>
        </w:tc>
      </w:tr>
      <w:tr>
        <w:trPr>
          <w:trHeight w:val="235"/>
        </w:trPr>
        <w:tc>
          <w:tcPr>
            <w:tcW w:w="57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710</w:t>
            </w:r>
          </w:p>
        </w:tc>
        <w:tc>
          <w:tcPr>
            <w:tcW w:w="1440" w:type="dxa"/>
            <w:vAlign w:val="bottom"/>
            <w:gridSpan w:val="2"/>
          </w:tcPr>
          <w:p>
            <w:pPr>
              <w:jc w:val="right"/>
              <w:ind w:right="35"/>
              <w:spacing w:after="0"/>
              <w:rPr>
                <w:sz w:val="20"/>
                <w:szCs w:val="20"/>
                <w:color w:val="auto"/>
              </w:rPr>
            </w:pPr>
            <w:r>
              <w:rPr>
                <w:rFonts w:ascii="Arial" w:cs="Arial" w:eastAsia="Arial" w:hAnsi="Arial"/>
                <w:sz w:val="18"/>
                <w:szCs w:val="18"/>
                <w:b w:val="1"/>
                <w:bCs w:val="1"/>
                <w:color w:val="auto"/>
              </w:rPr>
              <w:t>53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612</w:t>
            </w:r>
          </w:p>
        </w:tc>
        <w:tc>
          <w:tcPr>
            <w:tcW w:w="1420" w:type="dxa"/>
            <w:vAlign w:val="bottom"/>
            <w:gridSpan w:val="2"/>
          </w:tcPr>
          <w:p>
            <w:pPr>
              <w:jc w:val="right"/>
              <w:ind w:right="33"/>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20"/>
                <w:szCs w:val="20"/>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631</w:t>
            </w:r>
          </w:p>
        </w:tc>
        <w:tc>
          <w:tcPr>
            <w:tcW w:w="16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47</w:t>
            </w: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153</w:t>
            </w:r>
          </w:p>
        </w:tc>
        <w:tc>
          <w:tcPr>
            <w:tcW w:w="1440" w:type="dxa"/>
            <w:vAlign w:val="bottom"/>
            <w:gridSpan w:val="2"/>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11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153</w:t>
            </w:r>
          </w:p>
        </w:tc>
        <w:tc>
          <w:tcPr>
            <w:tcW w:w="1420" w:type="dxa"/>
            <w:vAlign w:val="bottom"/>
            <w:gridSpan w:val="2"/>
            <w:shd w:val="clear" w:color="auto" w:fill="CFF0FC"/>
          </w:tcPr>
          <w:p>
            <w:pPr>
              <w:jc w:val="right"/>
              <w:ind w:right="33"/>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r>
      <w:tr>
        <w:trPr>
          <w:trHeight w:val="216"/>
        </w:trPr>
        <w:tc>
          <w:tcPr>
            <w:tcW w:w="5740" w:type="dxa"/>
            <w:vAlign w:val="bottom"/>
          </w:tcPr>
          <w:p>
            <w:pPr>
              <w:ind w:left="280"/>
              <w:spacing w:after="0"/>
              <w:rPr>
                <w:sz w:val="20"/>
                <w:szCs w:val="20"/>
                <w:color w:val="auto"/>
              </w:rPr>
            </w:pPr>
            <w:r>
              <w:rPr>
                <w:rFonts w:ascii="Arial" w:cs="Arial" w:eastAsia="Arial" w:hAnsi="Arial"/>
                <w:sz w:val="18"/>
                <w:szCs w:val="18"/>
                <w:color w:val="auto"/>
              </w:rPr>
              <w:t>Engineering — research and development</w:t>
            </w: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89</w:t>
            </w:r>
          </w:p>
        </w:tc>
        <w:tc>
          <w:tcPr>
            <w:tcW w:w="1440" w:type="dxa"/>
            <w:vAlign w:val="bottom"/>
            <w:gridSpan w:val="2"/>
          </w:tcPr>
          <w:p>
            <w:pPr>
              <w:jc w:val="right"/>
              <w:ind w:right="35"/>
              <w:spacing w:after="0"/>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79</w:t>
            </w:r>
          </w:p>
        </w:tc>
        <w:tc>
          <w:tcPr>
            <w:tcW w:w="1420" w:type="dxa"/>
            <w:vAlign w:val="bottom"/>
            <w:gridSpan w:val="2"/>
          </w:tcPr>
          <w:p>
            <w:pPr>
              <w:jc w:val="right"/>
              <w:ind w:right="33"/>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r>
      <w:tr>
        <w:trPr>
          <w:trHeight w:val="209"/>
        </w:trPr>
        <w:tc>
          <w:tcPr>
            <w:tcW w:w="57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242</w:t>
            </w:r>
          </w:p>
        </w:tc>
        <w:tc>
          <w:tcPr>
            <w:tcW w:w="1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18</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r>
      <w:tr>
        <w:trPr>
          <w:trHeight w:val="209"/>
        </w:trPr>
        <w:tc>
          <w:tcPr>
            <w:tcW w:w="57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389</w:t>
            </w:r>
          </w:p>
        </w:tc>
        <w:tc>
          <w:tcPr>
            <w:tcW w:w="1440" w:type="dxa"/>
            <w:vAlign w:val="bottom"/>
            <w:gridSpan w:val="2"/>
          </w:tcPr>
          <w:p>
            <w:pPr>
              <w:jc w:val="right"/>
              <w:ind w:right="35"/>
              <w:spacing w:after="0"/>
              <w:rPr>
                <w:sz w:val="20"/>
                <w:szCs w:val="20"/>
                <w:color w:val="auto"/>
              </w:rPr>
            </w:pPr>
            <w:r>
              <w:rPr>
                <w:rFonts w:ascii="Arial" w:cs="Arial" w:eastAsia="Arial" w:hAnsi="Arial"/>
                <w:sz w:val="18"/>
                <w:szCs w:val="18"/>
                <w:b w:val="1"/>
                <w:bCs w:val="1"/>
                <w:color w:val="auto"/>
              </w:rPr>
              <w:t>29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347</w:t>
            </w:r>
          </w:p>
        </w:tc>
        <w:tc>
          <w:tcPr>
            <w:tcW w:w="1420" w:type="dxa"/>
            <w:vAlign w:val="bottom"/>
            <w:gridSpan w:val="2"/>
          </w:tcPr>
          <w:p>
            <w:pPr>
              <w:jc w:val="right"/>
              <w:ind w:right="33"/>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(59 )</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(4 )</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(59 )</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60" w:type="dxa"/>
            <w:vAlign w:val="bottom"/>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(13 )</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(1 )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6</w:t>
            </w:r>
          </w:p>
        </w:tc>
        <w:tc>
          <w:tcPr>
            <w:tcW w:w="1420" w:type="dxa"/>
            <w:vAlign w:val="bottom"/>
            <w:gridSpan w:val="2"/>
          </w:tcPr>
          <w:p>
            <w:pPr>
              <w:jc w:val="right"/>
              <w:ind w:right="33"/>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317</w:t>
            </w:r>
          </w:p>
        </w:tc>
        <w:tc>
          <w:tcPr>
            <w:tcW w:w="16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24</w:t>
            </w: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(66 )</w:t>
            </w:r>
          </w:p>
        </w:tc>
        <w:tc>
          <w:tcPr>
            <w:tcW w:w="16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(5 )</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(64 )</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60" w:type="dxa"/>
            <w:vAlign w:val="bottom"/>
          </w:tcPr>
          <w:p>
            <w:pPr>
              <w:spacing w:after="0"/>
              <w:rPr>
                <w:sz w:val="18"/>
                <w:szCs w:val="18"/>
                <w:color w:val="auto"/>
              </w:rPr>
            </w:pPr>
          </w:p>
        </w:tc>
      </w:tr>
      <w:tr>
        <w:trPr>
          <w:trHeight w:val="209"/>
        </w:trPr>
        <w:tc>
          <w:tcPr>
            <w:tcW w:w="5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251</w:t>
            </w:r>
          </w:p>
        </w:tc>
        <w:tc>
          <w:tcPr>
            <w:tcW w:w="160" w:type="dxa"/>
            <w:vAlign w:val="bottom"/>
          </w:tcPr>
          <w:p>
            <w:pPr>
              <w:spacing w:after="0"/>
              <w:rPr>
                <w:sz w:val="18"/>
                <w:szCs w:val="18"/>
                <w:color w:val="auto"/>
              </w:rPr>
            </w:pPr>
          </w:p>
        </w:tc>
        <w:tc>
          <w:tcPr>
            <w:tcW w:w="16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 xml:space="preserve">19 % </w:t>
            </w: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19 %</w:t>
            </w:r>
          </w:p>
        </w:tc>
      </w:tr>
      <w:tr>
        <w:trPr>
          <w:trHeight w:val="20"/>
        </w:trPr>
        <w:tc>
          <w:tcPr>
            <w:tcW w:w="5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-1849120</wp:posOffset>
            </wp:positionV>
            <wp:extent cx="713232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-872490</wp:posOffset>
            </wp:positionV>
            <wp:extent cx="939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-872490</wp:posOffset>
            </wp:positionV>
            <wp:extent cx="857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-872490</wp:posOffset>
            </wp:positionV>
            <wp:extent cx="857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55" w:lineRule="exact"/>
        <w:rPr>
          <w:sz w:val="20"/>
          <w:szCs w:val="20"/>
          <w:color w:val="auto"/>
        </w:rPr>
      </w:pPr>
    </w:p>
    <w:p>
      <w:pPr>
        <w:ind w:right="280" w:firstLine="494"/>
        <w:spacing w:after="0" w:line="299" w:lineRule="auto"/>
        <w:rPr>
          <w:sz w:val="20"/>
          <w:szCs w:val="20"/>
          <w:color w:val="auto"/>
        </w:rPr>
      </w:pPr>
      <w:r>
        <w:rPr>
          <w:rFonts w:ascii="Arial" w:cs="Arial" w:eastAsia="Arial" w:hAnsi="Arial"/>
          <w:sz w:val="18"/>
          <w:szCs w:val="18"/>
          <w:color w:val="auto"/>
        </w:rPr>
        <w:t>Net sales for the six months ended June 30, 2022 were $1,341 million compared to $1,191 million for the six months ended June 30, 2021, an increase of 13%. The increase was principally driven by a $65 million, or 10%, increase in net sales in the North America On-Highway end market principally driven by continued strength in</w:t>
      </w:r>
    </w:p>
    <w:p>
      <w:pPr>
        <w:spacing w:after="0" w:line="13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4"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customer demand for last mile delivery, regional haul and vocational trucks, a $55 million, or 122%, increase in net sales in the Global Off-Highway end market principally driven by sustained demand for hydraulic fracturing applications in the energy sector as well as higher demand in the mining and construction sectors, a $32 million, or 18%, increase in net sales in the Outside North America On-Highway end market principally driven by higher demand across Europe, Asia and South America and our continued execution of growth initiatives and a $27 million, or 11%, increase in net sales in the Service Parts, Support Equipment and Other end market principally driven by North America service parts and global support equipment, partially offset by a $29 million, or 31%, decrease in net sales in the Defense end market principally driven by lower demand for Tracked vehicle applications.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55" w:lineRule="exact"/>
        <w:rPr>
          <w:sz w:val="20"/>
          <w:szCs w:val="20"/>
          <w:color w:val="auto"/>
        </w:rPr>
      </w:pPr>
    </w:p>
    <w:p>
      <w:pPr>
        <w:ind w:right="20" w:firstLine="494"/>
        <w:spacing w:after="0" w:line="307" w:lineRule="auto"/>
        <w:rPr>
          <w:sz w:val="20"/>
          <w:szCs w:val="20"/>
          <w:color w:val="auto"/>
        </w:rPr>
      </w:pPr>
      <w:r>
        <w:rPr>
          <w:rFonts w:ascii="Arial" w:cs="Arial" w:eastAsia="Arial" w:hAnsi="Arial"/>
          <w:sz w:val="18"/>
          <w:szCs w:val="18"/>
          <w:color w:val="auto"/>
        </w:rPr>
        <w:t>Cost of sales for the six months ended June 30, 2022 was $710 million compared to $612 million for the six months ended June 30, 2021, an increase of 16%. The increase was principally driven by unfavorable material costs and increased direct material and manufacturing expense commensurate with increased net sales.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Gross profit</w:t>
      </w:r>
    </w:p>
    <w:p>
      <w:pPr>
        <w:spacing w:after="0" w:line="142" w:lineRule="exact"/>
        <w:rPr>
          <w:sz w:val="20"/>
          <w:szCs w:val="20"/>
          <w:color w:val="auto"/>
        </w:rPr>
      </w:pPr>
    </w:p>
    <w:p>
      <w:pPr>
        <w:ind w:right="120" w:firstLine="494"/>
        <w:spacing w:after="0" w:line="295" w:lineRule="auto"/>
        <w:rPr>
          <w:sz w:val="20"/>
          <w:szCs w:val="20"/>
          <w:color w:val="auto"/>
        </w:rPr>
      </w:pPr>
      <w:r>
        <w:rPr>
          <w:rFonts w:ascii="Arial" w:cs="Arial" w:eastAsia="Arial" w:hAnsi="Arial"/>
          <w:sz w:val="18"/>
          <w:szCs w:val="18"/>
          <w:color w:val="auto"/>
        </w:rPr>
        <w:t>Gross profit for the six months ended June 30, 2022 was $631 million compared to $579 million for the six months ended June 30, 2021, an increase of 9%. The increase was principally driven by $69 million related to increased net sales and $53 million of price increases on certain products, partially offset by $57 million of unfavorable material costs and $11 million of higher manufacturing expense commensurate with increased net sales. Gross profit as a percent of net sales for the six months ended June 30, 2022 decreased 150 basis points compared to the same period in 2021 principally driven by increased cost of goods sold, partially offset by price increases on certain products.</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42" w:lineRule="exact"/>
        <w:rPr>
          <w:sz w:val="20"/>
          <w:szCs w:val="20"/>
          <w:color w:val="auto"/>
        </w:rPr>
      </w:pPr>
    </w:p>
    <w:p>
      <w:pPr>
        <w:ind w:right="140" w:firstLine="494"/>
        <w:spacing w:after="0" w:line="307" w:lineRule="auto"/>
        <w:rPr>
          <w:sz w:val="20"/>
          <w:szCs w:val="20"/>
          <w:color w:val="auto"/>
        </w:rPr>
      </w:pPr>
      <w:r>
        <w:rPr>
          <w:rFonts w:ascii="Arial" w:cs="Arial" w:eastAsia="Arial" w:hAnsi="Arial"/>
          <w:sz w:val="18"/>
          <w:szCs w:val="18"/>
          <w:color w:val="auto"/>
        </w:rPr>
        <w:t>Selling, general and administrative expenses for each of the six months ended June 30, 2022 and 2021 were $153 million. Selling, general and administrative expense for the six months ended June 30, 2022 consisted of lower incentive compensation expense and higher commercial activities spending as compared to the six months ended June 30, 2021.</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42" w:lineRule="exact"/>
        <w:rPr>
          <w:sz w:val="20"/>
          <w:szCs w:val="20"/>
          <w:color w:val="auto"/>
        </w:rPr>
      </w:pPr>
    </w:p>
    <w:p>
      <w:pPr>
        <w:ind w:right="420" w:firstLine="494"/>
        <w:spacing w:after="0" w:line="333" w:lineRule="auto"/>
        <w:rPr>
          <w:sz w:val="20"/>
          <w:szCs w:val="20"/>
          <w:color w:val="auto"/>
        </w:rPr>
      </w:pPr>
      <w:r>
        <w:rPr>
          <w:rFonts w:ascii="Arial" w:cs="Arial" w:eastAsia="Arial" w:hAnsi="Arial"/>
          <w:sz w:val="18"/>
          <w:szCs w:val="18"/>
          <w:color w:val="auto"/>
        </w:rPr>
        <w:t>Engineering expenses for the six months ended June 30, 2022 were $89 million compared to $79 million for the six months ended June 30, 2021, an increase of 13%. The increase was principally driven by increased product initiatives spending.</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 net for each of the six months ended June 30, 2022 and 2021 was $59 million.</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(expense) income, net for the six months ended June 30, 2022 was ($13) million compared to $6 million for the six months</w:t>
      </w:r>
    </w:p>
    <w:p>
      <w:pPr>
        <w:spacing w:after="0" w:line="36" w:lineRule="exact"/>
        <w:rPr>
          <w:sz w:val="20"/>
          <w:szCs w:val="20"/>
          <w:color w:val="auto"/>
        </w:rPr>
      </w:pPr>
    </w:p>
    <w:p>
      <w:pPr>
        <w:jc w:val="both"/>
        <w:ind w:right="40"/>
        <w:spacing w:after="0" w:line="307" w:lineRule="auto"/>
        <w:rPr>
          <w:sz w:val="20"/>
          <w:szCs w:val="20"/>
          <w:color w:val="auto"/>
        </w:rPr>
      </w:pPr>
      <w:r>
        <w:rPr>
          <w:rFonts w:ascii="Arial" w:cs="Arial" w:eastAsia="Arial" w:hAnsi="Arial"/>
          <w:sz w:val="18"/>
          <w:szCs w:val="18"/>
          <w:color w:val="auto"/>
        </w:rPr>
        <w:t>ended June 30, 2021. The change was principally driven by an $11 million unrealized loss on marketable securities, $7 million of unfavorable foreign exchange and $5 million of unfavorable change associated with assets held in a rabbi trust, partially offset by a $6 million gain related to technology-related investments.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28" w:lineRule="exact"/>
        <w:rPr>
          <w:sz w:val="20"/>
          <w:szCs w:val="20"/>
          <w:color w:val="auto"/>
        </w:rPr>
      </w:pPr>
    </w:p>
    <w:p>
      <w:pPr>
        <w:ind w:firstLine="494"/>
        <w:spacing w:after="0" w:line="307" w:lineRule="auto"/>
        <w:rPr>
          <w:sz w:val="20"/>
          <w:szCs w:val="20"/>
          <w:color w:val="auto"/>
        </w:rPr>
      </w:pPr>
      <w:r>
        <w:rPr>
          <w:rFonts w:ascii="Arial" w:cs="Arial" w:eastAsia="Arial" w:hAnsi="Arial"/>
          <w:sz w:val="18"/>
          <w:szCs w:val="18"/>
          <w:color w:val="auto"/>
        </w:rPr>
        <w:t>Income tax expense for the six months ended June 30, 2022 was $66 million, resulting in an effective tax rate of 21%, compared to $64 million of income tax expense and an effective tax rate of 22% for the six months ended June 30, 2021. The increase in income tax expense was principally driven by increased taxable income.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42" w:lineRule="exact"/>
        <w:rPr>
          <w:sz w:val="20"/>
          <w:szCs w:val="20"/>
          <w:color w:val="auto"/>
        </w:rPr>
      </w:pPr>
    </w:p>
    <w:p>
      <w:pPr>
        <w:ind w:right="20" w:firstLine="494"/>
        <w:spacing w:after="0" w:line="292" w:lineRule="auto"/>
        <w:rPr>
          <w:sz w:val="20"/>
          <w:szCs w:val="20"/>
          <w:color w:val="auto"/>
        </w:rPr>
      </w:pPr>
      <w:r>
        <w:rPr>
          <w:rFonts w:ascii="Arial" w:cs="Arial" w:eastAsia="Arial" w:hAnsi="Arial"/>
          <w:sz w:val="18"/>
          <w:szCs w:val="18"/>
          <w:color w:val="auto"/>
        </w:rPr>
        <w:t>We generate cash primarily from our operations to fund our operating, investing and financing activities. Our principal uses of cash are operating expenses, capital expenditures, working capital needs, debt service, dividends on common stock, stock repurchases and strategic growth initiatives, including investments, acquisitions and collaborations. Our ability to generate cash in the future and our future uses of cash are subject to general economic, financial, competitive, legislative, regulatory and other factors that may be beyond our control. We had total available cash and cash equivalents of $122 million and $127 million as of June 30, 2022 and December 31, 2021, respectively. Of the available cash and cash equivalents, $102 million was deposited in operating accounts and $20 million was invested in U.S. government backed securities as of June 30, 2022, compared to December 31, 2021, when all of the $127 million was deposited in operating accounts.</w:t>
      </w:r>
    </w:p>
    <w:p>
      <w:pPr>
        <w:spacing w:after="0" w:line="85" w:lineRule="exact"/>
        <w:rPr>
          <w:sz w:val="20"/>
          <w:szCs w:val="20"/>
          <w:color w:val="auto"/>
        </w:rPr>
      </w:pPr>
    </w:p>
    <w:p>
      <w:pPr>
        <w:ind w:right="20" w:firstLine="494"/>
        <w:spacing w:after="0" w:line="321" w:lineRule="auto"/>
        <w:rPr>
          <w:sz w:val="20"/>
          <w:szCs w:val="20"/>
          <w:color w:val="auto"/>
        </w:rPr>
      </w:pPr>
      <w:r>
        <w:rPr>
          <w:rFonts w:ascii="Arial" w:cs="Arial" w:eastAsia="Arial" w:hAnsi="Arial"/>
          <w:sz w:val="17"/>
          <w:szCs w:val="17"/>
          <w:color w:val="auto"/>
        </w:rPr>
        <w:t>As of June 30, 2022, the total of cash held by foreign subsidiaries was $56 million, the majority of which was at our subsidiaries located in China, the Netherlands and India. We manage our worldwide cash requirements considering available funds among the subsidiaries through which we conduct our business and the cost effectiveness with which those funds can be accessed. As a result, we do not currently anticipate any local liquidity restrictions will preclude us from funding our targeted initiatives or operating needs with local resources.</w:t>
      </w:r>
    </w:p>
    <w:p>
      <w:pPr>
        <w:spacing w:after="0" w:line="100" w:lineRule="exact"/>
        <w:rPr>
          <w:sz w:val="20"/>
          <w:szCs w:val="20"/>
          <w:color w:val="auto"/>
        </w:rPr>
      </w:pPr>
    </w:p>
    <w:p>
      <w:pPr>
        <w:ind w:right="40" w:firstLine="494"/>
        <w:spacing w:after="0" w:line="298" w:lineRule="auto"/>
        <w:rPr>
          <w:sz w:val="20"/>
          <w:szCs w:val="20"/>
          <w:color w:val="auto"/>
        </w:rPr>
      </w:pPr>
      <w:r>
        <w:rPr>
          <w:rFonts w:ascii="Arial" w:cs="Arial" w:eastAsia="Arial" w:hAnsi="Arial"/>
          <w:sz w:val="18"/>
          <w:szCs w:val="18"/>
          <w:color w:val="auto"/>
        </w:rPr>
        <w:t>We have not recognized any deferred tax liabilities associated with earnings in foreign subsidiaries, except for our subsidiary located in China, as they are intended to be permanently reinvested and used to support foreign operations or have no associated tax requirements. We have recorded a deferred tax liability of $3 million for the tax liability associated with the remittance of previously taxed income and unremitted earnings for our subsidiary located in China. The remaining deferred tax liabilities, if recorded, related to unremitted earnings that are indefinitely reinvested are not material.</w:t>
      </w:r>
    </w:p>
    <w:p>
      <w:pPr>
        <w:spacing w:after="0" w:line="117" w:lineRule="exact"/>
        <w:rPr>
          <w:sz w:val="20"/>
          <w:szCs w:val="20"/>
          <w:color w:val="auto"/>
        </w:rPr>
      </w:pPr>
    </w:p>
    <w:p>
      <w:pPr>
        <w:ind w:firstLine="494"/>
        <w:spacing w:after="0" w:line="291" w:lineRule="auto"/>
        <w:rPr>
          <w:sz w:val="20"/>
          <w:szCs w:val="20"/>
          <w:color w:val="auto"/>
        </w:rPr>
      </w:pPr>
      <w:r>
        <w:rPr>
          <w:rFonts w:ascii="Arial" w:cs="Arial" w:eastAsia="Arial" w:hAnsi="Arial"/>
          <w:sz w:val="18"/>
          <w:szCs w:val="18"/>
          <w:color w:val="auto"/>
        </w:rPr>
        <w:t>Our liquidity requirements are significant, primarily due to our debt service requirements. As of June 30, 2022, we had $628 million of indebtedness associated with ATI’s Term Loan, $400 million of indebtedness associated with ATI’s 4.75% Senior Notes due October 2027 (“4.75% Senior Notes”), $500 million of indebtedness associated with ATI’s 5.875% Senior Notes due June 2029 (“5.875% Senior Notes”) and $1,000 million of indebtedness associated with ATI’s 3.75% Senior Notes due January 2031 (“3.75% Senior Notes” and, together with the 4.75% Senior Notes and 5.875% Senior Notes, the “Senior Notes”). Short-term and long-term debt service liquidity requirements consist of $2 million of minimum required quarterly principal payments on ATI’s Term Loan through its maturity date of March 2026 and periodic interest payments on ATI’s Term Loan and the Senior Notes. There are no required quarterly principal payments on ATI’s Senior Notes. Long-term debt service liquidity requirements also consist of the payment in full of any remaining principal balance of ATI’s Term Loan and the Senior Notes upon their respective maturity dates.</w:t>
      </w:r>
    </w:p>
    <w:p>
      <w:pPr>
        <w:spacing w:after="0" w:line="141" w:lineRule="exact"/>
        <w:rPr>
          <w:sz w:val="20"/>
          <w:szCs w:val="20"/>
          <w:color w:val="auto"/>
        </w:rPr>
      </w:pPr>
    </w:p>
    <w:p>
      <w:pPr>
        <w:ind w:right="120" w:firstLine="494"/>
        <w:spacing w:after="0" w:line="307" w:lineRule="auto"/>
        <w:rPr>
          <w:sz w:val="20"/>
          <w:szCs w:val="20"/>
          <w:color w:val="auto"/>
        </w:rPr>
      </w:pPr>
      <w:r>
        <w:rPr>
          <w:rFonts w:ascii="Arial" w:cs="Arial" w:eastAsia="Arial" w:hAnsi="Arial"/>
          <w:sz w:val="18"/>
          <w:szCs w:val="18"/>
          <w:color w:val="auto"/>
        </w:rPr>
        <w:t>We made $3 million of principal payments on the Term Loan during each of the six months ended June 30, 2022 and 2021. Our ability to make payments on and refinance our indebtedness and to fund planned capital expenditures and growth initiatives will depend on our ability to generate cash in the future.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ind w:right="40" w:firstLine="494"/>
        <w:spacing w:after="0" w:line="289" w:lineRule="auto"/>
        <w:rPr>
          <w:sz w:val="20"/>
          <w:szCs w:val="20"/>
          <w:color w:val="auto"/>
        </w:rPr>
      </w:pPr>
      <w:r>
        <w:rPr>
          <w:rFonts w:ascii="Arial" w:cs="Arial" w:eastAsia="Arial" w:hAnsi="Arial"/>
          <w:sz w:val="18"/>
          <w:szCs w:val="18"/>
          <w:color w:val="auto"/>
        </w:rPr>
        <w:t>The Senior Secured Credit Facility provides for a $650 million Revolving Credit Facility, net of an allowance for up to $75 million in outstanding letter of credit commitments. Throughout the six months ended June 30, 2022, the Company made periodic withdrawals and payments on the Revolving Credit Facility as part of the Company's cash management plans. The maximum amount outstanding at any time during the six months ended June 30, 2022 was $75 million. As of June 30, 2022, we had $645 million available under the Revolving Credit Facility, net of $5 million in letters of credit. As of June 30, 2022, we had no amounts outstanding under the Revolving Credit Facility. If we have commitments outstanding on the Revolving Credit Facility at the end of a fiscal quarter, the Senior Secured Credit Facility requires us to maintain a specified maximum first lien net leverage ratio of 5.50x. Additionally, within the terms of the Senior Secured Credit Facility, a first lien net leverage ratio at or below 4.00x results in the elimination of excess cash flow payments on the Senior Secured Credit Facility for the applicable year. As of June 30, 2022, our first lien net leverage ratio was 0.58x. The Senior Secured Credit Facility also provides certain financial incentives based on our first lien net leverage ratio. A first lien net leverage ratio at or below 4.00x and above 3.50x results in a 25 basis point reduction to the applicable margin on the Revolving Credit Facility. A first lien net leverage ratio at or below 3.50x results in an additional 25 basis point reduction to the applicable margin on the Revolving Credit Facility. These reductions remain in effect as long as we achieve a first lien net leverage ratio at or below the related threshold.</w:t>
      </w:r>
    </w:p>
    <w:p>
      <w:pPr>
        <w:spacing w:after="0" w:line="144" w:lineRule="exact"/>
        <w:rPr>
          <w:sz w:val="20"/>
          <w:szCs w:val="20"/>
          <w:color w:val="auto"/>
        </w:rPr>
      </w:pPr>
    </w:p>
    <w:p>
      <w:pPr>
        <w:ind w:right="60" w:firstLine="494"/>
        <w:spacing w:after="0" w:line="292" w:lineRule="auto"/>
        <w:rPr>
          <w:sz w:val="20"/>
          <w:szCs w:val="20"/>
          <w:color w:val="auto"/>
        </w:rPr>
      </w:pPr>
      <w:r>
        <w:rPr>
          <w:rFonts w:ascii="Arial" w:cs="Arial" w:eastAsia="Arial" w:hAnsi="Arial"/>
          <w:sz w:val="18"/>
          <w:szCs w:val="18"/>
          <w:color w:val="auto"/>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June 30, 2022, we are in compliance with all covenants under the Senior Secured Credit Facility and indentures governing the Senior Notes.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credit ratings and outlook are reviewed periodically by Moody’s Investors Service, Inc. (“Moody’s”) and Fitch Ratings, Inc. (“Fitch”).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our credit ratings and outlook from both Moody's and Fitch are shown in the table below:</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June 30, 2022</w:t>
            </w:r>
          </w:p>
        </w:tc>
      </w:tr>
      <w:tr>
        <w:trPr>
          <w:trHeight w:val="169"/>
        </w:trPr>
        <w:tc>
          <w:tcPr>
            <w:tcW w:w="6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Credit Ratings</w:t>
            </w:r>
          </w:p>
        </w:tc>
        <w:tc>
          <w:tcPr>
            <w:tcW w:w="182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Moody's</w:t>
            </w:r>
          </w:p>
        </w:tc>
        <w:tc>
          <w:tcPr>
            <w:tcW w:w="6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Fitch</w:t>
            </w:r>
          </w:p>
        </w:tc>
      </w:tr>
      <w:tr>
        <w:trPr>
          <w:trHeight w:val="209"/>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Credit</w:t>
            </w:r>
          </w:p>
        </w:tc>
        <w:tc>
          <w:tcPr>
            <w:tcW w:w="1820" w:type="dxa"/>
            <w:vAlign w:val="bottom"/>
            <w:shd w:val="clear" w:color="auto" w:fill="CFF0FC"/>
          </w:tcPr>
          <w:p>
            <w:pPr>
              <w:jc w:val="center"/>
              <w:ind w:left="613"/>
              <w:spacing w:after="0"/>
              <w:rPr>
                <w:sz w:val="20"/>
                <w:szCs w:val="20"/>
                <w:color w:val="auto"/>
              </w:rPr>
            </w:pPr>
            <w:r>
              <w:rPr>
                <w:rFonts w:ascii="Arial" w:cs="Arial" w:eastAsia="Arial" w:hAnsi="Arial"/>
                <w:sz w:val="18"/>
                <w:szCs w:val="18"/>
                <w:color w:val="auto"/>
                <w:w w:val="99"/>
              </w:rPr>
              <w:t>Ba1</w:t>
            </w: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BB</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Term Loan</w:t>
            </w:r>
          </w:p>
        </w:tc>
        <w:tc>
          <w:tcPr>
            <w:tcW w:w="1820" w:type="dxa"/>
            <w:vAlign w:val="bottom"/>
          </w:tcPr>
          <w:p>
            <w:pPr>
              <w:jc w:val="center"/>
              <w:ind w:left="593"/>
              <w:spacing w:after="0"/>
              <w:rPr>
                <w:sz w:val="20"/>
                <w:szCs w:val="20"/>
                <w:color w:val="auto"/>
              </w:rPr>
            </w:pPr>
            <w:r>
              <w:rPr>
                <w:rFonts w:ascii="Arial" w:cs="Arial" w:eastAsia="Arial" w:hAnsi="Arial"/>
                <w:sz w:val="18"/>
                <w:szCs w:val="18"/>
                <w:color w:val="auto"/>
                <w:w w:val="99"/>
              </w:rPr>
              <w:t>Baa2</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9"/>
              </w:rPr>
              <w:t>BBB-</w:t>
            </w:r>
          </w:p>
        </w:tc>
      </w:tr>
      <w:tr>
        <w:trPr>
          <w:trHeight w:val="216"/>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4.75% Senior Notes</w:t>
            </w:r>
          </w:p>
        </w:tc>
        <w:tc>
          <w:tcPr>
            <w:tcW w:w="1820" w:type="dxa"/>
            <w:vAlign w:val="bottom"/>
            <w:shd w:val="clear" w:color="auto" w:fill="CFF0FC"/>
          </w:tcPr>
          <w:p>
            <w:pPr>
              <w:jc w:val="center"/>
              <w:ind w:left="613"/>
              <w:spacing w:after="0"/>
              <w:rPr>
                <w:sz w:val="20"/>
                <w:szCs w:val="20"/>
                <w:color w:val="auto"/>
              </w:rPr>
            </w:pPr>
            <w:r>
              <w:rPr>
                <w:rFonts w:ascii="Arial" w:cs="Arial" w:eastAsia="Arial" w:hAnsi="Arial"/>
                <w:sz w:val="18"/>
                <w:szCs w:val="18"/>
                <w:color w:val="auto"/>
                <w:w w:val="99"/>
              </w:rPr>
              <w:t>Ba2</w:t>
            </w: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BB</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5.875% Senior Notes</w:t>
            </w:r>
          </w:p>
        </w:tc>
        <w:tc>
          <w:tcPr>
            <w:tcW w:w="1820" w:type="dxa"/>
            <w:vAlign w:val="bottom"/>
          </w:tcPr>
          <w:p>
            <w:pPr>
              <w:jc w:val="center"/>
              <w:ind w:left="613"/>
              <w:spacing w:after="0"/>
              <w:rPr>
                <w:sz w:val="20"/>
                <w:szCs w:val="20"/>
                <w:color w:val="auto"/>
              </w:rPr>
            </w:pPr>
            <w:r>
              <w:rPr>
                <w:rFonts w:ascii="Arial" w:cs="Arial" w:eastAsia="Arial" w:hAnsi="Arial"/>
                <w:sz w:val="18"/>
                <w:szCs w:val="18"/>
                <w:color w:val="auto"/>
                <w:w w:val="99"/>
              </w:rPr>
              <w:t>Ba2</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9"/>
              </w:rPr>
              <w:t>BB</w:t>
            </w:r>
          </w:p>
        </w:tc>
      </w:tr>
      <w:tr>
        <w:trPr>
          <w:trHeight w:val="216"/>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3.75% Senior Notes</w:t>
            </w:r>
          </w:p>
        </w:tc>
        <w:tc>
          <w:tcPr>
            <w:tcW w:w="1820" w:type="dxa"/>
            <w:vAlign w:val="bottom"/>
            <w:shd w:val="clear" w:color="auto" w:fill="CFF0FC"/>
          </w:tcPr>
          <w:p>
            <w:pPr>
              <w:jc w:val="center"/>
              <w:ind w:left="613"/>
              <w:spacing w:after="0"/>
              <w:rPr>
                <w:sz w:val="20"/>
                <w:szCs w:val="20"/>
                <w:color w:val="auto"/>
              </w:rPr>
            </w:pPr>
            <w:r>
              <w:rPr>
                <w:rFonts w:ascii="Arial" w:cs="Arial" w:eastAsia="Arial" w:hAnsi="Arial"/>
                <w:sz w:val="18"/>
                <w:szCs w:val="18"/>
                <w:color w:val="auto"/>
                <w:w w:val="99"/>
              </w:rPr>
              <w:t>Ba2</w:t>
            </w: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BB</w:t>
            </w:r>
          </w:p>
        </w:tc>
      </w:tr>
    </w:tbl>
    <w:p>
      <w:pPr>
        <w:spacing w:after="0" w:line="156" w:lineRule="exact"/>
        <w:rPr>
          <w:sz w:val="20"/>
          <w:szCs w:val="20"/>
          <w:color w:val="auto"/>
        </w:rPr>
      </w:pPr>
    </w:p>
    <w:p>
      <w:pPr>
        <w:ind w:right="40" w:firstLine="494"/>
        <w:spacing w:after="0" w:line="295" w:lineRule="auto"/>
        <w:rPr>
          <w:sz w:val="20"/>
          <w:szCs w:val="20"/>
          <w:color w:val="auto"/>
        </w:rPr>
      </w:pPr>
      <w:r>
        <w:rPr>
          <w:rFonts w:ascii="Arial" w:cs="Arial" w:eastAsia="Arial" w:hAnsi="Arial"/>
          <w:sz w:val="18"/>
          <w:szCs w:val="18"/>
          <w:color w:val="auto"/>
        </w:rPr>
        <w:t>Our current stock repurchase program (the "Repurchase Program") was originally authorized by the Board of Directors in 2016. On February 24, 2022, the Board of Directors authorized us to repurchase an additional $1,000 million of our common stock, bringing the total amount authorized under the Repurchase Program to $4,000 million. During the six months ended June 30, 2022, we repurchased approximately $115 million of our common stock under the Repurchase Program. All of the repurchase transactions during the six months ended June 30, 2022 were settled in cash during the same period. As of June 30, 2022, we had approximately $1,199 million available under the Repurchase Program.</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sources and uses of funds for the six months ended June 30, 2022 and 2021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Statements of Cash Flows Data</w:t>
            </w:r>
          </w:p>
        </w:tc>
        <w:tc>
          <w:tcPr>
            <w:tcW w:w="10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40" w:type="dxa"/>
            <w:vAlign w:val="bottom"/>
            <w:vMerge w:val="continue"/>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1020" w:type="dxa"/>
            <w:vAlign w:val="bottom"/>
            <w:shd w:val="clear" w:color="auto" w:fill="CFF0FC"/>
          </w:tcPr>
          <w:p>
            <w:pPr>
              <w:jc w:val="right"/>
              <w:ind w:right="815"/>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229</w:t>
            </w: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Cash flows used for investing activities</w:t>
            </w:r>
          </w:p>
        </w:tc>
        <w:tc>
          <w:tcPr>
            <w:tcW w:w="1020" w:type="dxa"/>
            <w:vAlign w:val="bottom"/>
          </w:tcPr>
          <w:p>
            <w:pPr>
              <w:jc w:val="right"/>
              <w:ind w:right="815"/>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(68 )</w:t>
            </w:r>
          </w:p>
        </w:tc>
        <w:tc>
          <w:tcPr>
            <w:tcW w:w="7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1020" w:type="dxa"/>
            <w:vAlign w:val="bottom"/>
            <w:shd w:val="clear" w:color="auto" w:fill="CFF0FC"/>
          </w:tcPr>
          <w:p>
            <w:pPr>
              <w:jc w:val="right"/>
              <w:ind w:right="815"/>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(162 )</w:t>
            </w:r>
          </w:p>
        </w:tc>
        <w:tc>
          <w:tcPr>
            <w:tcW w:w="70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(274 )</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40" w:firstLine="494"/>
        <w:spacing w:after="0" w:line="294" w:lineRule="auto"/>
        <w:rPr>
          <w:sz w:val="20"/>
          <w:szCs w:val="20"/>
          <w:color w:val="auto"/>
        </w:rPr>
      </w:pPr>
      <w:r>
        <w:rPr>
          <w:rFonts w:ascii="Arial" w:cs="Arial" w:eastAsia="Arial" w:hAnsi="Arial"/>
          <w:sz w:val="18"/>
          <w:szCs w:val="18"/>
          <w:color w:val="auto"/>
        </w:rPr>
        <w:t>Generally, cash provided by operating activities has been adequate to fund our operations. We have significant liquidity, including $122 million of cash and cash equivalents and $645 million available under the Revolving Credit Facility, net of $5 million of letters of credit, as of June 30, 2022. At this time, we believe cash provided by operating activities, cash and cash equivalents and borrowing capacity under the Senior Secured Credit Facility will be sufficient to meet our known and anticipated cash requirements for the next twelve months and thereafter.</w:t>
      </w:r>
    </w:p>
    <w:p>
      <w:pPr>
        <w:spacing w:after="0" w:line="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42" w:lineRule="exact"/>
        <w:rPr>
          <w:sz w:val="20"/>
          <w:szCs w:val="20"/>
          <w:color w:val="auto"/>
        </w:rPr>
      </w:pPr>
    </w:p>
    <w:p>
      <w:pPr>
        <w:ind w:right="300" w:firstLine="494"/>
        <w:spacing w:after="0" w:line="332" w:lineRule="auto"/>
        <w:rPr>
          <w:sz w:val="20"/>
          <w:szCs w:val="20"/>
          <w:color w:val="auto"/>
        </w:rPr>
      </w:pPr>
      <w:r>
        <w:rPr>
          <w:rFonts w:ascii="Arial" w:cs="Arial" w:eastAsia="Arial" w:hAnsi="Arial"/>
          <w:sz w:val="17"/>
          <w:szCs w:val="17"/>
          <w:color w:val="auto"/>
        </w:rPr>
        <w:t>Operating activities for the six months ended June 30, 2022 generated $229 million of cash compared to $271 million for the six months ended June 30, 2021. The decrease was principally driven by higher cash incentive compensation payments, higher cash interest payments and higher cash income taxes, partially offset by higher gross profit and lower operating working capital funding requirements.</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55" w:lineRule="exact"/>
        <w:rPr>
          <w:sz w:val="20"/>
          <w:szCs w:val="20"/>
          <w:color w:val="auto"/>
        </w:rPr>
      </w:pPr>
    </w:p>
    <w:p>
      <w:pPr>
        <w:ind w:right="120" w:firstLine="499"/>
        <w:spacing w:after="0" w:line="307" w:lineRule="auto"/>
        <w:rPr>
          <w:sz w:val="20"/>
          <w:szCs w:val="20"/>
          <w:color w:val="auto"/>
        </w:rPr>
      </w:pPr>
      <w:r>
        <w:rPr>
          <w:rFonts w:ascii="Arial" w:cs="Arial" w:eastAsia="Arial" w:hAnsi="Arial"/>
          <w:sz w:val="18"/>
          <w:szCs w:val="18"/>
          <w:color w:val="auto"/>
        </w:rPr>
        <w:t>Investing activities for the six months ended June 30, 2022 used $68 million of cash compared to $69 million for the six months ended June 30, 2021. The decrease was principally driven by a $19 million decrease in capital expenditures and $6 million of proceeds from technology-related investments received in 2022, partially offset by $23 million in cash paid for business acquisitions during 2022.</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142" w:lineRule="exact"/>
        <w:rPr>
          <w:sz w:val="20"/>
          <w:szCs w:val="20"/>
          <w:color w:val="auto"/>
        </w:rPr>
      </w:pPr>
    </w:p>
    <w:p>
      <w:pPr>
        <w:ind w:right="140" w:firstLine="494"/>
        <w:spacing w:after="0" w:line="367" w:lineRule="auto"/>
        <w:rPr>
          <w:sz w:val="20"/>
          <w:szCs w:val="20"/>
          <w:color w:val="auto"/>
        </w:rPr>
      </w:pPr>
      <w:r>
        <w:rPr>
          <w:rFonts w:ascii="Arial" w:cs="Arial" w:eastAsia="Arial" w:hAnsi="Arial"/>
          <w:sz w:val="17"/>
          <w:szCs w:val="17"/>
          <w:color w:val="auto"/>
        </w:rPr>
        <w:t>Financing activities for the six months ended June 30, 2022 used $162 million of cash compared to $274 million for the six months ended June 30, 2021. The decrease was principally driven by $111 million of decreased stock repurchases under the Repurchase Program.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57" w:lineRule="exact"/>
        <w:rPr>
          <w:sz w:val="20"/>
          <w:szCs w:val="20"/>
          <w:color w:val="auto"/>
        </w:rPr>
      </w:pPr>
    </w:p>
    <w:p>
      <w:pPr>
        <w:ind w:right="20" w:firstLine="494"/>
        <w:spacing w:after="0" w:line="298" w:lineRule="auto"/>
        <w:rPr>
          <w:sz w:val="20"/>
          <w:szCs w:val="20"/>
          <w:color w:val="auto"/>
        </w:rPr>
      </w:pPr>
      <w:r>
        <w:rPr>
          <w:rFonts w:ascii="Arial" w:cs="Arial" w:eastAsia="Arial" w:hAnsi="Arial"/>
          <w:sz w:val="18"/>
          <w:szCs w:val="18"/>
          <w:color w:val="auto"/>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P. Commitments and Contingencies” of our condensed consolidated financial statements included in Part I, Item 1 of this Quarterly Report on Form 10-Q.</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discussion of our critical accounting policies and significant accounting estimates is included in Part II, Item 7, “Management’s</w:t>
      </w:r>
    </w:p>
    <w:p>
      <w:pPr>
        <w:spacing w:after="0" w:line="36" w:lineRule="exact"/>
        <w:rPr>
          <w:sz w:val="20"/>
          <w:szCs w:val="20"/>
          <w:color w:val="auto"/>
        </w:rPr>
      </w:pPr>
    </w:p>
    <w:p>
      <w:pPr>
        <w:spacing w:after="0" w:line="315" w:lineRule="auto"/>
        <w:rPr>
          <w:sz w:val="20"/>
          <w:szCs w:val="20"/>
          <w:color w:val="auto"/>
        </w:rPr>
      </w:pPr>
      <w:r>
        <w:rPr>
          <w:rFonts w:ascii="Arial" w:cs="Arial" w:eastAsia="Arial" w:hAnsi="Arial"/>
          <w:sz w:val="17"/>
          <w:szCs w:val="17"/>
          <w:color w:val="auto"/>
        </w:rPr>
        <w:t>Discussion and Analysis of Financial Condition and Results of Operations” in our Annual Report on Form 10-K for the year ended December 31, 2021 as filed with the U.S SEC on February 17, 2022.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policies or estimates being reported for the three and six months ended June 30, 2022.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not a party to any off-balance sheet arrangements.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B. Summary of Significant Accounting Policies” in Part I, Item 1, of this Quarterly Report on Form 10-Q.</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4" w:lineRule="exact"/>
        <w:rPr>
          <w:sz w:val="20"/>
          <w:szCs w:val="20"/>
          <w:color w:val="auto"/>
        </w:rPr>
      </w:pPr>
    </w:p>
    <w:p>
      <w:pPr>
        <w:ind w:firstLine="494"/>
        <w:spacing w:after="0" w:line="306" w:lineRule="auto"/>
        <w:rPr>
          <w:sz w:val="20"/>
          <w:szCs w:val="20"/>
          <w:color w:val="auto"/>
        </w:rPr>
      </w:pPr>
      <w:r>
        <w:rPr>
          <w:rFonts w:ascii="Arial" w:cs="Arial" w:eastAsia="Arial" w:hAnsi="Arial"/>
          <w:sz w:val="17"/>
          <w:szCs w:val="17"/>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increases in cost, disruption of supply or shortage of labor, freight, raw materials or components used to manufacture or transport our products or those of our customers or suppliers, including as a result of the war in Ukraine and the COVID-19 pandemic; global economic conditions; the duration and spread of the COVID-19 pandemic, including new variants of the virus and the pace and availability of vaccines and boosters, mitigating efforts deployed by government agencies and the public at large, and the overall impact from such outbreak on economic conditions, financial market volatility and our business, including but not limited to the operations of our manufacturing and other facilities, the availability of labor, our supply chain, our distribution processes and demand for our products and the corresponding impacts to our net sales and cash flow; our participation in markets that are competitive; our ability to prepare for, respond to and successfully achieve our objectives relating to technological and market developments, competitive threats and changing customer needs, including with respect to electric hybrid and fully electric commercial vehicles; the highly cyclical industries in which certain of our end users operate; uncertainty in the global regulatory and business environments in which we operate; the concentration of our net sales in our top five customers and the loss of any one of these; the failure of markets outside North America to increase adoption of fully automatic transmissions; the success of our research and development efforts, the outcome of which is uncertain; U.S. and foreign defense spending; risks associated with our international operations, including acts of war and increased trade protectionism; general economic and industry conditions; the discovery of defects in our products, resulting in delays in new model launches, recall campaigns and/or increased warranty costs and reduction in future sales or damage to our brand and reputation; our ability to identify, consummate and effectively integrate acquisitions and collaborations; labor strikes, work stoppages or similar labor disputes, which could significantly disrupt our operations or those of our principal customers or suppliers; and risks related to our indebtedness.</w:t>
      </w:r>
    </w:p>
    <w:p>
      <w:pPr>
        <w:spacing w:after="0" w:line="329" w:lineRule="exact"/>
        <w:rPr>
          <w:sz w:val="20"/>
          <w:szCs w:val="20"/>
          <w:color w:val="auto"/>
        </w:rPr>
      </w:pPr>
    </w:p>
    <w:p>
      <w:pPr>
        <w:ind w:firstLine="494"/>
        <w:spacing w:after="0" w:line="295"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in Part I, Item 1A of our Annual Report on Form 10-K for the year ended December 31, 2021 as filed with the SEC on February 17, 2022 and Part II, Item 1A of our Quarterly Report on Form 10-Q for the quarter ended March 31, 2022 as filed with the SEC on April 28, 2022. All written and oral forward-looking statements attributable to us, or persons acting on our behalf, are expressly qualified in their entirety by these cautionary statements as well as other cautionary statements that are made from time to time in our other SEC filings or public communications. You should evaluate all forward-looking statements made in this Quarterly Report on Form 10-Q in the context of these risks and uncertainties.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60"/>
        <w:spacing w:after="0"/>
        <w:tabs>
          <w:tab w:leader="none" w:pos="14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ind w:right="420" w:firstLine="499"/>
        <w:spacing w:after="0" w:line="318" w:lineRule="auto"/>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6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42" w:lineRule="exact"/>
        <w:rPr>
          <w:sz w:val="20"/>
          <w:szCs w:val="20"/>
          <w:color w:val="auto"/>
        </w:rPr>
      </w:pPr>
    </w:p>
    <w:p>
      <w:pPr>
        <w:ind w:firstLine="499"/>
        <w:spacing w:after="0" w:line="295" w:lineRule="auto"/>
        <w:rPr>
          <w:sz w:val="20"/>
          <w:szCs w:val="20"/>
          <w:color w:val="auto"/>
        </w:rPr>
      </w:pPr>
      <w:r>
        <w:rPr>
          <w:rFonts w:ascii="Arial" w:cs="Arial" w:eastAsia="Arial" w:hAnsi="Arial"/>
          <w:sz w:val="18"/>
          <w:szCs w:val="18"/>
          <w:color w:val="auto"/>
        </w:rPr>
        <w:t>We are subject to interest rate market risk in connection with a portion of our long-term debt. Our principal interest rate exposure relates to outstanding amounts under our Senior Secured Credit Facility. Our Senior Secured Credit Facility provides for variable rate borrowings of up to $1,273 million, including $645 million under our Revolving Credit Facility, net of $5 million of letters of credit. A one-eighth percent increase or decrease in assumed interest rates for the Senior Secured Credit Facility, if fully drawn as of June 30, 2022, would have an impact of approximately $1 million on interest expense per year. As of June 30, 2022, we had no outstanding borrowings against the Revolving Credit Facility.</w:t>
      </w:r>
    </w:p>
    <w:p>
      <w:pPr>
        <w:spacing w:after="0" w:line="78" w:lineRule="exact"/>
        <w:rPr>
          <w:sz w:val="20"/>
          <w:szCs w:val="20"/>
          <w:color w:val="auto"/>
        </w:rPr>
      </w:pPr>
    </w:p>
    <w:p>
      <w:pPr>
        <w:ind w:right="60" w:firstLine="499"/>
        <w:spacing w:after="0" w:line="294" w:lineRule="auto"/>
        <w:rPr>
          <w:sz w:val="20"/>
          <w:szCs w:val="20"/>
          <w:color w:val="auto"/>
        </w:rPr>
      </w:pPr>
      <w:r>
        <w:rPr>
          <w:rFonts w:ascii="Arial" w:cs="Arial" w:eastAsia="Arial" w:hAnsi="Arial"/>
          <w:sz w:val="18"/>
          <w:szCs w:val="18"/>
          <w:color w:val="auto"/>
        </w:rPr>
        <w:t>From time to time, we enter into interest rate swap agreements to hedge the risk associated with our variable interest rate debt. As of June 30, 2022, we held interest rate swaps effective from (i) September 2019 to September 2022 with notional values totaling $250 million and a weighted average London Interbank Offered Rate (“LIBOR”) fixed rate of 3.01%, (ii) September 2019 to September 2025 with notional values totaling $250 million and a weighted average LIBOR fixed rate of 3.04% and (iii) September 2022 to September 2025 with notional values totaling $250 million and a weighted average LIBOR fixed rate of 2.82%.</w:t>
      </w:r>
    </w:p>
    <w:p>
      <w:pPr>
        <w:spacing w:after="0" w:line="67" w:lineRule="exact"/>
        <w:rPr>
          <w:sz w:val="20"/>
          <w:szCs w:val="20"/>
          <w:color w:val="auto"/>
        </w:rPr>
      </w:pPr>
    </w:p>
    <w:p>
      <w:pPr>
        <w:ind w:right="20" w:firstLine="499"/>
        <w:spacing w:after="0" w:line="307" w:lineRule="auto"/>
        <w:rPr>
          <w:sz w:val="20"/>
          <w:szCs w:val="20"/>
          <w:color w:val="auto"/>
        </w:rPr>
      </w:pPr>
      <w:r>
        <w:rPr>
          <w:rFonts w:ascii="Arial" w:cs="Arial" w:eastAsia="Arial" w:hAnsi="Arial"/>
          <w:sz w:val="18"/>
          <w:szCs w:val="18"/>
          <w:color w:val="auto"/>
        </w:rPr>
        <w:t>The United Kingdom's Financial Conduct Authority has announced the intent to phase out LIBOR by June 2023. We plan to elect an alternative reference rate acceptable under reference rate reform guidance and do not expect the phase out to materially impact our financial statements, liquidity or access to capital markets.</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42" w:lineRule="exact"/>
        <w:rPr>
          <w:sz w:val="20"/>
          <w:szCs w:val="20"/>
          <w:color w:val="auto"/>
        </w:rPr>
      </w:pPr>
    </w:p>
    <w:p>
      <w:pPr>
        <w:ind w:right="160" w:firstLine="499"/>
        <w:spacing w:after="0" w:line="298" w:lineRule="auto"/>
        <w:rPr>
          <w:sz w:val="20"/>
          <w:szCs w:val="20"/>
          <w:color w:val="auto"/>
        </w:rPr>
      </w:pPr>
      <w:r>
        <w:rPr>
          <w:rFonts w:ascii="Arial" w:cs="Arial" w:eastAsia="Arial" w:hAnsi="Arial"/>
          <w:sz w:val="18"/>
          <w:szCs w:val="18"/>
          <w:color w:val="auto"/>
        </w:rPr>
        <w:t>While our net sales and costs are denominated primarily in U.S. Dollars, net sales, costs, assets and liabilities are generated in other currencies including Brazilian Real, British Pound, Canadian Dollar, Chinese Yuan Renminbi, Euro, Hungarian Forint, Indian Rupee and Japanese Yen. The expansion of our business outside North America may further increase the risk that cash flows resulting from these activities may be adversely affected by changes in currency exchange rates.</w:t>
      </w:r>
    </w:p>
    <w:p>
      <w:pPr>
        <w:spacing w:after="0" w:line="78" w:lineRule="exact"/>
        <w:rPr>
          <w:sz w:val="20"/>
          <w:szCs w:val="20"/>
          <w:color w:val="auto"/>
        </w:rPr>
      </w:pPr>
    </w:p>
    <w:p>
      <w:pPr>
        <w:jc w:val="both"/>
        <w:ind w:firstLine="499"/>
        <w:spacing w:after="0" w:line="299"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Chinese Yuan Renminbi, Euro, Indian Rupee, and Japanese Yen would correspondingly change our earnings, net of tax, by an estimated $4 million per year. We believe our other exposure to foreign currencies is immaterial.</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42" w:lineRule="exact"/>
        <w:rPr>
          <w:sz w:val="20"/>
          <w:szCs w:val="20"/>
          <w:color w:val="auto"/>
        </w:rPr>
      </w:pPr>
    </w:p>
    <w:p>
      <w:pPr>
        <w:ind w:firstLine="499"/>
        <w:spacing w:after="0" w:line="292" w:lineRule="auto"/>
        <w:rPr>
          <w:sz w:val="20"/>
          <w:szCs w:val="20"/>
          <w:color w:val="auto"/>
        </w:rPr>
      </w:pPr>
      <w:r>
        <w:rPr>
          <w:rFonts w:ascii="Arial" w:cs="Arial" w:eastAsia="Arial" w:hAnsi="Arial"/>
          <w:sz w:val="18"/>
          <w:szCs w:val="18"/>
          <w:color w:val="auto"/>
        </w:rPr>
        <w:t>We are subject to changes in our cost of sales caused by movements in underlying commodity prices. As of June 30, 2022, approximately 67% of our cost of sales consists of purchased components with significant raw material content.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long-term agreements (“LTAs”). We historically have not entered into long-term purchase contracts related to the purchase of aluminum and steel.</w:t>
      </w:r>
    </w:p>
    <w:p>
      <w:pPr>
        <w:spacing w:after="0" w:line="85" w:lineRule="exact"/>
        <w:rPr>
          <w:sz w:val="20"/>
          <w:szCs w:val="20"/>
          <w:color w:val="auto"/>
        </w:rPr>
      </w:pPr>
    </w:p>
    <w:p>
      <w:pPr>
        <w:ind w:right="260" w:firstLine="499"/>
        <w:spacing w:after="0" w:line="318" w:lineRule="auto"/>
        <w:rPr>
          <w:sz w:val="20"/>
          <w:szCs w:val="20"/>
          <w:color w:val="auto"/>
        </w:rPr>
      </w:pPr>
      <w:r>
        <w:rPr>
          <w:rFonts w:ascii="Arial" w:cs="Arial" w:eastAsia="Arial" w:hAnsi="Arial"/>
          <w:sz w:val="18"/>
          <w:szCs w:val="18"/>
          <w:color w:val="auto"/>
        </w:rPr>
        <w:t>Assuming current levels of commodity purchases, a 10% variation in the price of aluminum and steel would correspondingly change our earnings by approximately $8 million and $13 million per year, respectively.</w:t>
      </w:r>
    </w:p>
    <w:p>
      <w:pPr>
        <w:spacing w:after="0" w:line="58" w:lineRule="exact"/>
        <w:rPr>
          <w:sz w:val="20"/>
          <w:szCs w:val="20"/>
          <w:color w:val="auto"/>
        </w:rPr>
      </w:pPr>
    </w:p>
    <w:p>
      <w:pPr>
        <w:ind w:right="80" w:firstLine="499"/>
        <w:spacing w:after="0" w:line="318" w:lineRule="auto"/>
        <w:rPr>
          <w:sz w:val="20"/>
          <w:szCs w:val="20"/>
          <w:color w:val="auto"/>
        </w:rPr>
      </w:pPr>
      <w:r>
        <w:rPr>
          <w:rFonts w:ascii="Arial" w:cs="Arial" w:eastAsia="Arial" w:hAnsi="Arial"/>
          <w:sz w:val="18"/>
          <w:szCs w:val="18"/>
          <w:color w:val="auto"/>
        </w:rPr>
        <w:t>Many of our LTAs have incorporated a cost-sharing arrangement related to potential future commodity price fluctuations. For purposes of the sensitivity analysis above, the impact of these cost sharing arrangements has not been included.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0"/>
        <w:spacing w:after="0"/>
        <w:tabs>
          <w:tab w:leader="none" w:pos="14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4" w:lineRule="exact"/>
        <w:rPr>
          <w:sz w:val="20"/>
          <w:szCs w:val="20"/>
          <w:color w:val="auto"/>
        </w:rPr>
      </w:pPr>
    </w:p>
    <w:p>
      <w:pPr>
        <w:ind w:right="100" w:firstLine="499"/>
        <w:spacing w:after="0" w:line="29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66" w:lineRule="exact"/>
        <w:rPr>
          <w:sz w:val="20"/>
          <w:szCs w:val="20"/>
          <w:color w:val="auto"/>
        </w:rPr>
      </w:pPr>
    </w:p>
    <w:p>
      <w:pPr>
        <w:ind w:firstLine="499"/>
        <w:spacing w:after="0" w:line="295" w:lineRule="auto"/>
        <w:rPr>
          <w:sz w:val="20"/>
          <w:szCs w:val="20"/>
          <w:color w:val="auto"/>
        </w:rPr>
      </w:pPr>
      <w:r>
        <w:rPr>
          <w:rFonts w:ascii="Arial" w:cs="Arial" w:eastAsia="Arial" w:hAnsi="Arial"/>
          <w:sz w:val="18"/>
          <w:szCs w:val="18"/>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4" w:lineRule="exact"/>
        <w:rPr>
          <w:sz w:val="20"/>
          <w:szCs w:val="20"/>
          <w:color w:val="auto"/>
        </w:rPr>
      </w:pPr>
    </w:p>
    <w:p>
      <w:pPr>
        <w:ind w:firstLine="499"/>
        <w:spacing w:after="0" w:line="307"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4" w:lineRule="exact"/>
        <w:rPr>
          <w:sz w:val="20"/>
          <w:szCs w:val="20"/>
          <w:color w:val="auto"/>
        </w:rPr>
      </w:pPr>
    </w:p>
    <w:p>
      <w:pPr>
        <w:ind w:right="120" w:firstLine="499"/>
        <w:spacing w:after="0" w:line="321" w:lineRule="auto"/>
        <w:rPr>
          <w:sz w:val="20"/>
          <w:szCs w:val="20"/>
          <w:color w:val="auto"/>
        </w:rPr>
      </w:pPr>
      <w:r>
        <w:rPr>
          <w:rFonts w:ascii="Arial" w:cs="Arial" w:eastAsia="Arial" w:hAnsi="Arial"/>
          <w:sz w:val="17"/>
          <w:szCs w:val="17"/>
          <w:color w:val="auto"/>
        </w:rPr>
        <w:t>From time to time, we are a party to various legal actions in the normal course of our business, including those related to commercial transactions, product liability, personal injury and workers’ compensation, safety, health, taxes, environmental and other matters. Information pertaining to legal proceedings can be found in "Note P. Commitments and Contingencies” in the notes to the condensed consolidated financial statements included in Part I, Item 1 of this Quarterly Report on Form 10-Q, which information is incorporated herein by reference.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4" w:lineRule="exact"/>
        <w:rPr>
          <w:sz w:val="20"/>
          <w:szCs w:val="20"/>
          <w:color w:val="auto"/>
        </w:rPr>
      </w:pPr>
    </w:p>
    <w:p>
      <w:pPr>
        <w:jc w:val="both"/>
        <w:ind w:firstLine="499"/>
        <w:spacing w:after="0" w:line="307" w:lineRule="auto"/>
        <w:rPr>
          <w:sz w:val="20"/>
          <w:szCs w:val="20"/>
          <w:color w:val="auto"/>
        </w:rPr>
      </w:pPr>
      <w:r>
        <w:rPr>
          <w:rFonts w:ascii="Arial" w:cs="Arial" w:eastAsia="Arial" w:hAnsi="Arial"/>
          <w:sz w:val="18"/>
          <w:szCs w:val="18"/>
          <w:color w:val="auto"/>
        </w:rPr>
        <w:t>There have been no material changes from our risk factors as previously reported in Part I, Item 1A of our Annual Report on Form 10-K for the year ended December 31, 2021 as filed with the SEC on February 17, 2022, and as updated in Part II, Item 1A of our Quarterly Report on Form 10-Q for the quarter ended March 31, 2022 as filed with the SEC on April 28, 2022.</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4" w:lineRule="exact"/>
        <w:rPr>
          <w:sz w:val="20"/>
          <w:szCs w:val="20"/>
          <w:color w:val="auto"/>
        </w:rPr>
      </w:pPr>
    </w:p>
    <w:p>
      <w:pPr>
        <w:ind w:right="500" w:firstLine="499"/>
        <w:spacing w:after="0" w:line="318" w:lineRule="auto"/>
        <w:rPr>
          <w:sz w:val="20"/>
          <w:szCs w:val="20"/>
          <w:color w:val="auto"/>
        </w:rPr>
      </w:pPr>
      <w:r>
        <w:rPr>
          <w:rFonts w:ascii="Arial" w:cs="Arial" w:eastAsia="Arial" w:hAnsi="Arial"/>
          <w:sz w:val="18"/>
          <w:szCs w:val="18"/>
          <w:color w:val="auto"/>
        </w:rPr>
        <w:t>The following table sets forth information related to our repurchases of our common stock on a monthly basis in the three months ended June 30, 2022:</w:t>
      </w:r>
    </w:p>
    <w:p>
      <w:pPr>
        <w:spacing w:after="0" w:line="189" w:lineRule="exact"/>
        <w:rPr>
          <w:sz w:val="20"/>
          <w:szCs w:val="20"/>
          <w:color w:val="auto"/>
        </w:rPr>
      </w:pPr>
    </w:p>
    <w:p>
      <w:pPr>
        <w:jc w:val="center"/>
        <w:ind w:left="6480"/>
        <w:spacing w:after="0"/>
        <w:rPr>
          <w:sz w:val="20"/>
          <w:szCs w:val="20"/>
          <w:color w:val="auto"/>
        </w:rPr>
      </w:pPr>
      <w:r>
        <w:rPr>
          <w:rFonts w:ascii="Arial" w:cs="Arial" w:eastAsia="Arial" w:hAnsi="Arial"/>
          <w:sz w:val="14"/>
          <w:szCs w:val="14"/>
          <w:b w:val="1"/>
          <w:bCs w:val="1"/>
          <w:color w:val="auto"/>
        </w:rPr>
        <w:t>Total Number</w:t>
      </w:r>
    </w:p>
    <w:p>
      <w:pPr>
        <w:spacing w:after="0" w:line="1" w:lineRule="exact"/>
        <w:rPr>
          <w:sz w:val="20"/>
          <w:szCs w:val="20"/>
          <w:color w:val="auto"/>
        </w:rPr>
      </w:pPr>
    </w:p>
    <w:p>
      <w:pPr>
        <w:jc w:val="center"/>
        <w:ind w:left="6480"/>
        <w:spacing w:after="0"/>
        <w:rPr>
          <w:sz w:val="20"/>
          <w:szCs w:val="20"/>
          <w:color w:val="auto"/>
        </w:rPr>
      </w:pPr>
      <w:r>
        <w:rPr>
          <w:rFonts w:ascii="Arial" w:cs="Arial" w:eastAsia="Arial" w:hAnsi="Arial"/>
          <w:sz w:val="14"/>
          <w:szCs w:val="14"/>
          <w:b w:val="1"/>
          <w:bCs w:val="1"/>
          <w:color w:val="auto"/>
        </w:rPr>
        <w:t>of Shares</w:t>
      </w:r>
    </w:p>
    <w:tbl>
      <w:tblPr>
        <w:tblLayout w:type="fixed"/>
        <w:tblInd w:w="0" w:type="dxa"/>
        <w:tblCellMar>
          <w:top w:w="0" w:type="dxa"/>
          <w:left w:w="0" w:type="dxa"/>
          <w:bottom w:w="0" w:type="dxa"/>
          <w:right w:w="0" w:type="dxa"/>
        </w:tblCellMar>
      </w:tblPr>
      <w:tr>
        <w:trPr>
          <w:trHeight w:val="135"/>
        </w:trPr>
        <w:tc>
          <w:tcPr>
            <w:tcW w:w="5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rPr>
              <w:t>Purchased</w:t>
            </w: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158"/>
        </w:trPr>
        <w:tc>
          <w:tcPr>
            <w:tcW w:w="5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ind w:right="24"/>
              <w:spacing w:after="0" w:line="157" w:lineRule="exact"/>
              <w:rPr>
                <w:sz w:val="20"/>
                <w:szCs w:val="20"/>
                <w:color w:val="auto"/>
              </w:rPr>
            </w:pPr>
            <w:r>
              <w:rPr>
                <w:rFonts w:ascii="Arial" w:cs="Arial" w:eastAsia="Arial" w:hAnsi="Arial"/>
                <w:sz w:val="14"/>
                <w:szCs w:val="14"/>
                <w:b w:val="1"/>
                <w:bCs w:val="1"/>
                <w:color w:val="auto"/>
              </w:rPr>
              <w:t>as Part of</w:t>
            </w:r>
          </w:p>
        </w:tc>
        <w:tc>
          <w:tcPr>
            <w:tcW w:w="240" w:type="dxa"/>
            <w:vAlign w:val="bottom"/>
          </w:tcPr>
          <w:p>
            <w:pPr>
              <w:spacing w:after="0"/>
              <w:rPr>
                <w:sz w:val="13"/>
                <w:szCs w:val="13"/>
                <w:color w:val="auto"/>
              </w:rPr>
            </w:pPr>
          </w:p>
        </w:tc>
        <w:tc>
          <w:tcPr>
            <w:tcW w:w="1480" w:type="dxa"/>
            <w:vAlign w:val="bottom"/>
          </w:tcPr>
          <w:p>
            <w:pPr>
              <w:jc w:val="center"/>
              <w:ind w:right="161"/>
              <w:spacing w:after="0" w:line="157" w:lineRule="exact"/>
              <w:rPr>
                <w:sz w:val="20"/>
                <w:szCs w:val="20"/>
                <w:color w:val="auto"/>
              </w:rPr>
            </w:pPr>
            <w:r>
              <w:rPr>
                <w:rFonts w:ascii="Arial" w:cs="Arial" w:eastAsia="Arial" w:hAnsi="Arial"/>
                <w:sz w:val="14"/>
                <w:szCs w:val="14"/>
                <w:b w:val="1"/>
                <w:bCs w:val="1"/>
                <w:color w:val="auto"/>
              </w:rPr>
              <w:t>Approximate</w:t>
            </w:r>
          </w:p>
        </w:tc>
      </w:tr>
      <w:tr>
        <w:trPr>
          <w:trHeight w:val="148"/>
        </w:trPr>
        <w:tc>
          <w:tcPr>
            <w:tcW w:w="5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rPr>
              <w:t>Publicly</w:t>
            </w:r>
          </w:p>
        </w:tc>
        <w:tc>
          <w:tcPr>
            <w:tcW w:w="240" w:type="dxa"/>
            <w:vAlign w:val="bottom"/>
          </w:tcPr>
          <w:p>
            <w:pPr>
              <w:spacing w:after="0"/>
              <w:rPr>
                <w:sz w:val="12"/>
                <w:szCs w:val="12"/>
                <w:color w:val="auto"/>
              </w:rPr>
            </w:pPr>
          </w:p>
        </w:tc>
        <w:tc>
          <w:tcPr>
            <w:tcW w:w="14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rPr>
              <w:t>Dollar Value of</w:t>
            </w:r>
          </w:p>
        </w:tc>
      </w:tr>
      <w:tr>
        <w:trPr>
          <w:trHeight w:val="162"/>
        </w:trPr>
        <w:tc>
          <w:tcPr>
            <w:tcW w:w="5640" w:type="dxa"/>
            <w:vAlign w:val="bottom"/>
          </w:tcPr>
          <w:p>
            <w:pPr>
              <w:spacing w:after="0"/>
              <w:rPr>
                <w:sz w:val="14"/>
                <w:szCs w:val="14"/>
                <w:color w:val="auto"/>
              </w:rPr>
            </w:pPr>
          </w:p>
        </w:tc>
        <w:tc>
          <w:tcPr>
            <w:tcW w:w="1200" w:type="dxa"/>
            <w:vAlign w:val="bottom"/>
          </w:tcPr>
          <w:p>
            <w:pPr>
              <w:jc w:val="center"/>
              <w:ind w:right="38"/>
              <w:spacing w:after="0"/>
              <w:rPr>
                <w:sz w:val="20"/>
                <w:szCs w:val="20"/>
                <w:color w:val="auto"/>
              </w:rPr>
            </w:pPr>
            <w:r>
              <w:rPr>
                <w:rFonts w:ascii="Arial" w:cs="Arial" w:eastAsia="Arial" w:hAnsi="Arial"/>
                <w:sz w:val="14"/>
                <w:szCs w:val="14"/>
                <w:b w:val="1"/>
                <w:bCs w:val="1"/>
                <w:color w:val="auto"/>
              </w:rPr>
              <w:t>Total Number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98"/>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200" w:type="dxa"/>
            <w:vAlign w:val="bottom"/>
          </w:tcPr>
          <w:p>
            <w:pPr>
              <w:jc w:val="center"/>
              <w:ind w:right="24"/>
              <w:spacing w:after="0"/>
              <w:rPr>
                <w:sz w:val="20"/>
                <w:szCs w:val="20"/>
                <w:color w:val="auto"/>
              </w:rPr>
            </w:pPr>
            <w:r>
              <w:rPr>
                <w:rFonts w:ascii="Arial" w:cs="Arial" w:eastAsia="Arial" w:hAnsi="Arial"/>
                <w:sz w:val="14"/>
                <w:szCs w:val="14"/>
                <w:b w:val="1"/>
                <w:bCs w:val="1"/>
                <w:color w:val="auto"/>
              </w:rPr>
              <w:t>Announced</w:t>
            </w:r>
          </w:p>
        </w:tc>
        <w:tc>
          <w:tcPr>
            <w:tcW w:w="240" w:type="dxa"/>
            <w:vAlign w:val="bottom"/>
          </w:tcPr>
          <w:p>
            <w:pPr>
              <w:spacing w:after="0"/>
              <w:rPr>
                <w:sz w:val="14"/>
                <w:szCs w:val="14"/>
                <w:color w:val="auto"/>
              </w:rPr>
            </w:pPr>
          </w:p>
        </w:tc>
        <w:tc>
          <w:tcPr>
            <w:tcW w:w="1480" w:type="dxa"/>
            <w:vAlign w:val="bottom"/>
          </w:tcPr>
          <w:p>
            <w:pPr>
              <w:jc w:val="center"/>
              <w:ind w:right="181"/>
              <w:spacing w:after="0"/>
              <w:rPr>
                <w:sz w:val="20"/>
                <w:szCs w:val="20"/>
                <w:color w:val="auto"/>
              </w:rPr>
            </w:pPr>
            <w:r>
              <w:rPr>
                <w:rFonts w:ascii="Arial" w:cs="Arial" w:eastAsia="Arial" w:hAnsi="Arial"/>
                <w:sz w:val="14"/>
                <w:szCs w:val="14"/>
                <w:b w:val="1"/>
                <w:bCs w:val="1"/>
                <w:color w:val="auto"/>
              </w:rPr>
              <w:t>Shares that May</w:t>
            </w:r>
          </w:p>
        </w:tc>
      </w:tr>
      <w:tr>
        <w:trPr>
          <w:trHeight w:val="148"/>
        </w:trPr>
        <w:tc>
          <w:tcPr>
            <w:tcW w:w="5640" w:type="dxa"/>
            <w:vAlign w:val="bottom"/>
          </w:tcPr>
          <w:p>
            <w:pPr>
              <w:spacing w:after="0"/>
              <w:rPr>
                <w:sz w:val="12"/>
                <w:szCs w:val="12"/>
                <w:color w:val="auto"/>
              </w:rPr>
            </w:pPr>
          </w:p>
        </w:tc>
        <w:tc>
          <w:tcPr>
            <w:tcW w:w="12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rPr>
              <w:t>Price Paid</w:t>
            </w:r>
          </w:p>
        </w:tc>
        <w:tc>
          <w:tcPr>
            <w:tcW w:w="100" w:type="dxa"/>
            <w:vAlign w:val="bottom"/>
          </w:tcPr>
          <w:p>
            <w:pPr>
              <w:spacing w:after="0"/>
              <w:rPr>
                <w:sz w:val="12"/>
                <w:szCs w:val="12"/>
                <w:color w:val="auto"/>
              </w:rPr>
            </w:pPr>
          </w:p>
        </w:tc>
        <w:tc>
          <w:tcPr>
            <w:tcW w:w="12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rPr>
              <w:t>Plans or</w:t>
            </w:r>
          </w:p>
        </w:tc>
        <w:tc>
          <w:tcPr>
            <w:tcW w:w="240" w:type="dxa"/>
            <w:vAlign w:val="bottom"/>
          </w:tcPr>
          <w:p>
            <w:pPr>
              <w:spacing w:after="0"/>
              <w:rPr>
                <w:sz w:val="12"/>
                <w:szCs w:val="12"/>
                <w:color w:val="auto"/>
              </w:rPr>
            </w:pPr>
          </w:p>
        </w:tc>
        <w:tc>
          <w:tcPr>
            <w:tcW w:w="14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rPr>
              <w:t>Yet Be Purchased</w:t>
            </w:r>
          </w:p>
        </w:tc>
      </w:tr>
      <w:tr>
        <w:trPr>
          <w:trHeight w:val="175"/>
        </w:trPr>
        <w:tc>
          <w:tcPr>
            <w:tcW w:w="5640" w:type="dxa"/>
            <w:vAlign w:val="bottom"/>
          </w:tcPr>
          <w:p>
            <w:pPr>
              <w:spacing w:after="0"/>
              <w:rPr>
                <w:sz w:val="15"/>
                <w:szCs w:val="15"/>
                <w:color w:val="auto"/>
              </w:rPr>
            </w:pPr>
          </w:p>
        </w:tc>
        <w:tc>
          <w:tcPr>
            <w:tcW w:w="12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Programs</w:t>
            </w:r>
          </w:p>
        </w:tc>
        <w:tc>
          <w:tcPr>
            <w:tcW w:w="240" w:type="dxa"/>
            <w:vAlign w:val="bottom"/>
          </w:tcPr>
          <w:p>
            <w:pPr>
              <w:spacing w:after="0"/>
              <w:rPr>
                <w:sz w:val="15"/>
                <w:szCs w:val="15"/>
                <w:color w:val="auto"/>
              </w:rPr>
            </w:pPr>
          </w:p>
        </w:tc>
        <w:tc>
          <w:tcPr>
            <w:tcW w:w="1480" w:type="dxa"/>
            <w:vAlign w:val="bottom"/>
          </w:tcPr>
          <w:p>
            <w:pPr>
              <w:jc w:val="center"/>
              <w:ind w:right="161"/>
              <w:spacing w:after="0"/>
              <w:rPr>
                <w:sz w:val="20"/>
                <w:szCs w:val="20"/>
                <w:color w:val="auto"/>
              </w:rPr>
            </w:pPr>
            <w:r>
              <w:rPr>
                <w:rFonts w:ascii="Arial" w:cs="Arial" w:eastAsia="Arial" w:hAnsi="Arial"/>
                <w:sz w:val="14"/>
                <w:szCs w:val="14"/>
                <w:b w:val="1"/>
                <w:bCs w:val="1"/>
                <w:color w:val="auto"/>
              </w:rPr>
              <w:t>Under Plans(1)</w:t>
            </w:r>
          </w:p>
        </w:tc>
      </w:tr>
      <w:tr>
        <w:trPr>
          <w:trHeight w:val="20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April 1 – April 30, 2022</w:t>
            </w:r>
          </w:p>
        </w:tc>
        <w:tc>
          <w:tcPr>
            <w:tcW w:w="120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69,664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34.88</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69,664</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1,230,127,815</w:t>
            </w: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May 1 – May 31, 2022</w:t>
            </w:r>
          </w:p>
        </w:tc>
        <w:tc>
          <w:tcPr>
            <w:tcW w:w="1200" w:type="dxa"/>
            <w:vAlign w:val="bottom"/>
          </w:tcPr>
          <w:p>
            <w:pPr>
              <w:jc w:val="right"/>
              <w:ind w:right="58"/>
              <w:spacing w:after="0"/>
              <w:rPr>
                <w:sz w:val="20"/>
                <w:szCs w:val="20"/>
                <w:color w:val="auto"/>
              </w:rPr>
            </w:pPr>
            <w:r>
              <w:rPr>
                <w:rFonts w:ascii="Arial" w:cs="Arial" w:eastAsia="Arial" w:hAnsi="Arial"/>
                <w:sz w:val="18"/>
                <w:szCs w:val="18"/>
                <w:color w:val="auto"/>
              </w:rPr>
              <w:t>82,546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39.75</w:t>
            </w:r>
          </w:p>
        </w:tc>
        <w:tc>
          <w:tcPr>
            <w:tcW w:w="1300" w:type="dxa"/>
            <w:vAlign w:val="bottom"/>
            <w:gridSpan w:val="2"/>
          </w:tcPr>
          <w:p>
            <w:pPr>
              <w:jc w:val="right"/>
              <w:ind w:right="44"/>
              <w:spacing w:after="0"/>
              <w:rPr>
                <w:sz w:val="20"/>
                <w:szCs w:val="20"/>
                <w:color w:val="auto"/>
              </w:rPr>
            </w:pPr>
            <w:r>
              <w:rPr>
                <w:rFonts w:ascii="Arial" w:cs="Arial" w:eastAsia="Arial" w:hAnsi="Arial"/>
                <w:sz w:val="18"/>
                <w:szCs w:val="18"/>
                <w:color w:val="auto"/>
              </w:rPr>
              <w:t>82,546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
              <w:spacing w:after="0"/>
              <w:rPr>
                <w:sz w:val="20"/>
                <w:szCs w:val="20"/>
                <w:color w:val="auto"/>
              </w:rPr>
            </w:pPr>
            <w:r>
              <w:rPr>
                <w:rFonts w:ascii="Arial" w:cs="Arial" w:eastAsia="Arial" w:hAnsi="Arial"/>
                <w:sz w:val="18"/>
                <w:szCs w:val="18"/>
                <w:color w:val="auto"/>
              </w:rPr>
              <w:t>1,226,846,802</w:t>
            </w:r>
          </w:p>
        </w:tc>
      </w:tr>
      <w:tr>
        <w:trPr>
          <w:trHeight w:val="216"/>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June 1 – June 30, 2022</w:t>
            </w:r>
          </w:p>
        </w:tc>
        <w:tc>
          <w:tcPr>
            <w:tcW w:w="120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727,470</w:t>
            </w:r>
          </w:p>
        </w:tc>
        <w:tc>
          <w:tcPr>
            <w:tcW w:w="3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38.91</w:t>
            </w:r>
          </w:p>
        </w:tc>
        <w:tc>
          <w:tcPr>
            <w:tcW w:w="1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727,470</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8"/>
                <w:szCs w:val="18"/>
                <w:color w:val="auto"/>
              </w:rPr>
              <w:t>1,198,544,111</w:t>
            </w:r>
          </w:p>
        </w:tc>
      </w:tr>
      <w:tr>
        <w:trPr>
          <w:trHeight w:val="209"/>
        </w:trPr>
        <w:tc>
          <w:tcPr>
            <w:tcW w:w="5640" w:type="dxa"/>
            <w:vAlign w:val="bottom"/>
          </w:tcPr>
          <w:p>
            <w:pPr>
              <w:jc w:val="right"/>
              <w:ind w:right="52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8"/>
              <w:spacing w:after="0"/>
              <w:rPr>
                <w:sz w:val="20"/>
                <w:szCs w:val="20"/>
                <w:color w:val="auto"/>
              </w:rPr>
            </w:pPr>
            <w:r>
              <w:rPr>
                <w:rFonts w:ascii="Arial" w:cs="Arial" w:eastAsia="Arial" w:hAnsi="Arial"/>
                <w:sz w:val="18"/>
                <w:szCs w:val="18"/>
                <w:color w:val="auto"/>
              </w:rPr>
              <w:t>879,680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38.67</w:t>
            </w:r>
          </w:p>
        </w:tc>
        <w:tc>
          <w:tcPr>
            <w:tcW w:w="1300" w:type="dxa"/>
            <w:vAlign w:val="bottom"/>
            <w:gridSpan w:val="2"/>
          </w:tcPr>
          <w:p>
            <w:pPr>
              <w:jc w:val="right"/>
              <w:ind w:right="44"/>
              <w:spacing w:after="0"/>
              <w:rPr>
                <w:sz w:val="20"/>
                <w:szCs w:val="20"/>
                <w:color w:val="auto"/>
              </w:rPr>
            </w:pPr>
            <w:r>
              <w:rPr>
                <w:rFonts w:ascii="Arial" w:cs="Arial" w:eastAsia="Arial" w:hAnsi="Arial"/>
                <w:sz w:val="18"/>
                <w:szCs w:val="18"/>
                <w:color w:val="auto"/>
              </w:rPr>
              <w:t>879,680</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-170815</wp:posOffset>
            </wp:positionV>
            <wp:extent cx="768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-170815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1" w:lineRule="exact"/>
        <w:rPr>
          <w:sz w:val="20"/>
          <w:szCs w:val="20"/>
          <w:color w:val="auto"/>
        </w:rPr>
      </w:pPr>
    </w:p>
    <w:p>
      <w:pPr>
        <w:ind w:left="640" w:right="260" w:hanging="372"/>
        <w:spacing w:after="0" w:line="298"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values reflect the amounts that may be repurchased under the Repurchase Program approved by the Board of Directors on November 14, 2016 and the increases approved by the Board of Directors on November 8, 2017, July 30, 2018, May 9, 2019 and February 24, 2022, which in the aggregate total authorized repurchases of $4,000 million. The Repurchase Program has no termination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440" w:type="dxa"/>
            <w:vAlign w:val="bottom"/>
            <w:gridSpan w:val="5"/>
          </w:tcPr>
          <w:p>
            <w:pPr>
              <w:ind w:left="20"/>
              <w:spacing w:after="0"/>
              <w:rPr>
                <w:sz w:val="20"/>
                <w:szCs w:val="20"/>
                <w:color w:val="auto"/>
              </w:rPr>
            </w:pPr>
            <w:r>
              <w:rPr>
                <w:rFonts w:ascii="Arial" w:cs="Arial" w:eastAsia="Arial" w:hAnsi="Arial"/>
                <w:sz w:val="18"/>
                <w:szCs w:val="18"/>
                <w:b w:val="1"/>
                <w:bCs w:val="1"/>
                <w:color w:val="auto"/>
              </w:rPr>
              <w:t>Item 6.</w:t>
            </w:r>
          </w:p>
        </w:tc>
        <w:tc>
          <w:tcPr>
            <w:tcW w:w="8580" w:type="dxa"/>
            <w:vAlign w:val="bottom"/>
            <w:gridSpan w:val="6"/>
          </w:tcPr>
          <w:p>
            <w:pPr>
              <w:ind w:left="20"/>
              <w:spacing w:after="0"/>
              <w:rPr>
                <w:sz w:val="20"/>
                <w:szCs w:val="20"/>
                <w:color w:val="auto"/>
              </w:rPr>
            </w:pPr>
            <w:r>
              <w:rPr>
                <w:rFonts w:ascii="Arial" w:cs="Arial" w:eastAsia="Arial" w:hAnsi="Arial"/>
                <w:sz w:val="18"/>
                <w:szCs w:val="18"/>
                <w:b w:val="1"/>
                <w:bCs w:val="1"/>
                <w:color w:val="auto"/>
              </w:rPr>
              <w:t>Exhibits</w:t>
            </w: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5"/>
        </w:trPr>
        <w:tc>
          <w:tcPr>
            <w:tcW w:w="1440" w:type="dxa"/>
            <w:vAlign w:val="bottom"/>
            <w:gridSpan w:val="5"/>
          </w:tcPr>
          <w:p>
            <w:pPr>
              <w:spacing w:after="0"/>
              <w:rPr>
                <w:sz w:val="20"/>
                <w:szCs w:val="20"/>
                <w:color w:val="auto"/>
              </w:rPr>
            </w:pPr>
            <w:r>
              <w:rPr>
                <w:rFonts w:ascii="Arial" w:cs="Arial" w:eastAsia="Arial" w:hAnsi="Arial"/>
                <w:sz w:val="18"/>
                <w:szCs w:val="18"/>
                <w:color w:val="auto"/>
              </w:rPr>
              <w:t>(a) Exhibits</w:t>
            </w:r>
          </w:p>
        </w:tc>
        <w:tc>
          <w:tcPr>
            <w:tcW w:w="3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3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320" w:type="dxa"/>
            <w:vAlign w:val="bottom"/>
            <w:gridSpan w:val="3"/>
            <w:vMerge w:val="restart"/>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w w:val="93"/>
              </w:rPr>
              <w:t>Number</w:t>
            </w:r>
          </w:p>
        </w:tc>
        <w:tc>
          <w:tcPr>
            <w:tcW w:w="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332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80" w:type="dxa"/>
            <w:vAlign w:val="bottom"/>
            <w:gridSpan w:val="6"/>
          </w:tcPr>
          <w:p>
            <w:pPr>
              <w:spacing w:after="0"/>
              <w:rPr>
                <w:sz w:val="20"/>
                <w:szCs w:val="20"/>
                <w:color w:val="auto"/>
              </w:rPr>
            </w:pPr>
            <w:r>
              <w:rPr>
                <w:rFonts w:ascii="Arial" w:cs="Arial" w:eastAsia="Arial" w:hAnsi="Arial"/>
                <w:sz w:val="18"/>
                <w:szCs w:val="18"/>
                <w:color w:val="0000FF"/>
              </w:rPr>
              <w:t>Sixth Amended and Restated Non-Employee Director Compensation Policy (filed herewith)</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80" w:type="dxa"/>
            <w:vAlign w:val="bottom"/>
            <w:gridSpan w:val="6"/>
          </w:tcPr>
          <w:p>
            <w:pPr>
              <w:spacing w:after="0"/>
              <w:rPr>
                <w:sz w:val="20"/>
                <w:szCs w:val="20"/>
                <w:color w:val="auto"/>
              </w:rPr>
            </w:pPr>
            <w:r>
              <w:rPr>
                <w:rFonts w:ascii="Arial" w:cs="Arial" w:eastAsia="Arial" w:hAnsi="Arial"/>
                <w:sz w:val="18"/>
                <w:szCs w:val="18"/>
                <w:color w:val="0000FF"/>
                <w:w w:val="99"/>
              </w:rPr>
              <w:t>Certification of Chief Executive Officer pursuant to Rule 13a-14(a)/15d-14(a) as adopted pursuant to Section</w:t>
            </w:r>
          </w:p>
        </w:tc>
        <w:tc>
          <w:tcPr>
            <w:tcW w:w="1220" w:type="dxa"/>
            <w:vAlign w:val="bottom"/>
            <w:gridSpan w:val="4"/>
          </w:tcPr>
          <w:p>
            <w:pPr>
              <w:ind w:left="80"/>
              <w:spacing w:after="0"/>
              <w:rPr>
                <w:sz w:val="20"/>
                <w:szCs w:val="20"/>
                <w:color w:val="auto"/>
              </w:rPr>
            </w:pPr>
            <w:r>
              <w:rPr>
                <w:rFonts w:ascii="Arial" w:cs="Arial" w:eastAsia="Arial" w:hAnsi="Arial"/>
                <w:sz w:val="18"/>
                <w:szCs w:val="18"/>
                <w:color w:val="0000FF"/>
              </w:rPr>
              <w:t>302 of the</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58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rPr>
              <w:t>Sarbanes-Oxley Act of 2002 (filed herewith)</w:t>
            </w:r>
          </w:p>
        </w:tc>
        <w:tc>
          <w:tcPr>
            <w:tcW w:w="8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EE"/>
            </w:tcBorders>
            <w:shd w:val="clear" w:color="auto" w:fill="0000FF"/>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80" w:type="dxa"/>
            <w:vAlign w:val="bottom"/>
            <w:gridSpan w:val="6"/>
          </w:tcPr>
          <w:p>
            <w:pPr>
              <w:spacing w:after="0"/>
              <w:rPr>
                <w:sz w:val="20"/>
                <w:szCs w:val="20"/>
                <w:color w:val="auto"/>
              </w:rPr>
            </w:pPr>
            <w:r>
              <w:rPr>
                <w:rFonts w:ascii="Arial" w:cs="Arial" w:eastAsia="Arial" w:hAnsi="Arial"/>
                <w:sz w:val="18"/>
                <w:szCs w:val="18"/>
                <w:color w:val="0000FF"/>
              </w:rPr>
              <w:t>Certification of Chief Financial Officer pursuant to Rule 13a-14(a)/15d-14(a) as adopted pursuant to Section</w:t>
            </w:r>
          </w:p>
        </w:tc>
        <w:tc>
          <w:tcPr>
            <w:tcW w:w="1220" w:type="dxa"/>
            <w:vAlign w:val="bottom"/>
            <w:gridSpan w:val="4"/>
          </w:tcPr>
          <w:p>
            <w:pPr>
              <w:ind w:left="20"/>
              <w:spacing w:after="0"/>
              <w:rPr>
                <w:sz w:val="20"/>
                <w:szCs w:val="20"/>
                <w:color w:val="auto"/>
              </w:rPr>
            </w:pPr>
            <w:r>
              <w:rPr>
                <w:rFonts w:ascii="Arial" w:cs="Arial" w:eastAsia="Arial" w:hAnsi="Arial"/>
                <w:sz w:val="18"/>
                <w:szCs w:val="18"/>
                <w:color w:val="0000FF"/>
              </w:rPr>
              <w:t>302 of the</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58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rPr>
              <w:t>Sarbanes-Oxley Act of 2002 (filed herewith)</w:t>
            </w:r>
          </w:p>
        </w:tc>
        <w:tc>
          <w:tcPr>
            <w:tcW w:w="86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EE"/>
            </w:tcBorders>
            <w:shd w:val="clear" w:color="auto" w:fill="0000FF"/>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10"/>
          </w:tcPr>
          <w:p>
            <w:pPr>
              <w:spacing w:after="0"/>
              <w:rPr>
                <w:sz w:val="20"/>
                <w:szCs w:val="20"/>
                <w:color w:val="auto"/>
              </w:rPr>
            </w:pPr>
            <w:r>
              <w:rPr>
                <w:rFonts w:ascii="Arial" w:cs="Arial" w:eastAsia="Arial" w:hAnsi="Arial"/>
                <w:sz w:val="18"/>
                <w:szCs w:val="18"/>
                <w:color w:val="0000FF"/>
              </w:rPr>
              <w:t>Certification of Periodic Report by Chief Executive Officer and Chief Financial Officer pursuant to 18 U.S.C. Section 1350,</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58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rPr>
              <w:t>as adopted pursuant to Section 906 of the Sarbanes-Oxley Act of 2002 (filed herewith)</w:t>
            </w:r>
          </w:p>
        </w:tc>
        <w:tc>
          <w:tcPr>
            <w:tcW w:w="8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4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1420" w:right="400" w:hanging="1358"/>
        <w:spacing w:after="0" w:line="230"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Quarterly Report on Form 10-Q for the quarter ended June 30, 2022, formatted in Inline XBRL (eXtensible Business Reporting Language): (i) the Condensed Consolidated Balance Sheets; (ii) the Condensed Consolidated Statements of Comprehensive Income; (iii) the Condensed Consolidated Statements of Cash Flows; (iv) the Condensed Consolidated Statements of Stockholders’ Equity; and (v) the Notes to Condensed Consolidated Financial Statements</w:t>
      </w:r>
    </w:p>
    <w:p>
      <w:pPr>
        <w:spacing w:after="0" w:line="114" w:lineRule="exact"/>
        <w:rPr>
          <w:sz w:val="20"/>
          <w:szCs w:val="20"/>
          <w:color w:val="auto"/>
        </w:rPr>
      </w:pPr>
    </w:p>
    <w:p>
      <w:pPr>
        <w:ind w:left="1420" w:right="360" w:hanging="1358"/>
        <w:spacing w:after="0" w:line="255" w:lineRule="auto"/>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Cover Page Interactive Data File – The cover page from the Registrant’s Quarterly Report on Form 10-Q for the quarter ended June 30, 2022, formatted in Inline XBRL and contained in Exhibit 101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1" w:lineRule="exact"/>
        <w:rPr>
          <w:sz w:val="20"/>
          <w:szCs w:val="20"/>
          <w:color w:val="auto"/>
        </w:rPr>
      </w:pPr>
    </w:p>
    <w:p>
      <w:pPr>
        <w:ind w:right="420" w:firstLine="499"/>
        <w:spacing w:after="0" w:line="31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b w:val="1"/>
                <w:bCs w:val="1"/>
                <w:color w:val="auto"/>
              </w:rPr>
              <w:t>ALLISON TRANSMISSION HOLDINGS, INC.</w:t>
            </w:r>
          </w:p>
        </w:tc>
        <w:tc>
          <w:tcPr>
            <w:tcW w:w="2020" w:type="dxa"/>
            <w:vAlign w:val="bottom"/>
          </w:tcPr>
          <w:p>
            <w:pPr>
              <w:spacing w:after="0"/>
              <w:rPr>
                <w:sz w:val="21"/>
                <w:szCs w:val="21"/>
                <w:color w:val="auto"/>
              </w:rPr>
            </w:pPr>
          </w:p>
        </w:tc>
      </w:tr>
      <w:tr>
        <w:trPr>
          <w:trHeight w:val="473"/>
        </w:trPr>
        <w:tc>
          <w:tcPr>
            <w:tcW w:w="2160" w:type="dxa"/>
            <w:vAlign w:val="bottom"/>
          </w:tcPr>
          <w:p>
            <w:pPr>
              <w:ind w:left="20"/>
              <w:spacing w:after="0"/>
              <w:rPr>
                <w:sz w:val="20"/>
                <w:szCs w:val="20"/>
                <w:color w:val="auto"/>
              </w:rPr>
            </w:pPr>
            <w:r>
              <w:rPr>
                <w:rFonts w:ascii="Arial" w:cs="Arial" w:eastAsia="Arial" w:hAnsi="Arial"/>
                <w:sz w:val="18"/>
                <w:szCs w:val="18"/>
                <w:color w:val="auto"/>
              </w:rPr>
              <w:t>Date: August 4, 2022</w:t>
            </w:r>
          </w:p>
        </w:tc>
        <w:tc>
          <w:tcPr>
            <w:tcW w:w="900" w:type="dxa"/>
            <w:vAlign w:val="bottom"/>
          </w:tcPr>
          <w:p>
            <w:pPr>
              <w:ind w:left="440"/>
              <w:spacing w:after="0"/>
              <w:rPr>
                <w:sz w:val="20"/>
                <w:szCs w:val="20"/>
                <w:color w:val="auto"/>
              </w:rPr>
            </w:pPr>
            <w:r>
              <w:rPr>
                <w:rFonts w:ascii="Arial" w:cs="Arial" w:eastAsia="Arial" w:hAnsi="Arial"/>
                <w:sz w:val="18"/>
                <w:szCs w:val="18"/>
                <w:color w:val="auto"/>
              </w:rPr>
              <w:t>By:</w:t>
            </w:r>
          </w:p>
        </w:tc>
        <w:tc>
          <w:tcPr>
            <w:tcW w:w="6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David S. Graziosi</w:t>
            </w:r>
          </w:p>
        </w:tc>
        <w:tc>
          <w:tcPr>
            <w:tcW w:w="2020" w:type="dxa"/>
            <w:vAlign w:val="bottom"/>
          </w:tcPr>
          <w:p>
            <w:pPr>
              <w:spacing w:after="0"/>
              <w:rPr>
                <w:sz w:val="24"/>
                <w:szCs w:val="24"/>
                <w:color w:val="auto"/>
              </w:rPr>
            </w:pPr>
          </w:p>
        </w:tc>
      </w:tr>
      <w:tr>
        <w:trPr>
          <w:trHeight w:val="429"/>
        </w:trPr>
        <w:tc>
          <w:tcPr>
            <w:tcW w:w="2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jc w:val="center"/>
              <w:ind w:left="130"/>
              <w:spacing w:after="0"/>
              <w:rPr>
                <w:sz w:val="20"/>
                <w:szCs w:val="20"/>
                <w:color w:val="auto"/>
              </w:rPr>
            </w:pPr>
            <w:r>
              <w:rPr>
                <w:rFonts w:ascii="Arial" w:cs="Arial" w:eastAsia="Arial" w:hAnsi="Arial"/>
                <w:sz w:val="18"/>
                <w:szCs w:val="18"/>
                <w:color w:val="auto"/>
                <w:w w:val="98"/>
              </w:rPr>
              <w:t>Name:</w:t>
            </w:r>
          </w:p>
        </w:tc>
        <w:tc>
          <w:tcPr>
            <w:tcW w:w="5020" w:type="dxa"/>
            <w:vAlign w:val="bottom"/>
          </w:tcPr>
          <w:p>
            <w:pPr>
              <w:ind w:left="220"/>
              <w:spacing w:after="0"/>
              <w:rPr>
                <w:sz w:val="20"/>
                <w:szCs w:val="20"/>
                <w:color w:val="auto"/>
              </w:rPr>
            </w:pPr>
            <w:r>
              <w:rPr>
                <w:rFonts w:ascii="Arial" w:cs="Arial" w:eastAsia="Arial" w:hAnsi="Arial"/>
                <w:sz w:val="18"/>
                <w:szCs w:val="18"/>
                <w:color w:val="auto"/>
              </w:rPr>
              <w:t>David S. Graziosi</w:t>
            </w:r>
          </w:p>
        </w:tc>
        <w:tc>
          <w:tcPr>
            <w:tcW w:w="2020" w:type="dxa"/>
            <w:vAlign w:val="bottom"/>
          </w:tcPr>
          <w:p>
            <w:pPr>
              <w:spacing w:after="0"/>
              <w:rPr>
                <w:sz w:val="24"/>
                <w:szCs w:val="24"/>
                <w:color w:val="auto"/>
              </w:rPr>
            </w:pPr>
          </w:p>
        </w:tc>
      </w:tr>
      <w:tr>
        <w:trPr>
          <w:trHeight w:val="274"/>
        </w:trPr>
        <w:tc>
          <w:tcPr>
            <w:tcW w:w="2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jc w:val="center"/>
              <w:ind w:left="110"/>
              <w:spacing w:after="0"/>
              <w:rPr>
                <w:sz w:val="20"/>
                <w:szCs w:val="20"/>
                <w:color w:val="auto"/>
              </w:rPr>
            </w:pPr>
            <w:r>
              <w:rPr>
                <w:rFonts w:ascii="Arial" w:cs="Arial" w:eastAsia="Arial" w:hAnsi="Arial"/>
                <w:sz w:val="18"/>
                <w:szCs w:val="18"/>
                <w:color w:val="auto"/>
                <w:w w:val="97"/>
              </w:rPr>
              <w:t>Title:</w:t>
            </w:r>
          </w:p>
        </w:tc>
        <w:tc>
          <w:tcPr>
            <w:tcW w:w="5020" w:type="dxa"/>
            <w:vAlign w:val="bottom"/>
          </w:tcPr>
          <w:p>
            <w:pPr>
              <w:ind w:left="220"/>
              <w:spacing w:after="0"/>
              <w:rPr>
                <w:sz w:val="20"/>
                <w:szCs w:val="20"/>
                <w:color w:val="auto"/>
              </w:rPr>
            </w:pPr>
            <w:r>
              <w:rPr>
                <w:rFonts w:ascii="Arial" w:cs="Arial" w:eastAsia="Arial" w:hAnsi="Arial"/>
                <w:sz w:val="18"/>
                <w:szCs w:val="18"/>
                <w:color w:val="auto"/>
              </w:rPr>
              <w:t>Chairman, President and Chief Executive Officer</w:t>
            </w:r>
          </w:p>
        </w:tc>
        <w:tc>
          <w:tcPr>
            <w:tcW w:w="2020" w:type="dxa"/>
            <w:vAlign w:val="bottom"/>
          </w:tcPr>
          <w:p>
            <w:pPr>
              <w:spacing w:after="0"/>
              <w:rPr>
                <w:sz w:val="23"/>
                <w:szCs w:val="23"/>
                <w:color w:val="auto"/>
              </w:rPr>
            </w:pPr>
          </w:p>
        </w:tc>
      </w:tr>
      <w:tr>
        <w:trPr>
          <w:trHeight w:val="239"/>
        </w:trPr>
        <w:tc>
          <w:tcPr>
            <w:tcW w:w="2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c>
          <w:tcPr>
            <w:tcW w:w="2020" w:type="dxa"/>
            <w:vAlign w:val="bottom"/>
          </w:tcPr>
          <w:p>
            <w:pPr>
              <w:spacing w:after="0"/>
              <w:rPr>
                <w:sz w:val="20"/>
                <w:szCs w:val="20"/>
                <w:color w:val="auto"/>
              </w:rPr>
            </w:pPr>
          </w:p>
        </w:tc>
      </w:tr>
      <w:tr>
        <w:trPr>
          <w:trHeight w:val="670"/>
        </w:trPr>
        <w:tc>
          <w:tcPr>
            <w:tcW w:w="2160" w:type="dxa"/>
            <w:vAlign w:val="bottom"/>
          </w:tcPr>
          <w:p>
            <w:pPr>
              <w:ind w:left="20"/>
              <w:spacing w:after="0"/>
              <w:rPr>
                <w:sz w:val="20"/>
                <w:szCs w:val="20"/>
                <w:color w:val="auto"/>
              </w:rPr>
            </w:pPr>
            <w:r>
              <w:rPr>
                <w:rFonts w:ascii="Arial" w:cs="Arial" w:eastAsia="Arial" w:hAnsi="Arial"/>
                <w:sz w:val="18"/>
                <w:szCs w:val="18"/>
                <w:color w:val="auto"/>
              </w:rPr>
              <w:t>Date: August 4, 2022</w:t>
            </w:r>
          </w:p>
        </w:tc>
        <w:tc>
          <w:tcPr>
            <w:tcW w:w="900" w:type="dxa"/>
            <w:vAlign w:val="bottom"/>
          </w:tcPr>
          <w:p>
            <w:pPr>
              <w:ind w:left="440"/>
              <w:spacing w:after="0"/>
              <w:rPr>
                <w:sz w:val="20"/>
                <w:szCs w:val="20"/>
                <w:color w:val="auto"/>
              </w:rPr>
            </w:pPr>
            <w:r>
              <w:rPr>
                <w:rFonts w:ascii="Arial" w:cs="Arial" w:eastAsia="Arial" w:hAnsi="Arial"/>
                <w:sz w:val="18"/>
                <w:szCs w:val="18"/>
                <w:color w:val="auto"/>
              </w:rPr>
              <w:t>By:</w:t>
            </w:r>
          </w:p>
        </w:tc>
        <w:tc>
          <w:tcPr>
            <w:tcW w:w="6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G. Frederick Bohley</w:t>
            </w:r>
          </w:p>
        </w:tc>
        <w:tc>
          <w:tcPr>
            <w:tcW w:w="2020" w:type="dxa"/>
            <w:vAlign w:val="bottom"/>
          </w:tcPr>
          <w:p>
            <w:pPr>
              <w:spacing w:after="0"/>
              <w:rPr>
                <w:sz w:val="24"/>
                <w:szCs w:val="24"/>
                <w:color w:val="auto"/>
              </w:rPr>
            </w:pPr>
          </w:p>
        </w:tc>
      </w:tr>
      <w:tr>
        <w:trPr>
          <w:trHeight w:val="429"/>
        </w:trPr>
        <w:tc>
          <w:tcPr>
            <w:tcW w:w="2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jc w:val="center"/>
              <w:ind w:left="130"/>
              <w:spacing w:after="0"/>
              <w:rPr>
                <w:sz w:val="20"/>
                <w:szCs w:val="20"/>
                <w:color w:val="auto"/>
              </w:rPr>
            </w:pPr>
            <w:r>
              <w:rPr>
                <w:rFonts w:ascii="Arial" w:cs="Arial" w:eastAsia="Arial" w:hAnsi="Arial"/>
                <w:sz w:val="18"/>
                <w:szCs w:val="18"/>
                <w:color w:val="auto"/>
                <w:w w:val="98"/>
              </w:rPr>
              <w:t>Name:</w:t>
            </w:r>
          </w:p>
        </w:tc>
        <w:tc>
          <w:tcPr>
            <w:tcW w:w="5020" w:type="dxa"/>
            <w:vAlign w:val="bottom"/>
          </w:tcPr>
          <w:p>
            <w:pPr>
              <w:ind w:left="220"/>
              <w:spacing w:after="0"/>
              <w:rPr>
                <w:sz w:val="20"/>
                <w:szCs w:val="20"/>
                <w:color w:val="auto"/>
              </w:rPr>
            </w:pPr>
            <w:r>
              <w:rPr>
                <w:rFonts w:ascii="Arial" w:cs="Arial" w:eastAsia="Arial" w:hAnsi="Arial"/>
                <w:sz w:val="18"/>
                <w:szCs w:val="18"/>
                <w:color w:val="auto"/>
              </w:rPr>
              <w:t>G. Frederick Bohley</w:t>
            </w:r>
          </w:p>
        </w:tc>
        <w:tc>
          <w:tcPr>
            <w:tcW w:w="2020" w:type="dxa"/>
            <w:vAlign w:val="bottom"/>
          </w:tcPr>
          <w:p>
            <w:pPr>
              <w:spacing w:after="0"/>
              <w:rPr>
                <w:sz w:val="24"/>
                <w:szCs w:val="24"/>
                <w:color w:val="auto"/>
              </w:rPr>
            </w:pPr>
          </w:p>
        </w:tc>
      </w:tr>
      <w:tr>
        <w:trPr>
          <w:trHeight w:val="220"/>
        </w:trPr>
        <w:tc>
          <w:tcPr>
            <w:tcW w:w="2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jc w:val="center"/>
              <w:ind w:left="110"/>
              <w:spacing w:after="0"/>
              <w:rPr>
                <w:sz w:val="20"/>
                <w:szCs w:val="20"/>
                <w:color w:val="auto"/>
              </w:rPr>
            </w:pPr>
            <w:r>
              <w:rPr>
                <w:rFonts w:ascii="Arial" w:cs="Arial" w:eastAsia="Arial" w:hAnsi="Arial"/>
                <w:sz w:val="18"/>
                <w:szCs w:val="18"/>
                <w:color w:val="auto"/>
                <w:w w:val="97"/>
              </w:rPr>
              <w:t>Title:</w:t>
            </w:r>
          </w:p>
        </w:tc>
        <w:tc>
          <w:tcPr>
            <w:tcW w:w="5020" w:type="dxa"/>
            <w:vAlign w:val="bottom"/>
          </w:tcPr>
          <w:p>
            <w:pPr>
              <w:ind w:left="220"/>
              <w:spacing w:after="0"/>
              <w:rPr>
                <w:sz w:val="20"/>
                <w:szCs w:val="20"/>
                <w:color w:val="auto"/>
              </w:rPr>
            </w:pPr>
            <w:r>
              <w:rPr>
                <w:rFonts w:ascii="Arial" w:cs="Arial" w:eastAsia="Arial" w:hAnsi="Arial"/>
                <w:sz w:val="18"/>
                <w:szCs w:val="18"/>
                <w:color w:val="auto"/>
                <w:w w:val="99"/>
              </w:rPr>
              <w:t>Senior Vice President, Chief Financial Officer and Treasurer</w:t>
            </w:r>
          </w:p>
        </w:tc>
        <w:tc>
          <w:tcPr>
            <w:tcW w:w="2020" w:type="dxa"/>
            <w:vAlign w:val="bottom"/>
          </w:tcPr>
          <w:p>
            <w:pPr>
              <w:spacing w:after="0"/>
              <w:rPr>
                <w:sz w:val="19"/>
                <w:szCs w:val="19"/>
                <w:color w:val="auto"/>
              </w:rPr>
            </w:pPr>
          </w:p>
        </w:tc>
      </w:tr>
      <w:tr>
        <w:trPr>
          <w:trHeight w:val="239"/>
        </w:trPr>
        <w:tc>
          <w:tcPr>
            <w:tcW w:w="2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(Principal Financial Officer and Principal Accounting Officer)</w:t>
            </w:r>
          </w:p>
        </w:tc>
        <w:tc>
          <w:tcPr>
            <w:tcW w:w="2020" w:type="dxa"/>
            <w:vAlign w:val="bottom"/>
          </w:tcPr>
          <w:p>
            <w:pPr>
              <w:spacing w:after="0"/>
              <w:rPr>
                <w:sz w:val="20"/>
                <w:szCs w:val="20"/>
                <w:color w:val="auto"/>
              </w:rPr>
            </w:pPr>
          </w:p>
        </w:tc>
      </w:tr>
      <w:tr>
        <w:trPr>
          <w:trHeight w:val="876"/>
        </w:trPr>
        <w:tc>
          <w:tcPr>
            <w:tcW w:w="2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20" w:type="dxa"/>
            <w:vAlign w:val="bottom"/>
          </w:tcPr>
          <w:p>
            <w:pPr>
              <w:ind w:left="1320"/>
              <w:spacing w:after="0"/>
              <w:rPr>
                <w:sz w:val="20"/>
                <w:szCs w:val="20"/>
                <w:color w:val="auto"/>
              </w:rPr>
            </w:pPr>
            <w:r>
              <w:rPr>
                <w:rFonts w:ascii="Arial" w:cs="Arial" w:eastAsia="Arial" w:hAnsi="Arial"/>
                <w:sz w:val="18"/>
                <w:szCs w:val="18"/>
                <w:color w:val="auto"/>
              </w:rPr>
              <w:t>42</w:t>
            </w:r>
          </w:p>
        </w:tc>
        <w:tc>
          <w:tcPr>
            <w:tcW w:w="2020" w:type="dxa"/>
            <w:vAlign w:val="bottom"/>
          </w:tcPr>
          <w:p>
            <w:pPr>
              <w:spacing w:after="0"/>
              <w:rPr>
                <w:sz w:val="24"/>
                <w:szCs w:val="24"/>
                <w:color w:val="auto"/>
              </w:rPr>
            </w:pPr>
          </w:p>
        </w:tc>
      </w:tr>
      <w:tr>
        <w:trPr>
          <w:trHeight w:val="124"/>
        </w:trPr>
        <w:tc>
          <w:tcPr>
            <w:tcW w:w="2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50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2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b w:val="1"/>
          <w:bCs w:val="1"/>
          <w:color w:val="auto"/>
        </w:rPr>
        <w:t>ALLISON TRANSMISSION HOLDINGS, INC.</w:t>
      </w:r>
    </w:p>
    <w:p>
      <w:pPr>
        <w:spacing w:after="0" w:line="20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Sixth Amended and Restated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Policy</w:t>
      </w:r>
    </w:p>
    <w:p>
      <w:pPr>
        <w:spacing w:after="0" w:line="181" w:lineRule="exact"/>
        <w:rPr>
          <w:sz w:val="20"/>
          <w:szCs w:val="20"/>
          <w:color w:val="auto"/>
        </w:rPr>
      </w:pPr>
    </w:p>
    <w:p>
      <w:pPr>
        <w:jc w:val="both"/>
        <w:ind w:firstLine="757"/>
        <w:spacing w:after="0" w:line="243" w:lineRule="auto"/>
        <w:tabs>
          <w:tab w:leader="none" w:pos="149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This Sixth Amended and Restated Non-Employee Director Compensation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as set forth herein, amends and restates that certain Third Amended and Restated Non-Employee Director Compensation Policy, previously adopted by the Compensation Committee of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Allison Transmission Holdings,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shall be effective as of May 5, 2022. Capitalized but undefined terms used herein shall have the meanings provided for in the Allison Transmission Holdings, Inc. 2015 Equity Incentive Award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ind w:firstLine="757"/>
        <w:spacing w:after="0" w:line="270" w:lineRule="auto"/>
        <w:tabs>
          <w:tab w:leader="none" w:pos="149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Retainer and Other Fees</w:t>
      </w:r>
      <w:r>
        <w:rPr>
          <w:rFonts w:ascii="Times New Roman" w:cs="Times New Roman" w:eastAsia="Times New Roman" w:hAnsi="Times New Roman"/>
          <w:sz w:val="22"/>
          <w:szCs w:val="22"/>
          <w:color w:val="auto"/>
        </w:rPr>
        <w:t>. Each member of the Board who is not employed by the Company or one of its subsidiaries (a “</w:t>
      </w:r>
      <w:r>
        <w:rPr>
          <w:rFonts w:ascii="Times New Roman" w:cs="Times New Roman" w:eastAsia="Times New Roman" w:hAnsi="Times New Roman"/>
          <w:sz w:val="22"/>
          <w:szCs w:val="22"/>
          <w:u w:val="single" w:color="auto"/>
          <w:color w:val="auto"/>
        </w:rPr>
        <w:t>Non-Employee Director</w:t>
      </w:r>
      <w:r>
        <w:rPr>
          <w:rFonts w:ascii="Times New Roman" w:cs="Times New Roman" w:eastAsia="Times New Roman" w:hAnsi="Times New Roman"/>
          <w:sz w:val="22"/>
          <w:szCs w:val="22"/>
          <w:color w:val="auto"/>
        </w:rPr>
        <w:t>”) shall be entitled to an annual retainer and other fee(s) as follows:</w:t>
      </w:r>
    </w:p>
    <w:p>
      <w:pPr>
        <w:spacing w:after="0" w:line="145" w:lineRule="exact"/>
        <w:rPr>
          <w:sz w:val="20"/>
          <w:szCs w:val="20"/>
          <w:color w:val="auto"/>
        </w:rPr>
      </w:pPr>
    </w:p>
    <w:p>
      <w:pPr>
        <w:jc w:val="both"/>
        <w:ind w:left="100" w:firstLine="1498"/>
        <w:spacing w:after="0"/>
        <w:rPr>
          <w:sz w:val="20"/>
          <w:szCs w:val="20"/>
          <w:color w:val="auto"/>
        </w:rPr>
      </w:pPr>
      <w:r>
        <w:rPr>
          <w:rFonts w:ascii="Times New Roman" w:cs="Times New Roman" w:eastAsia="Times New Roman" w:hAnsi="Times New Roman"/>
          <w:sz w:val="22"/>
          <w:szCs w:val="22"/>
          <w:color w:val="auto"/>
        </w:rPr>
        <w:t>a. The annual retainer fee for service on the Board shall be $85,000 (such amount shall also be referred to as, the “</w:t>
      </w:r>
      <w:r>
        <w:rPr>
          <w:rFonts w:ascii="Times New Roman" w:cs="Times New Roman" w:eastAsia="Times New Roman" w:hAnsi="Times New Roman"/>
          <w:sz w:val="22"/>
          <w:szCs w:val="22"/>
          <w:u w:val="single" w:color="auto"/>
          <w:color w:val="auto"/>
        </w:rPr>
        <w:t>Annual Retainer</w:t>
      </w:r>
      <w:r>
        <w:rPr>
          <w:rFonts w:ascii="Times New Roman" w:cs="Times New Roman" w:eastAsia="Times New Roman" w:hAnsi="Times New Roman"/>
          <w:sz w:val="22"/>
          <w:szCs w:val="22"/>
          <w:color w:val="auto"/>
        </w:rPr>
        <w:t xml:space="preserve">”), with the Annual Retainer payable at the Non-Employee Director’s election </w:t>
      </w:r>
      <w:r>
        <w:rPr>
          <w:rFonts w:ascii="Times New Roman" w:cs="Times New Roman" w:eastAsia="Times New Roman" w:hAnsi="Times New Roman"/>
          <w:sz w:val="22"/>
          <w:szCs w:val="22"/>
          <w:i w:val="1"/>
          <w:iCs w:val="1"/>
          <w:color w:val="auto"/>
        </w:rPr>
        <w:t>either</w:t>
      </w:r>
      <w:r>
        <w:rPr>
          <w:rFonts w:ascii="Times New Roman" w:cs="Times New Roman" w:eastAsia="Times New Roman" w:hAnsi="Times New Roman"/>
          <w:sz w:val="22"/>
          <w:szCs w:val="22"/>
          <w:color w:val="auto"/>
        </w:rPr>
        <w:t xml:space="preserve"> 100% in fully vested Common Stock granted under the Plan (valued based on the Fair Market Value of the Common Stock on the date of grant), 100% in cash, </w:t>
      </w:r>
      <w:r>
        <w:rPr>
          <w:rFonts w:ascii="Times New Roman" w:cs="Times New Roman" w:eastAsia="Times New Roman" w:hAnsi="Times New Roman"/>
          <w:sz w:val="22"/>
          <w:szCs w:val="22"/>
          <w:i w:val="1"/>
          <w:iCs w:val="1"/>
          <w:color w:val="auto"/>
        </w:rPr>
        <w:t>or</w:t>
      </w:r>
      <w:r>
        <w:rPr>
          <w:rFonts w:ascii="Times New Roman" w:cs="Times New Roman" w:eastAsia="Times New Roman" w:hAnsi="Times New Roman"/>
          <w:sz w:val="22"/>
          <w:szCs w:val="22"/>
          <w:color w:val="auto"/>
        </w:rPr>
        <w:t xml:space="preserve"> 50% in fully vested Common Stock granted under the Plan and 50% in cash (if no election is made, the Annual Retainer will be paid 100% in cash);</w:t>
      </w:r>
    </w:p>
    <w:p>
      <w:pPr>
        <w:spacing w:after="0" w:line="191" w:lineRule="exact"/>
        <w:rPr>
          <w:sz w:val="20"/>
          <w:szCs w:val="20"/>
          <w:color w:val="auto"/>
        </w:rPr>
      </w:pPr>
    </w:p>
    <w:p>
      <w:pPr>
        <w:jc w:val="both"/>
        <w:ind w:left="100" w:firstLine="1498"/>
        <w:spacing w:after="0" w:line="258" w:lineRule="auto"/>
        <w:rPr>
          <w:sz w:val="20"/>
          <w:szCs w:val="20"/>
          <w:color w:val="auto"/>
        </w:rPr>
      </w:pPr>
      <w:r>
        <w:rPr>
          <w:rFonts w:ascii="Times New Roman" w:cs="Times New Roman" w:eastAsia="Times New Roman" w:hAnsi="Times New Roman"/>
          <w:sz w:val="22"/>
          <w:szCs w:val="22"/>
          <w:color w:val="auto"/>
        </w:rPr>
        <w:t>b. The annual retainer fee for service as Chair of the Audit Committee shall be an additional $22,000, payable in cash (the “</w:t>
      </w:r>
      <w:r>
        <w:rPr>
          <w:rFonts w:ascii="Times New Roman" w:cs="Times New Roman" w:eastAsia="Times New Roman" w:hAnsi="Times New Roman"/>
          <w:sz w:val="22"/>
          <w:szCs w:val="22"/>
          <w:u w:val="single" w:color="auto"/>
          <w:color w:val="auto"/>
        </w:rPr>
        <w:t>Audit Chair Fee</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ind w:left="100" w:right="580" w:firstLine="1498"/>
        <w:spacing w:after="0" w:line="258" w:lineRule="auto"/>
        <w:rPr>
          <w:sz w:val="20"/>
          <w:szCs w:val="20"/>
          <w:color w:val="auto"/>
        </w:rPr>
      </w:pPr>
      <w:r>
        <w:rPr>
          <w:rFonts w:ascii="Times New Roman" w:cs="Times New Roman" w:eastAsia="Times New Roman" w:hAnsi="Times New Roman"/>
          <w:sz w:val="22"/>
          <w:szCs w:val="22"/>
          <w:color w:val="auto"/>
        </w:rPr>
        <w:t>c. The annual retainer fee for service as Chair of the Compensation Committee shall be an additional $15,000, payable in cash (the “</w:t>
      </w:r>
      <w:r>
        <w:rPr>
          <w:rFonts w:ascii="Times New Roman" w:cs="Times New Roman" w:eastAsia="Times New Roman" w:hAnsi="Times New Roman"/>
          <w:sz w:val="22"/>
          <w:szCs w:val="22"/>
          <w:u w:val="single" w:color="auto"/>
          <w:color w:val="auto"/>
        </w:rPr>
        <w:t>Compensation Chair Fee</w:t>
      </w:r>
      <w:r>
        <w:rPr>
          <w:rFonts w:ascii="Times New Roman" w:cs="Times New Roman" w:eastAsia="Times New Roman" w:hAnsi="Times New Roman"/>
          <w:sz w:val="22"/>
          <w:szCs w:val="22"/>
          <w:color w:val="auto"/>
        </w:rPr>
        <w:t>”);</w:t>
      </w:r>
    </w:p>
    <w:p>
      <w:pPr>
        <w:spacing w:after="0" w:line="157" w:lineRule="exact"/>
        <w:rPr>
          <w:sz w:val="20"/>
          <w:szCs w:val="20"/>
          <w:color w:val="auto"/>
        </w:rPr>
      </w:pPr>
    </w:p>
    <w:p>
      <w:pPr>
        <w:jc w:val="both"/>
        <w:ind w:left="100" w:right="20" w:firstLine="1498"/>
        <w:spacing w:after="0" w:line="270" w:lineRule="auto"/>
        <w:rPr>
          <w:sz w:val="20"/>
          <w:szCs w:val="20"/>
          <w:color w:val="auto"/>
        </w:rPr>
      </w:pPr>
      <w:r>
        <w:rPr>
          <w:rFonts w:ascii="Times New Roman" w:cs="Times New Roman" w:eastAsia="Times New Roman" w:hAnsi="Times New Roman"/>
          <w:sz w:val="22"/>
          <w:szCs w:val="22"/>
          <w:color w:val="auto"/>
        </w:rPr>
        <w:t>d. The annual retainer fee for service as a Chair of a committee of the Board (other than the Audit or the Compensation Committee) shall be an additional $11,500, payable in cash (the “</w:t>
      </w:r>
      <w:r>
        <w:rPr>
          <w:rFonts w:ascii="Times New Roman" w:cs="Times New Roman" w:eastAsia="Times New Roman" w:hAnsi="Times New Roman"/>
          <w:sz w:val="22"/>
          <w:szCs w:val="22"/>
          <w:u w:val="single" w:color="auto"/>
          <w:color w:val="auto"/>
        </w:rPr>
        <w:t>Other Chair Fee</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jc w:val="both"/>
        <w:ind w:left="100" w:firstLine="1498"/>
        <w:spacing w:after="0" w:line="270" w:lineRule="auto"/>
        <w:rPr>
          <w:sz w:val="20"/>
          <w:szCs w:val="20"/>
          <w:color w:val="auto"/>
        </w:rPr>
      </w:pPr>
      <w:r>
        <w:rPr>
          <w:rFonts w:ascii="Times New Roman" w:cs="Times New Roman" w:eastAsia="Times New Roman" w:hAnsi="Times New Roman"/>
          <w:sz w:val="22"/>
          <w:szCs w:val="22"/>
          <w:color w:val="auto"/>
        </w:rPr>
        <w:t>e. The annual retainer fee for service as a Non-Employee Director on the Audit Committee shall be an additional $12,000, payable in cash (the “</w:t>
      </w:r>
      <w:r>
        <w:rPr>
          <w:rFonts w:ascii="Times New Roman" w:cs="Times New Roman" w:eastAsia="Times New Roman" w:hAnsi="Times New Roman"/>
          <w:sz w:val="22"/>
          <w:szCs w:val="22"/>
          <w:u w:val="single" w:color="auto"/>
          <w:color w:val="auto"/>
        </w:rPr>
        <w:t>Audit Committee Service Fee</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ind w:left="100" w:right="760" w:firstLine="1498"/>
        <w:spacing w:after="0" w:line="258" w:lineRule="auto"/>
        <w:rPr>
          <w:sz w:val="20"/>
          <w:szCs w:val="20"/>
          <w:color w:val="auto"/>
        </w:rPr>
      </w:pPr>
      <w:r>
        <w:rPr>
          <w:rFonts w:ascii="Times New Roman" w:cs="Times New Roman" w:eastAsia="Times New Roman" w:hAnsi="Times New Roman"/>
          <w:sz w:val="22"/>
          <w:szCs w:val="22"/>
          <w:color w:val="auto"/>
        </w:rPr>
        <w:t>f. The annual retainer fee for service as a Non-Employee Director on the Compensation Committee shall be an additional $7,500, payable in cash (the “</w:t>
      </w:r>
      <w:r>
        <w:rPr>
          <w:rFonts w:ascii="Times New Roman" w:cs="Times New Roman" w:eastAsia="Times New Roman" w:hAnsi="Times New Roman"/>
          <w:sz w:val="22"/>
          <w:szCs w:val="22"/>
          <w:u w:val="single" w:color="auto"/>
          <w:color w:val="auto"/>
        </w:rPr>
        <w:t>Compensation Committee Service Fee</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left="100" w:firstLine="1498"/>
        <w:spacing w:after="0" w:line="250" w:lineRule="auto"/>
        <w:rPr>
          <w:sz w:val="20"/>
          <w:szCs w:val="20"/>
          <w:color w:val="auto"/>
        </w:rPr>
      </w:pPr>
      <w:r>
        <w:rPr>
          <w:rFonts w:ascii="Times New Roman" w:cs="Times New Roman" w:eastAsia="Times New Roman" w:hAnsi="Times New Roman"/>
          <w:sz w:val="22"/>
          <w:szCs w:val="22"/>
          <w:color w:val="auto"/>
        </w:rPr>
        <w:t>g. The annual retainer fee for service as a Non-Employee Director on a committee of the Board other than the Audit or Compensation Committee shall be an additional $6,500, payable in cash (the “</w:t>
      </w:r>
      <w:r>
        <w:rPr>
          <w:rFonts w:ascii="Times New Roman" w:cs="Times New Roman" w:eastAsia="Times New Roman" w:hAnsi="Times New Roman"/>
          <w:sz w:val="22"/>
          <w:szCs w:val="22"/>
          <w:u w:val="single" w:color="auto"/>
          <w:color w:val="auto"/>
        </w:rPr>
        <w:t>Other Committee Service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Fee</w:t>
      </w:r>
      <w:r>
        <w:rPr>
          <w:rFonts w:ascii="Times New Roman" w:cs="Times New Roman" w:eastAsia="Times New Roman" w:hAnsi="Times New Roman"/>
          <w:sz w:val="22"/>
          <w:szCs w:val="22"/>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ind w:left="100" w:firstLine="1498"/>
        <w:spacing w:after="0" w:line="270" w:lineRule="auto"/>
        <w:rPr>
          <w:sz w:val="20"/>
          <w:szCs w:val="20"/>
          <w:color w:val="auto"/>
        </w:rPr>
      </w:pPr>
      <w:r>
        <w:rPr>
          <w:rFonts w:ascii="Times New Roman" w:cs="Times New Roman" w:eastAsia="Times New Roman" w:hAnsi="Times New Roman"/>
          <w:sz w:val="22"/>
          <w:szCs w:val="22"/>
          <w:color w:val="auto"/>
        </w:rPr>
        <w:t>h. The Board leadership fee for service as the Non-Executive Chairman of the Board shall be an additional $50,000, payable in cash (the “Non-Executive Chairman Fee”); and</w:t>
      </w:r>
    </w:p>
    <w:p>
      <w:pPr>
        <w:spacing w:after="0" w:line="145" w:lineRule="exact"/>
        <w:rPr>
          <w:sz w:val="20"/>
          <w:szCs w:val="20"/>
          <w:color w:val="auto"/>
        </w:rPr>
      </w:pPr>
    </w:p>
    <w:p>
      <w:pPr>
        <w:ind w:left="100" w:firstLine="1498"/>
        <w:spacing w:after="0" w:line="258" w:lineRule="auto"/>
        <w:rPr>
          <w:sz w:val="20"/>
          <w:szCs w:val="20"/>
          <w:color w:val="auto"/>
        </w:rPr>
      </w:pPr>
      <w:r>
        <w:rPr>
          <w:rFonts w:ascii="Times New Roman" w:cs="Times New Roman" w:eastAsia="Times New Roman" w:hAnsi="Times New Roman"/>
          <w:sz w:val="22"/>
          <w:szCs w:val="22"/>
          <w:color w:val="auto"/>
        </w:rPr>
        <w:t>i. The Board leadership fee for service as the Lead Director of the Board shall be an additional $50,000 (the “</w:t>
      </w:r>
      <w:r>
        <w:rPr>
          <w:rFonts w:ascii="Times New Roman" w:cs="Times New Roman" w:eastAsia="Times New Roman" w:hAnsi="Times New Roman"/>
          <w:sz w:val="22"/>
          <w:szCs w:val="22"/>
          <w:u w:val="single" w:color="auto"/>
          <w:color w:val="auto"/>
        </w:rPr>
        <w:t>Lead Director Fee</w:t>
      </w:r>
      <w:r>
        <w:rPr>
          <w:rFonts w:ascii="Times New Roman" w:cs="Times New Roman" w:eastAsia="Times New Roman" w:hAnsi="Times New Roman"/>
          <w:sz w:val="22"/>
          <w:szCs w:val="22"/>
          <w:color w:val="auto"/>
        </w:rPr>
        <w:t>,” and together with the fees in clauses (b) through (h), the “</w:t>
      </w:r>
      <w:r>
        <w:rPr>
          <w:rFonts w:ascii="Times New Roman" w:cs="Times New Roman" w:eastAsia="Times New Roman" w:hAnsi="Times New Roman"/>
          <w:sz w:val="22"/>
          <w:szCs w:val="22"/>
          <w:u w:val="single" w:color="auto"/>
          <w:color w:val="auto"/>
        </w:rPr>
        <w:t>Other Fees</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ind w:firstLine="1498"/>
        <w:spacing w:after="0" w:line="258" w:lineRule="auto"/>
        <w:rPr>
          <w:sz w:val="20"/>
          <w:szCs w:val="20"/>
          <w:color w:val="auto"/>
        </w:rPr>
      </w:pPr>
      <w:r>
        <w:rPr>
          <w:rFonts w:ascii="Times New Roman" w:cs="Times New Roman" w:eastAsia="Times New Roman" w:hAnsi="Times New Roman"/>
          <w:sz w:val="22"/>
          <w:szCs w:val="22"/>
          <w:color w:val="auto"/>
        </w:rPr>
        <w:t>In no event shall a Non-Employee Director receive a fee pursuant to clause (e), (f) or (g) with respect to a committee that the Non-Employee Director serves as its Chair for the applicable year.</w:t>
      </w:r>
    </w:p>
    <w:p>
      <w:pPr>
        <w:spacing w:after="0" w:line="171" w:lineRule="exact"/>
        <w:rPr>
          <w:sz w:val="20"/>
          <w:szCs w:val="20"/>
          <w:color w:val="auto"/>
        </w:rPr>
      </w:pPr>
    </w:p>
    <w:p>
      <w:pPr>
        <w:jc w:val="both"/>
        <w:ind w:firstLine="757"/>
        <w:spacing w:after="0"/>
        <w:tabs>
          <w:tab w:leader="none" w:pos="149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 of Payment of Annual Retainer and Other Fees</w:t>
      </w:r>
      <w:r>
        <w:rPr>
          <w:rFonts w:ascii="Times New Roman" w:cs="Times New Roman" w:eastAsia="Times New Roman" w:hAnsi="Times New Roman"/>
          <w:sz w:val="22"/>
          <w:szCs w:val="22"/>
          <w:color w:val="auto"/>
        </w:rPr>
        <w:t>. The Annual Retainer and Other Fees payable hereunder are intended to cover service from one regular annual stockholders meeting to the next and, unless a deferral election is made as provided below, the Annual Retainer and Other Fees shall be paid quarterly in arrears in equal installments following the date of the Company’s annual stockholders meeting, without any requirement of additional Board action in connection therewith. The Annual Retainer and Other Fees shall be subject to the Non-Employee Director’s continued service on the Board on each applicable payment date.</w:t>
      </w:r>
    </w:p>
    <w:p>
      <w:pPr>
        <w:spacing w:after="0" w:line="181" w:lineRule="exact"/>
        <w:rPr>
          <w:rFonts w:ascii="Times New Roman" w:cs="Times New Roman" w:eastAsia="Times New Roman" w:hAnsi="Times New Roman"/>
          <w:sz w:val="22"/>
          <w:szCs w:val="22"/>
          <w:color w:val="auto"/>
        </w:rPr>
      </w:pPr>
    </w:p>
    <w:p>
      <w:pPr>
        <w:jc w:val="both"/>
        <w:ind w:firstLine="757"/>
        <w:spacing w:after="0" w:line="237" w:lineRule="auto"/>
        <w:tabs>
          <w:tab w:leader="none" w:pos="149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Equity Award</w:t>
      </w:r>
      <w:r>
        <w:rPr>
          <w:rFonts w:ascii="Times New Roman" w:cs="Times New Roman" w:eastAsia="Times New Roman" w:hAnsi="Times New Roman"/>
          <w:sz w:val="22"/>
          <w:szCs w:val="22"/>
          <w:color w:val="auto"/>
        </w:rPr>
        <w:t>. Each Non-Employee Director shall be entitled to an annual grant of Restricted Stock Units under the Plan covering shares of Common Stock with a grant date Fair Market Value of $145,000 (the “</w:t>
      </w:r>
      <w:r>
        <w:rPr>
          <w:rFonts w:ascii="Times New Roman" w:cs="Times New Roman" w:eastAsia="Times New Roman" w:hAnsi="Times New Roman"/>
          <w:sz w:val="22"/>
          <w:szCs w:val="22"/>
          <w:u w:val="single" w:color="auto"/>
          <w:color w:val="auto"/>
        </w:rPr>
        <w:t>Annual Equity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The Annual Equity Award shall be granted as of the next business day after the date of the Company’s annual stockholders meeting, without any requirement of additional Board action in connection therewith, and will vest on the first to occur of (A) date of the Company’s next regular annual stockholders meeting in the year following the year of grant, (B) the date of the Non-Employee Director’s Separation from Service due to death or Disability, or (C) the date of a Change in Control, subject to continued service as a Non-Employee Director through the applicable vesting date. Any Annual Equity Award that does not vest on or prior to the date of the Non-Employee Director’s Separation from Service shall be immediately forfeited. The Restricted Stock Units shall be granted pursuant and subject to the terms set forth in the written agreement previously approved by the Board and duly executed by an executive officer of the Company. Unless a deferral election is made as provided below, the Restricted Stock Units will be distributed in actual shares of Common Stock, or, at the Company’s election, cash, in either case promptly (within 30 days) upon vesting.</w:t>
      </w:r>
    </w:p>
    <w:p>
      <w:pPr>
        <w:spacing w:after="0" w:line="197" w:lineRule="exact"/>
        <w:rPr>
          <w:rFonts w:ascii="Times New Roman" w:cs="Times New Roman" w:eastAsia="Times New Roman" w:hAnsi="Times New Roman"/>
          <w:sz w:val="22"/>
          <w:szCs w:val="22"/>
          <w:color w:val="auto"/>
        </w:rPr>
      </w:pPr>
    </w:p>
    <w:p>
      <w:pPr>
        <w:jc w:val="both"/>
        <w:ind w:firstLine="757"/>
        <w:spacing w:after="0" w:line="237" w:lineRule="auto"/>
        <w:tabs>
          <w:tab w:leader="none" w:pos="149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Deferral Elections</w:t>
      </w:r>
      <w:r>
        <w:rPr>
          <w:rFonts w:ascii="Times New Roman" w:cs="Times New Roman" w:eastAsia="Times New Roman" w:hAnsi="Times New Roman"/>
          <w:sz w:val="22"/>
          <w:szCs w:val="22"/>
          <w:color w:val="auto"/>
        </w:rPr>
        <w:t>. A Non-Employee Director may elect to receive deferred stock units (“</w:t>
      </w:r>
      <w:r>
        <w:rPr>
          <w:rFonts w:ascii="Times New Roman" w:cs="Times New Roman" w:eastAsia="Times New Roman" w:hAnsi="Times New Roman"/>
          <w:sz w:val="22"/>
          <w:szCs w:val="22"/>
          <w:u w:val="single" w:color="auto"/>
          <w:color w:val="auto"/>
        </w:rPr>
        <w:t>Deferred Stock</w:t>
      </w:r>
      <w:r>
        <w:rPr>
          <w:rFonts w:ascii="Times New Roman" w:cs="Times New Roman" w:eastAsia="Times New Roman" w:hAnsi="Times New Roman"/>
          <w:sz w:val="22"/>
          <w:szCs w:val="22"/>
          <w:color w:val="auto"/>
        </w:rPr>
        <w:t>”) in lieu of (a) some or all of the fully vested stock awards constituting his or her Annual Retainer, (b) all of the cash constituting his or her Other Fees and (iii) some or all of the Restricted Stock Units constituting his or her Annual Equity Award. Any such Deferred Stock that relates to an Annual Equity Award shall be subject to the same vesting provisions as described in Section 4 above and will be immediately forfeited to the extent the Deferred Stock does not vest in accordance with such provisions. If the Non-Employee Director elects to receive Deferred Stock, the units will be credited to a bookkeeping account under the Company’s Non-Employee Director Deferred Compensation Plan, where each unit will be equivalent in value to one share of Common Stock, and the units will be distributed in actual shares of Common Stock, or at the Company’s election, cash, at the earlier of the Non-Employee Director’s Separation from Service on the Board or a Change in Control, as described more fully in and in each case subject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44" w:name="page45"/>
    <w:bookmarkEnd w:id="44"/>
    <w:p>
      <w:pPr>
        <w:jc w:val="both"/>
        <w:spacing w:after="0" w:line="243" w:lineRule="auto"/>
        <w:rPr>
          <w:sz w:val="20"/>
          <w:szCs w:val="20"/>
          <w:color w:val="auto"/>
        </w:rPr>
      </w:pPr>
      <w:r>
        <w:rPr>
          <w:rFonts w:ascii="Times New Roman" w:cs="Times New Roman" w:eastAsia="Times New Roman" w:hAnsi="Times New Roman"/>
          <w:sz w:val="22"/>
          <w:szCs w:val="22"/>
          <w:color w:val="auto"/>
        </w:rPr>
        <w:t>terms and conditions of the Company’s Non-Employee Director Deferred Compensation Plan (the “</w:t>
      </w:r>
      <w:r>
        <w:rPr>
          <w:rFonts w:ascii="Times New Roman" w:cs="Times New Roman" w:eastAsia="Times New Roman" w:hAnsi="Times New Roman"/>
          <w:sz w:val="22"/>
          <w:szCs w:val="22"/>
          <w:u w:val="single" w:color="auto"/>
          <w:color w:val="auto"/>
        </w:rPr>
        <w:t>Director Deferred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Compensation Plan</w:t>
      </w:r>
      <w:r>
        <w:rPr>
          <w:rFonts w:ascii="Times New Roman" w:cs="Times New Roman" w:eastAsia="Times New Roman" w:hAnsi="Times New Roman"/>
          <w:sz w:val="22"/>
          <w:szCs w:val="22"/>
          <w:color w:val="auto"/>
        </w:rPr>
        <w:t>”). All deferral elections must be made in accordance with and are subject to the terms and conditions of the Director Deferred Compensation Plan. As used in this paragraph and in paragraph 5(i), the terms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have meanings assigned to them in the Director Deferred Compensation Plan.</w:t>
      </w:r>
    </w:p>
    <w:p>
      <w:pPr>
        <w:spacing w:after="0" w:line="189" w:lineRule="exact"/>
        <w:rPr>
          <w:sz w:val="20"/>
          <w:szCs w:val="20"/>
          <w:color w:val="auto"/>
        </w:rPr>
      </w:pPr>
    </w:p>
    <w:p>
      <w:pPr>
        <w:jc w:val="both"/>
        <w:ind w:firstLine="757"/>
        <w:spacing w:after="0" w:line="239" w:lineRule="auto"/>
        <w:tabs>
          <w:tab w:leader="none" w:pos="14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Directors Commencing Service After the Annual Stockholders Meeting; Partial Year Roles</w:t>
      </w:r>
      <w:r>
        <w:rPr>
          <w:rFonts w:ascii="Times New Roman" w:cs="Times New Roman" w:eastAsia="Times New Roman" w:hAnsi="Times New Roman"/>
          <w:sz w:val="22"/>
          <w:szCs w:val="22"/>
          <w:color w:val="auto"/>
        </w:rPr>
        <w:t>. If a Non-Employee Director commences service on the Board after the date of the Company’s regular annual stockholders meeting, the Non-Employee Director will receive a pro-rated portion the Annual Retainer, Other Fees, as applicable, and the Annual Equity Grant (based on the numbers of whole months elapsed since the most recent regular annual stockholders meeting). If a Non-Employee Director commences service on a committee of the Board, as the Non-Executive Chairman or as the Lead Director the Board in the middle of a service period, the Board may pro-rate any Other Fees otherwise payable with respect to such service and the payment date shall be within thirty days of such appointment, subject to any deferral elections.</w:t>
      </w:r>
    </w:p>
    <w:p>
      <w:pPr>
        <w:spacing w:after="0" w:line="191" w:lineRule="exact"/>
        <w:rPr>
          <w:rFonts w:ascii="Times New Roman" w:cs="Times New Roman" w:eastAsia="Times New Roman" w:hAnsi="Times New Roman"/>
          <w:sz w:val="22"/>
          <w:szCs w:val="22"/>
          <w:color w:val="auto"/>
        </w:rPr>
      </w:pPr>
    </w:p>
    <w:p>
      <w:pPr>
        <w:ind w:firstLine="757"/>
        <w:spacing w:after="0" w:line="258" w:lineRule="auto"/>
        <w:tabs>
          <w:tab w:leader="none" w:pos="14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Other Plan Provisions</w:t>
      </w:r>
      <w:r>
        <w:rPr>
          <w:rFonts w:ascii="Times New Roman" w:cs="Times New Roman" w:eastAsia="Times New Roman" w:hAnsi="Times New Roman"/>
          <w:sz w:val="22"/>
          <w:szCs w:val="22"/>
          <w:color w:val="auto"/>
        </w:rPr>
        <w:t>. All of the provisions of the Plan shall apply to the Awards granted automatically pursuant to this Policy, except to the extent such provisions are inconsistent with this Policy.</w:t>
      </w:r>
    </w:p>
    <w:p>
      <w:pPr>
        <w:spacing w:after="0" w:line="157" w:lineRule="exact"/>
        <w:rPr>
          <w:rFonts w:ascii="Times New Roman" w:cs="Times New Roman" w:eastAsia="Times New Roman" w:hAnsi="Times New Roman"/>
          <w:sz w:val="22"/>
          <w:szCs w:val="22"/>
          <w:color w:val="auto"/>
        </w:rPr>
      </w:pPr>
    </w:p>
    <w:p>
      <w:pPr>
        <w:jc w:val="both"/>
        <w:ind w:firstLine="757"/>
        <w:spacing w:after="0" w:line="248" w:lineRule="auto"/>
        <w:tabs>
          <w:tab w:leader="none" w:pos="14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Policy Subject to Amendment, Modification and Termination</w:t>
      </w:r>
      <w:r>
        <w:rPr>
          <w:rFonts w:ascii="Times New Roman" w:cs="Times New Roman" w:eastAsia="Times New Roman" w:hAnsi="Times New Roman"/>
          <w:sz w:val="22"/>
          <w:szCs w:val="22"/>
          <w:color w:val="auto"/>
        </w:rPr>
        <w:t>. This Policy may be amended, modified or terminated by the Board or Compensation Committee in the future at its sole discretion. Without limiting the generality of the foregoing, the Board or Compensation Committee hereby expressly reserves the authority to terminate this Policy during any year up and until the election of directors at a given annual meeting of stockholders.</w:t>
      </w:r>
    </w:p>
    <w:p>
      <w:pPr>
        <w:spacing w:after="0" w:line="167" w:lineRule="exact"/>
        <w:rPr>
          <w:rFonts w:ascii="Times New Roman" w:cs="Times New Roman" w:eastAsia="Times New Roman" w:hAnsi="Times New Roman"/>
          <w:sz w:val="22"/>
          <w:szCs w:val="22"/>
          <w:color w:val="auto"/>
        </w:rPr>
      </w:pPr>
    </w:p>
    <w:p>
      <w:pPr>
        <w:ind w:left="48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w:t>
      </w:r>
    </w:p>
    <w:p>
      <w:pPr>
        <w:spacing w:after="0" w:line="2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EXCHANGE ACT OF 1934, AS ADOPTED PURSUANT TO SECTION 302 OF THE</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S. Graziosi, certify that:</w:t>
      </w:r>
    </w:p>
    <w:p>
      <w:pPr>
        <w:spacing w:after="0" w:line="198" w:lineRule="exact"/>
        <w:rPr>
          <w:sz w:val="20"/>
          <w:szCs w:val="20"/>
          <w:color w:val="auto"/>
        </w:rPr>
      </w:pPr>
    </w:p>
    <w:p>
      <w:pPr>
        <w:ind w:left="760" w:hanging="752"/>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Allison Transmission Holdings, Inc.;</w:t>
      </w:r>
    </w:p>
    <w:p>
      <w:pPr>
        <w:spacing w:after="0" w:line="211" w:lineRule="exact"/>
        <w:rPr>
          <w:rFonts w:ascii="Times New Roman" w:cs="Times New Roman" w:eastAsia="Times New Roman" w:hAnsi="Times New Roman"/>
          <w:sz w:val="18"/>
          <w:szCs w:val="18"/>
          <w:color w:val="auto"/>
        </w:rPr>
      </w:pPr>
    </w:p>
    <w:p>
      <w:pPr>
        <w:jc w:val="both"/>
        <w:ind w:left="760" w:right="20" w:hanging="752"/>
        <w:spacing w:after="0" w:line="250"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60" w:hanging="752"/>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20" w:hanging="752"/>
        <w:spacing w:after="0" w:line="258"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Times New Roman" w:cs="Times New Roman" w:eastAsia="Times New Roman" w:hAnsi="Times New Roman"/>
          <w:sz w:val="18"/>
          <w:szCs w:val="18"/>
          <w:color w:val="auto"/>
        </w:rPr>
      </w:pPr>
    </w:p>
    <w:p>
      <w:pPr>
        <w:ind w:left="1500" w:right="160" w:hanging="743"/>
        <w:spacing w:after="0" w:line="258" w:lineRule="auto"/>
        <w:tabs>
          <w:tab w:leader="none" w:pos="1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8"/>
          <w:szCs w:val="18"/>
          <w:color w:val="auto"/>
        </w:rPr>
      </w:pPr>
    </w:p>
    <w:p>
      <w:pPr>
        <w:ind w:left="1500" w:right="260" w:hanging="743"/>
        <w:spacing w:after="0" w:line="250" w:lineRule="auto"/>
        <w:tabs>
          <w:tab w:leader="none" w:pos="1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right="20" w:hanging="743"/>
        <w:spacing w:after="0" w:line="295" w:lineRule="auto"/>
        <w:tabs>
          <w:tab w:leader="none" w:pos="15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500" w:right="60" w:hanging="743"/>
        <w:spacing w:after="0" w:line="250" w:lineRule="auto"/>
        <w:tabs>
          <w:tab w:leader="none" w:pos="1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752"/>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320" w:hanging="743"/>
        <w:spacing w:after="0" w:line="266" w:lineRule="auto"/>
        <w:tabs>
          <w:tab w:leader="none" w:pos="1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hanging="743"/>
        <w:spacing w:after="0" w:line="266" w:lineRule="auto"/>
        <w:tabs>
          <w:tab w:leader="none" w:pos="1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August 4, 2022</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060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David S. Graziosi</w:t>
      </w:r>
    </w:p>
    <w:p>
      <w:pPr>
        <w:spacing w:after="0" w:line="22"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President and Chief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558165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w:t>
      </w:r>
    </w:p>
    <w:p>
      <w:pPr>
        <w:spacing w:after="0" w:line="2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EXCHANGE ACT OF 1934, AS ADOPTED PURSUANT TO SECTION 302 OF THE</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Frederick Bohley, certify that:</w:t>
      </w:r>
    </w:p>
    <w:p>
      <w:pPr>
        <w:spacing w:after="0" w:line="198" w:lineRule="exact"/>
        <w:rPr>
          <w:sz w:val="20"/>
          <w:szCs w:val="20"/>
          <w:color w:val="auto"/>
        </w:rPr>
      </w:pPr>
    </w:p>
    <w:p>
      <w:pPr>
        <w:ind w:left="760" w:hanging="752"/>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Allison Transmission Holdings, Inc.;</w:t>
      </w:r>
    </w:p>
    <w:p>
      <w:pPr>
        <w:spacing w:after="0" w:line="211" w:lineRule="exact"/>
        <w:rPr>
          <w:rFonts w:ascii="Times New Roman" w:cs="Times New Roman" w:eastAsia="Times New Roman" w:hAnsi="Times New Roman"/>
          <w:sz w:val="18"/>
          <w:szCs w:val="18"/>
          <w:color w:val="auto"/>
        </w:rPr>
      </w:pPr>
    </w:p>
    <w:p>
      <w:pPr>
        <w:jc w:val="both"/>
        <w:ind w:left="760" w:right="20" w:hanging="752"/>
        <w:spacing w:after="0" w:line="250"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60" w:hanging="752"/>
        <w:spacing w:after="0" w:line="26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20" w:hanging="752"/>
        <w:spacing w:after="0" w:line="258"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Times New Roman" w:cs="Times New Roman" w:eastAsia="Times New Roman" w:hAnsi="Times New Roman"/>
          <w:sz w:val="18"/>
          <w:szCs w:val="18"/>
          <w:color w:val="auto"/>
        </w:rPr>
      </w:pPr>
    </w:p>
    <w:p>
      <w:pPr>
        <w:ind w:left="1500" w:right="160" w:hanging="743"/>
        <w:spacing w:after="0" w:line="258"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8"/>
          <w:szCs w:val="18"/>
          <w:color w:val="auto"/>
        </w:rPr>
      </w:pPr>
    </w:p>
    <w:p>
      <w:pPr>
        <w:ind w:left="1500" w:right="260" w:hanging="743"/>
        <w:spacing w:after="0" w:line="250"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right="20" w:hanging="743"/>
        <w:spacing w:after="0" w:line="295" w:lineRule="auto"/>
        <w:tabs>
          <w:tab w:leader="none" w:pos="15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500" w:right="60" w:hanging="743"/>
        <w:spacing w:after="0" w:line="250"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752"/>
        <w:spacing w:after="0" w:line="26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320" w:hanging="743"/>
        <w:spacing w:after="0" w:line="266"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hanging="743"/>
        <w:spacing w:after="0" w:line="266"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August 4, 2022</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274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52742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G. Frederick Bohley</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Senior Vice President, Chief Financial Officer and Treasurer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549275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1" w:lineRule="exact"/>
        <w:rPr>
          <w:sz w:val="20"/>
          <w:szCs w:val="20"/>
          <w:color w:val="auto"/>
        </w:rPr>
      </w:pPr>
    </w:p>
    <w:p>
      <w:pPr>
        <w:ind w:right="20" w:firstLine="749"/>
        <w:spacing w:after="0" w:line="245" w:lineRule="auto"/>
        <w:rPr>
          <w:sz w:val="20"/>
          <w:szCs w:val="20"/>
          <w:color w:val="auto"/>
        </w:rPr>
      </w:pPr>
      <w:r>
        <w:rPr>
          <w:rFonts w:ascii="Times New Roman" w:cs="Times New Roman" w:eastAsia="Times New Roman" w:hAnsi="Times New Roman"/>
          <w:sz w:val="18"/>
          <w:szCs w:val="18"/>
          <w:color w:val="auto"/>
        </w:rPr>
        <w:t>In connection with the Quarterly Report of Allison Transmission Holdings, Inc. (the “Company”) on Form 10-Q for the quarter ending June 30, 2022 as filed with the Securities and Exchange Commission on the date hereof (the “Report”), we, David S. Graziosi, Chairman, President and Chief Executive Officer of the Company, and G. Frederick Bohley, Senior Vice President, Chief Financial Officer and Treasurer of the Company, certify, pursuant to 18 U.S.C. § 1350 as adopted pursuant to § 906 of the Sarbanes-Oxley Act of 2002, that:</w:t>
      </w:r>
    </w:p>
    <w:p>
      <w:pPr>
        <w:spacing w:after="0" w:line="180" w:lineRule="exact"/>
        <w:rPr>
          <w:sz w:val="20"/>
          <w:szCs w:val="20"/>
          <w:color w:val="auto"/>
        </w:rPr>
      </w:pPr>
    </w:p>
    <w:p>
      <w:pPr>
        <w:ind w:left="760" w:hanging="752"/>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August 4, 2022</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199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26199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S. Graziosi</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August 4, 2022</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199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26199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 Frederick Bohley</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575310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lowerLetter"/>
      <w:start w:val="2"/>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01"/>
    </w:lvl>
  </w:abstractNum>
  <w:abstractNum w:abstractNumId="6">
    <w:nsid w:val="4DB127F8"/>
    <w:multiLevelType w:val="hybridMultilevel"/>
    <w:lvl w:ilvl="0">
      <w:lvlJc w:val="left"/>
      <w:lvlText w:val="%1"/>
      <w:numFmt w:val="decimal"/>
      <w:start w:val="104"/>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3"/>
    </w:lvl>
  </w:abstractNum>
  <w:abstractNum w:abstractNumId="9">
    <w:nsid w:val="1190CDE7"/>
    <w:multiLevelType w:val="hybridMultilevel"/>
    <w:lvl w:ilvl="0">
      <w:lvlJc w:val="left"/>
      <w:lvlText w:val="%1."/>
      <w:numFmt w:val="decimal"/>
      <w:start w:val="6"/>
    </w:lvl>
    <w:lvl w:ilvl="1">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2022-08-04T08:07:01Z</dcterms:created>
  <dcterms:modified xsi:type="dcterms:W3CDTF">2022-08-04T08:07:01Z</dcterms:modified>
</cp:coreProperties>
</file>