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20"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172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88"/>
              </w:rPr>
              <w:t>Delaware</w:t>
            </w:r>
          </w:p>
        </w:tc>
        <w:tc>
          <w:tcPr>
            <w:tcW w:w="5460" w:type="dxa"/>
            <w:vAlign w:val="bottom"/>
            <w:gridSpan w:val="5"/>
          </w:tcPr>
          <w:p>
            <w:pPr>
              <w:jc w:val="center"/>
              <w:ind w:left="3602"/>
              <w:spacing w:after="0"/>
              <w:rPr>
                <w:sz w:val="20"/>
                <w:szCs w:val="20"/>
                <w:color w:val="auto"/>
              </w:rPr>
            </w:pPr>
            <w:r>
              <w:rPr>
                <w:rFonts w:ascii="Arial" w:cs="Arial" w:eastAsia="Arial" w:hAnsi="Arial"/>
                <w:sz w:val="18"/>
                <w:szCs w:val="18"/>
                <w:b w:val="1"/>
                <w:bCs w:val="1"/>
                <w:color w:val="auto"/>
                <w:w w:val="89"/>
              </w:rPr>
              <w:t>26-0414014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jc w:val="center"/>
              <w:ind w:left="1157"/>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gridSpan w:val="2"/>
          </w:tcPr>
          <w:p>
            <w:pPr>
              <w:jc w:val="center"/>
              <w:ind w:left="36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2"/>
          </w:tcPr>
          <w:p>
            <w:pPr>
              <w:jc w:val="center"/>
              <w:ind w:left="367"/>
              <w:spacing w:after="0"/>
              <w:rPr>
                <w:sz w:val="20"/>
                <w:szCs w:val="20"/>
                <w:color w:val="auto"/>
              </w:rPr>
            </w:pPr>
            <w:r>
              <w:rPr>
                <w:rFonts w:ascii="Arial" w:cs="Arial" w:eastAsia="Arial" w:hAnsi="Arial"/>
                <w:sz w:val="14"/>
                <w:szCs w:val="14"/>
                <w:b w:val="1"/>
                <w:bCs w:val="1"/>
                <w:color w:val="auto"/>
                <w:w w:val="90"/>
              </w:rPr>
              <w:t>Identification Number)</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5"/>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gridSpan w:val="3"/>
          </w:tcPr>
          <w:p>
            <w:pPr>
              <w:jc w:val="center"/>
              <w:ind w:right="1907"/>
              <w:spacing w:after="0"/>
              <w:rPr>
                <w:sz w:val="20"/>
                <w:szCs w:val="20"/>
                <w:color w:val="auto"/>
              </w:rPr>
            </w:pPr>
            <w:r>
              <w:rPr>
                <w:rFonts w:ascii="Arial" w:cs="Arial" w:eastAsia="Arial" w:hAnsi="Arial"/>
                <w:sz w:val="18"/>
                <w:szCs w:val="18"/>
                <w:b w:val="1"/>
                <w:bCs w:val="1"/>
                <w:color w:val="auto"/>
                <w:w w:val="88"/>
              </w:rPr>
              <w:t>One Allison Way</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60" w:type="dxa"/>
            <w:vAlign w:val="bottom"/>
            <w:gridSpan w:val="3"/>
          </w:tcPr>
          <w:p>
            <w:pPr>
              <w:jc w:val="center"/>
              <w:ind w:right="1907"/>
              <w:spacing w:after="0"/>
              <w:rPr>
                <w:sz w:val="20"/>
                <w:szCs w:val="20"/>
                <w:color w:val="auto"/>
              </w:rPr>
            </w:pPr>
            <w:r>
              <w:rPr>
                <w:rFonts w:ascii="Arial" w:cs="Arial" w:eastAsia="Arial" w:hAnsi="Arial"/>
                <w:sz w:val="18"/>
                <w:szCs w:val="18"/>
                <w:b w:val="1"/>
                <w:bCs w:val="1"/>
                <w:color w:val="auto"/>
                <w:w w:val="90"/>
              </w:rPr>
              <w:t>Indianapolis, IN 46222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0" w:type="dxa"/>
            <w:vAlign w:val="bottom"/>
            <w:gridSpan w:val="4"/>
          </w:tcPr>
          <w:p>
            <w:pPr>
              <w:jc w:val="center"/>
              <w:ind w:right="1467"/>
              <w:spacing w:after="0"/>
              <w:rPr>
                <w:sz w:val="20"/>
                <w:szCs w:val="20"/>
                <w:color w:val="auto"/>
              </w:rPr>
            </w:pPr>
            <w:r>
              <w:rPr>
                <w:rFonts w:ascii="Arial" w:cs="Arial" w:eastAsia="Arial" w:hAnsi="Arial"/>
                <w:sz w:val="14"/>
                <w:szCs w:val="14"/>
                <w:b w:val="1"/>
                <w:bCs w:val="1"/>
                <w:color w:val="auto"/>
                <w:w w:val="87"/>
              </w:rPr>
              <w:t>(Address of Principal Executive Offices and Zip Code)</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20" w:type="dxa"/>
            <w:vAlign w:val="bottom"/>
            <w:gridSpan w:val="2"/>
          </w:tcPr>
          <w:p>
            <w:pPr>
              <w:jc w:val="center"/>
              <w:ind w:left="362"/>
              <w:spacing w:after="0"/>
              <w:rPr>
                <w:sz w:val="20"/>
                <w:szCs w:val="20"/>
                <w:color w:val="auto"/>
              </w:rPr>
            </w:pPr>
            <w:r>
              <w:rPr>
                <w:rFonts w:ascii="Arial" w:cs="Arial" w:eastAsia="Arial" w:hAnsi="Arial"/>
                <w:sz w:val="18"/>
                <w:szCs w:val="18"/>
                <w:b w:val="1"/>
                <w:bCs w:val="1"/>
                <w:color w:val="auto"/>
                <w:w w:val="89"/>
              </w:rPr>
              <w:t>(317) 242-5000</w:t>
            </w: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0" w:type="dxa"/>
            <w:vAlign w:val="bottom"/>
            <w:gridSpan w:val="4"/>
          </w:tcPr>
          <w:p>
            <w:pPr>
              <w:jc w:val="center"/>
              <w:ind w:right="1467"/>
              <w:spacing w:after="0" w:line="147" w:lineRule="exact"/>
              <w:rPr>
                <w:sz w:val="20"/>
                <w:szCs w:val="20"/>
                <w:color w:val="auto"/>
              </w:rPr>
            </w:pPr>
            <w:r>
              <w:rPr>
                <w:rFonts w:ascii="Arial" w:cs="Arial" w:eastAsia="Arial" w:hAnsi="Arial"/>
                <w:sz w:val="14"/>
                <w:szCs w:val="14"/>
                <w:b w:val="1"/>
                <w:bCs w:val="1"/>
                <w:color w:val="auto"/>
                <w:w w:val="87"/>
              </w:rPr>
              <w:t>(Registrant’s Telephone Number, Including Area Code)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5"/>
          </w:tcPr>
          <w:p>
            <w:pPr>
              <w:jc w:val="center"/>
              <w:ind w:right="82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9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300"/>
              <w:spacing w:after="0"/>
              <w:rPr>
                <w:sz w:val="20"/>
                <w:szCs w:val="20"/>
                <w:color w:val="auto"/>
              </w:rPr>
            </w:pPr>
            <w:r>
              <w:rPr>
                <w:rFonts w:ascii="Arial" w:cs="Arial" w:eastAsia="Arial" w:hAnsi="Arial"/>
                <w:sz w:val="18"/>
                <w:szCs w:val="18"/>
                <w:color w:val="auto"/>
                <w:w w:val="79"/>
              </w:rPr>
              <w:t>Common</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w w:val="89"/>
              </w:rPr>
              <w:t>Stock, $0.01 par value</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gridSpan w:val="5"/>
          </w:tcPr>
          <w:p>
            <w:pPr>
              <w:jc w:val="center"/>
              <w:ind w:right="80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60" w:type="dxa"/>
            <w:vAlign w:val="bottom"/>
            <w:gridSpan w:val="3"/>
          </w:tcPr>
          <w:p>
            <w:pPr>
              <w:jc w:val="center"/>
              <w:ind w:right="1907"/>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4"/>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80" w:type="dxa"/>
            <w:vAlign w:val="bottom"/>
            <w:gridSpan w:val="2"/>
          </w:tcPr>
          <w:p>
            <w:pPr>
              <w:spacing w:after="0"/>
              <w:rPr>
                <w:sz w:val="14"/>
                <w:szCs w:val="1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80" w:type="dxa"/>
            <w:vAlign w:val="bottom"/>
            <w:gridSpan w:val="2"/>
          </w:tcPr>
          <w:p>
            <w:pPr>
              <w:ind w:left="2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-2343150</wp:posOffset>
            </wp:positionV>
            <wp:extent cx="1620520"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11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487"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487"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487"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487"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aggregate market value of the voting and non-voting stock held by non-affiliates was approximately $531.5 million as of June 29, 2012.</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February 15, 2013, there were 184,723,754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420" w:firstLine="456"/>
        <w:spacing w:after="0" w:line="268" w:lineRule="auto"/>
        <w:rPr>
          <w:sz w:val="20"/>
          <w:szCs w:val="20"/>
          <w:color w:val="auto"/>
        </w:rPr>
      </w:pPr>
      <w:r>
        <w:rPr>
          <w:rFonts w:ascii="Arial" w:cs="Arial" w:eastAsia="Arial" w:hAnsi="Arial"/>
          <w:sz w:val="18"/>
          <w:szCs w:val="18"/>
          <w:color w:val="auto"/>
        </w:rPr>
        <w:t>Portions of the Registrant’s definitive Proxy Statement for its 2013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8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20" w:type="dxa"/>
            <w:vAlign w:val="bottom"/>
            <w:gridSpan w:val="3"/>
          </w:tcPr>
          <w:p>
            <w:pPr>
              <w:ind w:left="40"/>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380"/>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4"/>
          </w:tcPr>
          <w:p>
            <w:pPr>
              <w:ind w:left="1100"/>
              <w:spacing w:after="0"/>
              <w:rPr>
                <w:sz w:val="20"/>
                <w:szCs w:val="20"/>
                <w:color w:val="auto"/>
              </w:rPr>
            </w:pPr>
            <w:r>
              <w:rPr>
                <w:rFonts w:ascii="Arial" w:cs="Arial" w:eastAsia="Arial" w:hAnsi="Arial"/>
                <w:sz w:val="18"/>
                <w:szCs w:val="18"/>
                <w:b w:val="1"/>
                <w:bCs w:val="1"/>
                <w:color w:val="auto"/>
              </w:rPr>
              <w:t>PART I.</w:t>
            </w:r>
          </w:p>
        </w:tc>
        <w:tc>
          <w:tcPr>
            <w:tcW w:w="0" w:type="dxa"/>
            <w:vAlign w:val="bottom"/>
          </w:tcPr>
          <w:p>
            <w:pPr>
              <w:spacing w:after="0"/>
              <w:rPr>
                <w:sz w:val="1"/>
                <w:szCs w:val="1"/>
                <w:color w:val="auto"/>
              </w:rPr>
            </w:pPr>
          </w:p>
        </w:tc>
      </w:tr>
      <w:tr>
        <w:trPr>
          <w:trHeight w:val="169"/>
        </w:trPr>
        <w:tc>
          <w:tcPr>
            <w:tcW w:w="118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312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3120" w:type="dxa"/>
            <w:vAlign w:val="bottom"/>
            <w:gridSpan w:val="7"/>
            <w:vMerge w:val="continue"/>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312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120" w:type="dxa"/>
            <w:vAlign w:val="bottom"/>
            <w:gridSpan w:val="4"/>
          </w:tcPr>
          <w:p>
            <w:pPr>
              <w:jc w:val="center"/>
              <w:ind w:left="6612"/>
              <w:spacing w:after="0"/>
              <w:rPr>
                <w:sz w:val="20"/>
                <w:szCs w:val="20"/>
                <w:color w:val="auto"/>
              </w:rPr>
            </w:pPr>
            <w:r>
              <w:rPr>
                <w:rFonts w:ascii="Arial" w:cs="Arial" w:eastAsia="Arial" w:hAnsi="Arial"/>
                <w:sz w:val="18"/>
                <w:szCs w:val="18"/>
                <w:color w:val="auto"/>
                <w:w w:val="91"/>
              </w:rPr>
              <w:t>17-29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Unresolved Staff Comments</w:t>
              </w:r>
            </w:hyperlink>
          </w:p>
        </w:tc>
        <w:tc>
          <w:tcPr>
            <w:tcW w:w="1120" w:type="dxa"/>
            <w:vAlign w:val="bottom"/>
          </w:tcPr>
          <w:p>
            <w:pPr>
              <w:spacing w:after="0"/>
              <w:rPr>
                <w:sz w:val="17"/>
                <w:szCs w:val="17"/>
                <w:color w:val="auto"/>
              </w:rPr>
            </w:pPr>
          </w:p>
        </w:tc>
        <w:tc>
          <w:tcPr>
            <w:tcW w:w="7120" w:type="dxa"/>
            <w:vAlign w:val="bottom"/>
            <w:gridSpan w:val="4"/>
          </w:tcPr>
          <w:p>
            <w:pPr>
              <w:jc w:val="center"/>
              <w:ind w:left="6612"/>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Properties</w:t>
              </w:r>
            </w:hyperlink>
          </w:p>
        </w:tc>
        <w:tc>
          <w:tcPr>
            <w:tcW w:w="2400" w:type="dxa"/>
            <w:vAlign w:val="bottom"/>
            <w:gridSpan w:val="5"/>
          </w:tcPr>
          <w:p>
            <w:pPr>
              <w:spacing w:after="0"/>
              <w:rPr>
                <w:sz w:val="17"/>
                <w:szCs w:val="17"/>
                <w:color w:val="auto"/>
              </w:rPr>
            </w:pPr>
          </w:p>
        </w:tc>
        <w:tc>
          <w:tcPr>
            <w:tcW w:w="7120" w:type="dxa"/>
            <w:vAlign w:val="bottom"/>
            <w:gridSpan w:val="4"/>
          </w:tcPr>
          <w:p>
            <w:pPr>
              <w:jc w:val="center"/>
              <w:ind w:left="6612"/>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312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120" w:type="dxa"/>
            <w:vAlign w:val="bottom"/>
            <w:gridSpan w:val="4"/>
          </w:tcPr>
          <w:p>
            <w:pPr>
              <w:jc w:val="center"/>
              <w:ind w:left="6612"/>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12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120" w:type="dxa"/>
            <w:vAlign w:val="bottom"/>
            <w:gridSpan w:val="4"/>
          </w:tcPr>
          <w:p>
            <w:pPr>
              <w:jc w:val="center"/>
              <w:ind w:left="6612"/>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39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Item 5.</w:t>
            </w:r>
          </w:p>
        </w:tc>
        <w:tc>
          <w:tcPr>
            <w:tcW w:w="8860" w:type="dxa"/>
            <w:vAlign w:val="bottom"/>
            <w:gridSpan w:val="11"/>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Market for Registrant’s Common Equity, Related Stockholder Matters and Issuer Purchases of Equity Securities</w:t>
              </w:r>
            </w:hyperlink>
          </w:p>
        </w:tc>
        <w:tc>
          <w:tcPr>
            <w:tcW w:w="1380" w:type="dxa"/>
            <w:vAlign w:val="bottom"/>
          </w:tcPr>
          <w:p>
            <w:pPr>
              <w:jc w:val="center"/>
              <w:ind w:left="872"/>
              <w:spacing w:after="0"/>
              <w:rPr>
                <w:sz w:val="20"/>
                <w:szCs w:val="20"/>
                <w:color w:val="auto"/>
              </w:rPr>
            </w:pPr>
            <w:r>
              <w:rPr>
                <w:rFonts w:ascii="Arial" w:cs="Arial" w:eastAsia="Arial" w:hAnsi="Arial"/>
                <w:sz w:val="18"/>
                <w:szCs w:val="18"/>
                <w:color w:val="auto"/>
                <w:w w:val="91"/>
              </w:rPr>
              <w:t>32-33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8"/>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86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91"/>
              </w:rPr>
              <w:t>35-51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560" w:type="dxa"/>
            <w:vAlign w:val="bottom"/>
            <w:gridSpan w:val="3"/>
          </w:tcPr>
          <w:p>
            <w:pPr>
              <w:spacing w:after="0"/>
              <w:rPr>
                <w:sz w:val="17"/>
                <w:szCs w:val="17"/>
                <w:color w:val="auto"/>
              </w:rPr>
            </w:pPr>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Financial Statements and Supplementary Data</w:t>
              </w:r>
            </w:hyperlink>
          </w:p>
        </w:tc>
        <w:tc>
          <w:tcPr>
            <w:tcW w:w="5600" w:type="dxa"/>
            <w:vAlign w:val="bottom"/>
            <w:gridSpan w:val="7"/>
          </w:tcPr>
          <w:p>
            <w:pPr>
              <w:spacing w:after="0"/>
              <w:rPr>
                <w:sz w:val="17"/>
                <w:szCs w:val="17"/>
                <w:color w:val="auto"/>
              </w:rPr>
            </w:pPr>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91"/>
              </w:rPr>
              <w:t>53-93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Changes in and Disagreements With Accountants on Accounting and Financial Disclosure</w:t>
              </w:r>
            </w:hyperlink>
          </w:p>
        </w:tc>
        <w:tc>
          <w:tcPr>
            <w:tcW w:w="2500" w:type="dxa"/>
            <w:vAlign w:val="bottom"/>
            <w:gridSpan w:val="2"/>
          </w:tcPr>
          <w:p>
            <w:pPr>
              <w:spacing w:after="0"/>
              <w:rPr>
                <w:sz w:val="17"/>
                <w:szCs w:val="17"/>
                <w:color w:val="auto"/>
              </w:rPr>
            </w:pPr>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89"/>
              </w:rPr>
              <w:t>94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860" w:type="dxa"/>
            <w:vAlign w:val="bottom"/>
            <w:gridSpan w:val="1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89"/>
              </w:rPr>
              <w:t>94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7140" w:type="dxa"/>
            <w:vAlign w:val="bottom"/>
            <w:gridSpan w:val="8"/>
          </w:tcPr>
          <w:p>
            <w:pPr>
              <w:spacing w:after="0"/>
              <w:rPr>
                <w:sz w:val="17"/>
                <w:szCs w:val="17"/>
                <w:color w:val="auto"/>
              </w:rPr>
            </w:pPr>
          </w:p>
        </w:tc>
        <w:tc>
          <w:tcPr>
            <w:tcW w:w="1380" w:type="dxa"/>
            <w:vAlign w:val="bottom"/>
          </w:tcPr>
          <w:p>
            <w:pPr>
              <w:jc w:val="center"/>
              <w:ind w:left="872"/>
              <w:spacing w:after="0" w:line="196" w:lineRule="exact"/>
              <w:rPr>
                <w:sz w:val="20"/>
                <w:szCs w:val="20"/>
                <w:color w:val="auto"/>
              </w:rPr>
            </w:pPr>
            <w:r>
              <w:rPr>
                <w:rFonts w:ascii="Arial" w:cs="Arial" w:eastAsia="Arial" w:hAnsi="Arial"/>
                <w:sz w:val="18"/>
                <w:szCs w:val="18"/>
                <w:color w:val="auto"/>
                <w:w w:val="89"/>
              </w:rPr>
              <w:t>94</w:t>
            </w:r>
          </w:p>
        </w:tc>
      </w:tr>
      <w:tr>
        <w:trPr>
          <w:trHeight w:val="20"/>
        </w:trPr>
        <w:tc>
          <w:tcPr>
            <w:tcW w:w="1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520" w:type="dxa"/>
            <w:vAlign w:val="bottom"/>
            <w:gridSpan w:val="5"/>
          </w:tcPr>
          <w:p>
            <w:pPr>
              <w:ind w:left="160"/>
              <w:spacing w:after="0"/>
              <w:rPr>
                <w:sz w:val="20"/>
                <w:szCs w:val="20"/>
                <w:color w:val="auto"/>
              </w:rPr>
            </w:pPr>
            <w:r>
              <w:rPr>
                <w:rFonts w:ascii="Arial" w:cs="Arial" w:eastAsia="Arial" w:hAnsi="Arial"/>
                <w:sz w:val="18"/>
                <w:szCs w:val="18"/>
                <w:b w:val="1"/>
                <w:bCs w:val="1"/>
                <w:color w:val="auto"/>
              </w:rPr>
              <w:t>PART III.</w:t>
            </w:r>
          </w:p>
        </w:tc>
        <w:tc>
          <w:tcPr>
            <w:tcW w:w="1600" w:type="dxa"/>
            <w:vAlign w:val="bottom"/>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Directors, Executive Officers and Corporate Governance</w:t>
              </w:r>
            </w:hyperlink>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6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520" w:type="dxa"/>
            <w:vAlign w:val="bottom"/>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Security Ownership of Certain Beneficial Owners and Management and Related Stockholder Matters</w:t>
              </w:r>
            </w:hyperlink>
          </w:p>
        </w:tc>
        <w:tc>
          <w:tcPr>
            <w:tcW w:w="140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8520" w:type="dxa"/>
            <w:vAlign w:val="bottom"/>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3200" w:type="dxa"/>
            <w:vAlign w:val="bottom"/>
            <w:gridSpan w:val="2"/>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80" w:type="dxa"/>
            <w:vAlign w:val="bottom"/>
            <w:gridSpan w:val="2"/>
          </w:tcPr>
          <w:p>
            <w:pPr>
              <w:jc w:val="center"/>
              <w:ind w:right="5252"/>
              <w:spacing w:after="0"/>
              <w:rPr>
                <w:sz w:val="20"/>
                <w:szCs w:val="20"/>
                <w:color w:val="auto"/>
              </w:rPr>
            </w:pPr>
            <w:r>
              <w:rPr>
                <w:rFonts w:ascii="Arial" w:cs="Arial" w:eastAsia="Arial" w:hAnsi="Arial"/>
                <w:sz w:val="18"/>
                <w:szCs w:val="18"/>
                <w:b w:val="1"/>
                <w:bCs w:val="1"/>
                <w:color w:val="auto"/>
                <w:w w:val="97"/>
              </w:rPr>
              <w:t>PART IV.</w:t>
            </w: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 Financial Statement Schedules</w:t>
              </w:r>
            </w:hyperlink>
          </w:p>
        </w:tc>
        <w:tc>
          <w:tcPr>
            <w:tcW w:w="700" w:type="dxa"/>
            <w:vAlign w:val="bottom"/>
            <w:tcBorders>
              <w:top w:val="single" w:sz="8" w:color="auto"/>
            </w:tcBorders>
          </w:tcPr>
          <w:p>
            <w:pPr>
              <w:spacing w:after="0"/>
              <w:rPr>
                <w:sz w:val="24"/>
                <w:szCs w:val="24"/>
                <w:color w:val="auto"/>
              </w:rPr>
            </w:pPr>
          </w:p>
        </w:tc>
        <w:tc>
          <w:tcPr>
            <w:tcW w:w="5380" w:type="dxa"/>
            <w:vAlign w:val="bottom"/>
          </w:tcPr>
          <w:p>
            <w:pPr>
              <w:jc w:val="right"/>
              <w:spacing w:after="0"/>
              <w:rPr>
                <w:sz w:val="20"/>
                <w:szCs w:val="20"/>
                <w:color w:val="auto"/>
              </w:rPr>
            </w:pPr>
            <w:r>
              <w:rPr>
                <w:rFonts w:ascii="Arial" w:cs="Arial" w:eastAsia="Arial" w:hAnsi="Arial"/>
                <w:sz w:val="18"/>
                <w:szCs w:val="18"/>
                <w:color w:val="auto"/>
              </w:rPr>
              <w:t>96-99</w:t>
            </w:r>
          </w:p>
        </w:tc>
      </w:tr>
      <w:tr>
        <w:trPr>
          <w:trHeight w:val="383"/>
        </w:trPr>
        <w:tc>
          <w:tcPr>
            <w:tcW w:w="1180" w:type="dxa"/>
            <w:vAlign w:val="bottom"/>
          </w:tcPr>
          <w:p>
            <w:pPr>
              <w:spacing w:after="0"/>
              <w:rPr>
                <w:sz w:val="24"/>
                <w:szCs w:val="24"/>
                <w:color w:val="auto"/>
              </w:rPr>
            </w:pPr>
          </w:p>
        </w:tc>
        <w:tc>
          <w:tcPr>
            <w:tcW w:w="284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labor strikes, work stoppages or similar labor disputes, which could significantly disrupt our operations or those of our principal customers.</w:t>
      </w:r>
    </w:p>
    <w:p>
      <w:pPr>
        <w:spacing w:after="0" w:line="12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Trademarks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tradenames referred to in this report may appear without the </w:t>
      </w:r>
      <w:r>
        <w:rPr>
          <w:rFonts w:ascii="Arial" w:cs="Arial" w:eastAsia="Arial" w:hAnsi="Arial"/>
          <w:sz w:val="10"/>
          <w:szCs w:val="10"/>
          <w:color w:val="auto"/>
        </w:rPr>
        <w:t>®</w:t>
      </w:r>
      <w:r>
        <w:rPr>
          <w:rFonts w:ascii="Arial" w:cs="Arial" w:eastAsia="Arial" w:hAnsi="Arial"/>
          <w:sz w:val="16"/>
          <w:szCs w:val="16"/>
          <w:color w:val="auto"/>
        </w:rPr>
        <w:t xml:space="preserve"> or ™ symbols, but such references are not intended to indicate, in any way, that we will not assert, to the fullest extent under applicable law, our rights or the right of the applicable licensor to these trademarks and tradenames.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military fully-automatic transmissions.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We have approximately 2,800 employees and 12 different transmission product lines. Although approximately 78% percent of revenues are generated in North America, we have a global presence by serving customers in Europe, Asia, South America and Africa. We serve customers through an independent network of approximately 1,400 independent distributor and dealer locations worldwide.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were formerly known as Allison Transmission (the “Predecessor”), an operating unit of General Motors Corporation, which, in the course of its bankruptcy proceeding was renamed Motors Liquidation Company (“Old GM”). On August 7, 2007, substantially all of the assets and liabilities of the Predecessor were acquired by us, under an Asset Purchase Agreement (the “Asset Purchase Agreement”) dated June 28, 2007 and entered into between Clutch Operating Company, Inc., a Delaware corporation owned by investment funds affiliated with The Carlyle Group (“Carlyle”) and Onex Corporation (“Onex” and together with Carlyle, the “Sponsors”), and Old GM, the direct parent of the Predecessor, pursuant to which we acquired certain equity interests of, and certain assets and liabilities held by, direct and indirect operating subsidiaries of Old GM (the “Acquisition Transaction”). After completion of the Acquisition Transaction, Clutch Holdings, Inc., changed its name to Allison Transmission Holdings, Inc. and Clutch Operating Company, Inc. changed its name to Allison Transmission, Inc. (“ATI”).</w:t>
      </w:r>
    </w:p>
    <w:p>
      <w:pPr>
        <w:spacing w:after="0" w:line="1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10, 2009, General Motors Company (“GM”) emerged from bankruptcy. On August 3, 2009, we finalized an agreement with GM (the “Cure Agreement”) pursuant to which GM assumed certain contracts and agreements between us and Old GM, including among others, the Asset Purchase Agreement, certain intellectual property and software license agreements, lease agreements, engineering services agreements, proving grounds use agreements, an employee matters agreement, a contract manufacturing agreement and a hybrid co-branding agreement. GM also assumed certain other commercial contracts, arrangements and purchase orders with us in connection with conducting its business.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the world’s largest manufacturer of fully-automatic transmissions for medium- and heavy-duty commercial vehicles, medium- and heavy-tactical U.S. military vehicles and hybrid-propulsion systems for transit buses. Allison transmissions are used in a wide variety of applications, including on-highway trucks (distribution, refuse, construction, fire and emergency), buses (primarily school and transit), motorhomes, off-highway vehicles and equipment (primarily energy and mining) and military vehicles (wheeled and tracked). We estimate that globally, in 2012, we sold approximately 62% of all fully-automatic transmissions for medium- and heavy-duty on-highway commercial vehicle applications, and we believe we are well-positioned to capitalize on attractive growth opportunities. We believe the Allison brand is one of the most recognized in our industry as a result of the performance, reliability and fuel efficiency of our transmissions and is associated with high quality, durability, vocational value, technological leadership and superior customer service. We believe our brand helps us maintain our leading market position and price our products commensurate with the value provided to the end user.</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As compared to manual transmissions and automated manual transmissions (“AMTs”), we believe the superior performance attributes of our fully-automatic transmissions in vocations with a high degree of “start and stop” activity, as well as in urban environments, include lower maintenance costs, reduced vehicle downtime, ease of operation, increased safety and improved driver and passenger comfort. We believe our transmissions offer increased fuel efficiency and faster acceleration, resulting in lower operating costs and increased productivity when they are used in vehicles with duty cycles that require a high degree of “start and stop” activity. As a result of these attributes, our fully-automatic transmissions are the standard or exclusive transmission offered in the powertrain configuration of certain types of vehicles in North America, including school buses, fire and emergency vehicles, medium- and heavy-tactical U.S. military vehicles and certain mining trucks. In applications where our transmission is offered as an alternative to a manual transmission or an AMT, such as distribution and refuse trucks, we believe end users frequently specify an “Allison” transmission when ordering a commercial vehicle, which can create pull-through demand for our products to our original equipment manufacturer (“OEM”) customers. Our transmissions are also commonly used in various oil and natural gas drilling and extraction equipment where we believe our products’ performance, reliability, equipment uptime and ease of operation are critical to end users.</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In 2012, over 8,000 unique Allison-developed calibrations were used with our transmission control modules. We believe our scale, experience and culture of innovation reinforce our leading market position and provide us with a competitive advantage.</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Based on our market leadership, history of innovation, brand recognition and global presence, we believe we are well-positioned to capitalize on attractive growth opportunities globally. Our core North American on-highway market, which we define as Class 4-7 trucks, Class 8 straight trucks, buses (school, conventional transit, shuttle and coach) and motorhomes, is poised for continued recovery. According to America’s Commercial Transportation (“ACT”) Research, on-highway commercial vehicle production in North America (excluding transit and coach bus, and motorhome) is anticipated to experience a CAGR of 7% from 2012 to 2015, representing increases of 3%, 14% and 4% from 2012 to 2013, 2013 to 2014 and 2014 to 2015, respectively, although we cannot give assurance that such growth rates will materialize. In addition, we believe markets outside North America represent a major growth opportunity for us, as we estimate less than 5% of the medium- and heavy-duty commercial vehicles sold outside North America in 2012 were equipped with fully-automatic transmissions, as compared to 74% in our core North American market as defined above. We intend to drive the rate of adoption of fully-automatic transmissions in commercial vehicles globally by pursuing the same vocational strategy we employ in North America, though we cannot provide assurances that our business strategies will be successful or that fully-automatic transmissions will be increasingly adopted outside North America. Our anticipated growth outside of North America will be facilitated by our established international operations and customer relationships. For example, we are the leading provider of fully-automatic transmissions for medium- and heavy-duty commercial vehicles in China with a substantial installed base of over 45,000 Allison transmissions. In addition, in response to the evolving global focus on fuel consumption, we are developing new products to improve fuel efficiency without compromising performance.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Commercial vehicles typically employ one of three transmission types: manual,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21"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or over a shorter period of time, then we believe the vehicle is more fuel efficient. Since fuel economy and its MPG metric only accounts for distance traveled and fuel consumed, ignoring time and work performed, it is therefore an inferior metric to fuel efficiency when it comes to assessing commercial vehicles.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90"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We sell our transmissions globally for use in medium- and heavy-duty on-highway commercial vehicles (with limited exposure to the Class 8 tractor market), off-highway vehicles and equipment and military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2012.</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580" w:type="dxa"/>
            <w:vAlign w:val="bottom"/>
            <w:tcBorders>
              <w:top w:val="single" w:sz="8" w:color="auto"/>
              <w:left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right="172"/>
              <w:spacing w:after="0" w:line="149" w:lineRule="exact"/>
              <w:rPr>
                <w:sz w:val="20"/>
                <w:szCs w:val="20"/>
                <w:color w:val="auto"/>
              </w:rPr>
            </w:pPr>
            <w:r>
              <w:rPr>
                <w:rFonts w:ascii="Arial" w:cs="Arial" w:eastAsia="Arial" w:hAnsi="Arial"/>
                <w:sz w:val="14"/>
                <w:szCs w:val="14"/>
                <w:b w:val="1"/>
                <w:bCs w:val="1"/>
                <w:color w:val="auto"/>
                <w:w w:val="94"/>
              </w:rPr>
              <w:t>SERVICE</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right w:val="single" w:sz="8" w:color="auto"/>
            </w:tcBorders>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PARTS,</w:t>
            </w:r>
          </w:p>
        </w:tc>
      </w:tr>
      <w:tr>
        <w:trPr>
          <w:trHeight w:val="161"/>
        </w:trPr>
        <w:tc>
          <w:tcPr>
            <w:tcW w:w="2580" w:type="dxa"/>
            <w:vAlign w:val="bottom"/>
            <w:tcBorders>
              <w:left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NORTH AMERICA</w:t>
            </w:r>
          </w:p>
        </w:tc>
        <w:tc>
          <w:tcPr>
            <w:tcW w:w="11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OUTSIDE NORTH AMERICA</w:t>
            </w:r>
          </w:p>
        </w:tc>
        <w:tc>
          <w:tcPr>
            <w:tcW w:w="1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right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1"/>
              </w:rPr>
              <w:t>SUPPORT</w:t>
            </w:r>
          </w:p>
        </w:tc>
      </w:tr>
      <w:tr>
        <w:trPr>
          <w:trHeight w:val="129"/>
        </w:trPr>
        <w:tc>
          <w:tcPr>
            <w:tcW w:w="258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rPr>
              <w:t>HYBRID</w:t>
            </w:r>
          </w:p>
        </w:tc>
        <w:tc>
          <w:tcPr>
            <w:tcW w:w="16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right w:val="single" w:sz="8" w:color="auto"/>
            </w:tcBorders>
          </w:tcPr>
          <w:p>
            <w:pPr>
              <w:jc w:val="center"/>
              <w:ind w:right="172"/>
              <w:spacing w:after="0" w:line="129" w:lineRule="exact"/>
              <w:rPr>
                <w:sz w:val="20"/>
                <w:szCs w:val="20"/>
                <w:color w:val="auto"/>
              </w:rPr>
            </w:pPr>
            <w:r>
              <w:rPr>
                <w:rFonts w:ascii="Arial" w:cs="Arial" w:eastAsia="Arial" w:hAnsi="Arial"/>
                <w:sz w:val="14"/>
                <w:szCs w:val="14"/>
                <w:b w:val="1"/>
                <w:bCs w:val="1"/>
                <w:color w:val="auto"/>
                <w:w w:val="98"/>
              </w:rPr>
              <w:t>EQUIPMENT</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TRANSIT</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right w:val="single" w:sz="8" w:color="auto"/>
            </w:tcBorders>
          </w:tcPr>
          <w:p>
            <w:pPr>
              <w:jc w:val="right"/>
              <w:ind w:right="632"/>
              <w:spacing w:after="0" w:line="149" w:lineRule="exact"/>
              <w:rPr>
                <w:sz w:val="20"/>
                <w:szCs w:val="20"/>
                <w:color w:val="auto"/>
              </w:rPr>
            </w:pPr>
            <w:r>
              <w:rPr>
                <w:rFonts w:ascii="Arial" w:cs="Arial" w:eastAsia="Arial" w:hAnsi="Arial"/>
                <w:sz w:val="14"/>
                <w:szCs w:val="14"/>
                <w:b w:val="1"/>
                <w:bCs w:val="1"/>
                <w:color w:val="auto"/>
              </w:rPr>
              <w:t>&amp;</w:t>
            </w:r>
          </w:p>
        </w:tc>
      </w:tr>
      <w:tr>
        <w:trPr>
          <w:trHeight w:val="175"/>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END MARKET</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ON-HIGHWAY</w:t>
            </w:r>
          </w:p>
        </w:tc>
        <w:tc>
          <w:tcPr>
            <w:tcW w:w="1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BUS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OFF-HIGHWAY</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ON-HIGHWAY</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OFF-HIGHWAY</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MILITARY</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OTHER</w:t>
            </w:r>
          </w:p>
        </w:tc>
      </w:tr>
      <w:tr>
        <w:trPr>
          <w:trHeight w:val="129"/>
        </w:trPr>
        <w:tc>
          <w:tcPr>
            <w:tcW w:w="258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2012 NET SALES</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r>
      <w:tr>
        <w:trPr>
          <w:trHeight w:val="175"/>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$813</w:t>
            </w:r>
          </w:p>
        </w:tc>
        <w:tc>
          <w:tcPr>
            <w:tcW w:w="1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color w:val="auto"/>
              </w:rPr>
              <w:t>$115</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4"/>
                <w:szCs w:val="14"/>
                <w:color w:val="auto"/>
              </w:rPr>
              <w:t>$157</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color w:val="auto"/>
              </w:rPr>
              <w:t>$290</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4"/>
                <w:szCs w:val="14"/>
                <w:color w:val="auto"/>
              </w:rPr>
              <w:t>$305</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$348</w:t>
            </w:r>
          </w:p>
        </w:tc>
      </w:tr>
      <w:tr>
        <w:trPr>
          <w:trHeight w:val="385"/>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OF TOTAL</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38%</w:t>
            </w:r>
          </w:p>
        </w:tc>
        <w:tc>
          <w:tcPr>
            <w:tcW w:w="1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412"/>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632"/>
              <w:spacing w:after="0"/>
              <w:rPr>
                <w:sz w:val="20"/>
                <w:szCs w:val="20"/>
                <w:color w:val="auto"/>
              </w:rPr>
            </w:pPr>
            <w:r>
              <w:rPr>
                <w:rFonts w:ascii="Arial" w:cs="Arial" w:eastAsia="Arial" w:hAnsi="Arial"/>
                <w:sz w:val="14"/>
                <w:szCs w:val="14"/>
                <w:color w:val="auto"/>
              </w:rPr>
              <w:t>16%</w:t>
            </w:r>
          </w:p>
        </w:tc>
      </w:tr>
      <w:tr>
        <w:trPr>
          <w:trHeight w:val="372"/>
        </w:trPr>
        <w:tc>
          <w:tcPr>
            <w:tcW w:w="25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ARKET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#1 supplier of</w:t>
            </w:r>
          </w:p>
        </w:tc>
        <w:tc>
          <w:tcPr>
            <w:tcW w:w="160" w:type="dxa"/>
            <w:vAlign w:val="bottom"/>
            <w:tcBorders>
              <w:right w:val="single" w:sz="8" w:color="auto"/>
            </w:tcBorders>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0"/>
              </w:rPr>
              <w:t>#1 supplier</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leading</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 supplier</w:t>
            </w:r>
          </w:p>
        </w:tc>
        <w:tc>
          <w:tcPr>
            <w:tcW w:w="160" w:type="dxa"/>
            <w:vAlign w:val="bottom"/>
          </w:tcPr>
          <w:p>
            <w:pPr>
              <w:ind w:left="100"/>
              <w:spacing w:after="0"/>
              <w:rPr>
                <w:sz w:val="20"/>
                <w:szCs w:val="20"/>
                <w:color w:val="auto"/>
              </w:rPr>
            </w:pPr>
            <w:r>
              <w:rPr>
                <w:rFonts w:ascii="Arial" w:cs="Arial" w:eastAsia="Arial" w:hAnsi="Arial"/>
                <w:sz w:val="14"/>
                <w:szCs w:val="14"/>
                <w:color w:val="auto"/>
                <w:w w:val="80"/>
              </w:rPr>
              <w:t>•</w:t>
            </w:r>
          </w:p>
        </w:tc>
        <w:tc>
          <w:tcPr>
            <w:tcW w:w="11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 leading</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#1 supplier of</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Approximately</w:t>
            </w:r>
          </w:p>
        </w:tc>
      </w:tr>
      <w:tr>
        <w:trPr>
          <w:trHeight w:val="151"/>
        </w:trPr>
        <w:tc>
          <w:tcPr>
            <w:tcW w:w="2580" w:type="dxa"/>
            <w:vAlign w:val="bottom"/>
            <w:tcBorders>
              <w:left w:val="single" w:sz="8" w:color="auto"/>
              <w:right w:val="single" w:sz="8" w:color="auto"/>
            </w:tcBorders>
          </w:tcPr>
          <w:p>
            <w:pPr>
              <w:ind w:left="120"/>
              <w:spacing w:after="0" w:line="151"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OSITION</w:t>
            </w:r>
          </w:p>
        </w:tc>
        <w:tc>
          <w:tcPr>
            <w:tcW w:w="180" w:type="dxa"/>
            <w:vAlign w:val="bottom"/>
          </w:tcPr>
          <w:p>
            <w:pPr>
              <w:spacing w:after="0"/>
              <w:rPr>
                <w:sz w:val="13"/>
                <w:szCs w:val="13"/>
                <w:color w:val="auto"/>
              </w:rPr>
            </w:pPr>
          </w:p>
        </w:tc>
        <w:tc>
          <w:tcPr>
            <w:tcW w:w="1000" w:type="dxa"/>
            <w:vAlign w:val="bottom"/>
          </w:tcPr>
          <w:p>
            <w:pPr>
              <w:ind w:left="80"/>
              <w:spacing w:after="0" w:line="151" w:lineRule="exact"/>
              <w:rPr>
                <w:sz w:val="20"/>
                <w:szCs w:val="20"/>
                <w:color w:val="auto"/>
              </w:rPr>
            </w:pPr>
            <w:r>
              <w:rPr>
                <w:rFonts w:ascii="Arial" w:cs="Arial" w:eastAsia="Arial" w:hAnsi="Arial"/>
                <w:sz w:val="14"/>
                <w:szCs w:val="14"/>
                <w:color w:val="auto"/>
                <w:w w:val="99"/>
              </w:rPr>
              <w:t>fully-automatic</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of hybrid-</w:t>
            </w:r>
          </w:p>
        </w:tc>
        <w:tc>
          <w:tcPr>
            <w:tcW w:w="160" w:type="dxa"/>
            <w:vAlign w:val="bottom"/>
          </w:tcPr>
          <w:p>
            <w:pPr>
              <w:spacing w:after="0"/>
              <w:rPr>
                <w:sz w:val="13"/>
                <w:szCs w:val="13"/>
                <w:color w:val="auto"/>
              </w:rPr>
            </w:pPr>
          </w:p>
        </w:tc>
        <w:tc>
          <w:tcPr>
            <w:tcW w:w="118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independent</w:t>
            </w:r>
          </w:p>
        </w:tc>
        <w:tc>
          <w:tcPr>
            <w:tcW w:w="160" w:type="dxa"/>
            <w:vAlign w:val="bottom"/>
          </w:tcPr>
          <w:p>
            <w:pPr>
              <w:spacing w:after="0"/>
              <w:rPr>
                <w:sz w:val="13"/>
                <w:szCs w:val="13"/>
                <w:color w:val="auto"/>
              </w:rPr>
            </w:pPr>
          </w:p>
        </w:tc>
        <w:tc>
          <w:tcPr>
            <w:tcW w:w="11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w w:val="98"/>
              </w:rPr>
              <w:t>of fully-automatic</w:t>
            </w:r>
          </w:p>
        </w:tc>
        <w:tc>
          <w:tcPr>
            <w:tcW w:w="160" w:type="dxa"/>
            <w:vAlign w:val="bottom"/>
          </w:tcPr>
          <w:p>
            <w:pPr>
              <w:spacing w:after="0"/>
              <w:rPr>
                <w:sz w:val="13"/>
                <w:szCs w:val="13"/>
                <w:color w:val="auto"/>
              </w:rPr>
            </w:pPr>
          </w:p>
        </w:tc>
        <w:tc>
          <w:tcPr>
            <w:tcW w:w="1180" w:type="dxa"/>
            <w:vAlign w:val="bottom"/>
            <w:tcBorders>
              <w:right w:val="single" w:sz="8" w:color="auto"/>
            </w:tcBorders>
          </w:tcPr>
          <w:p>
            <w:pPr>
              <w:ind w:left="100"/>
              <w:spacing w:after="0" w:line="151" w:lineRule="exact"/>
              <w:rPr>
                <w:sz w:val="20"/>
                <w:szCs w:val="20"/>
                <w:color w:val="auto"/>
              </w:rPr>
            </w:pPr>
            <w:r>
              <w:rPr>
                <w:rFonts w:ascii="Arial" w:cs="Arial" w:eastAsia="Arial" w:hAnsi="Arial"/>
                <w:sz w:val="14"/>
                <w:szCs w:val="14"/>
                <w:color w:val="auto"/>
              </w:rPr>
              <w:t>independent</w:t>
            </w:r>
          </w:p>
        </w:tc>
        <w:tc>
          <w:tcPr>
            <w:tcW w:w="180" w:type="dxa"/>
            <w:vAlign w:val="bottom"/>
          </w:tcPr>
          <w:p>
            <w:pPr>
              <w:spacing w:after="0"/>
              <w:rPr>
                <w:sz w:val="13"/>
                <w:szCs w:val="13"/>
                <w:color w:val="auto"/>
              </w:rPr>
            </w:pPr>
          </w:p>
        </w:tc>
        <w:tc>
          <w:tcPr>
            <w:tcW w:w="9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w w:val="98"/>
              </w:rPr>
              <w:t>transmissions</w:t>
            </w:r>
          </w:p>
        </w:tc>
        <w:tc>
          <w:tcPr>
            <w:tcW w:w="200" w:type="dxa"/>
            <w:vAlign w:val="bottom"/>
          </w:tcPr>
          <w:p>
            <w:pPr>
              <w:spacing w:after="0"/>
              <w:rPr>
                <w:sz w:val="13"/>
                <w:szCs w:val="13"/>
                <w:color w:val="auto"/>
              </w:rPr>
            </w:pPr>
          </w:p>
        </w:tc>
        <w:tc>
          <w:tcPr>
            <w:tcW w:w="126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rPr>
              <w:t>1,400 dealers and</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transmissions</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propulsion</w:t>
            </w:r>
          </w:p>
        </w:tc>
        <w:tc>
          <w:tcPr>
            <w:tcW w:w="160" w:type="dxa"/>
            <w:vAlign w:val="bottom"/>
          </w:tcPr>
          <w:p>
            <w:pPr>
              <w:spacing w:after="0"/>
              <w:rPr>
                <w:sz w:val="12"/>
                <w:szCs w:val="12"/>
                <w:color w:val="auto"/>
              </w:rPr>
            </w:pPr>
          </w:p>
        </w:tc>
        <w:tc>
          <w:tcPr>
            <w:tcW w:w="11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supplier</w:t>
            </w:r>
          </w:p>
        </w:tc>
        <w:tc>
          <w:tcPr>
            <w:tcW w:w="160" w:type="dxa"/>
            <w:vAlign w:val="bottom"/>
          </w:tcPr>
          <w:p>
            <w:pPr>
              <w:spacing w:after="0"/>
              <w:rPr>
                <w:sz w:val="12"/>
                <w:szCs w:val="12"/>
                <w:color w:val="auto"/>
              </w:rPr>
            </w:pPr>
          </w:p>
        </w:tc>
        <w:tc>
          <w:tcPr>
            <w:tcW w:w="11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transmissions in</w:t>
            </w:r>
          </w:p>
        </w:tc>
        <w:tc>
          <w:tcPr>
            <w:tcW w:w="160" w:type="dxa"/>
            <w:vAlign w:val="bottom"/>
          </w:tcPr>
          <w:p>
            <w:pPr>
              <w:spacing w:after="0"/>
              <w:rPr>
                <w:sz w:val="12"/>
                <w:szCs w:val="12"/>
                <w:color w:val="auto"/>
              </w:rPr>
            </w:pPr>
          </w:p>
        </w:tc>
        <w:tc>
          <w:tcPr>
            <w:tcW w:w="11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supplier</w:t>
            </w: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to the</w:t>
            </w:r>
          </w:p>
        </w:tc>
        <w:tc>
          <w:tcPr>
            <w:tcW w:w="200" w:type="dxa"/>
            <w:vAlign w:val="bottom"/>
          </w:tcPr>
          <w:p>
            <w:pPr>
              <w:spacing w:after="0"/>
              <w:rPr>
                <w:sz w:val="12"/>
                <w:szCs w:val="12"/>
                <w:color w:val="auto"/>
              </w:rPr>
            </w:pPr>
          </w:p>
        </w:tc>
        <w:tc>
          <w:tcPr>
            <w:tcW w:w="12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distributors</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systems</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China and India</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U.S. military</w:t>
            </w:r>
          </w:p>
        </w:tc>
        <w:tc>
          <w:tcPr>
            <w:tcW w:w="200" w:type="dxa"/>
            <w:vAlign w:val="bottom"/>
          </w:tcPr>
          <w:p>
            <w:pPr>
              <w:spacing w:after="0"/>
              <w:rPr>
                <w:sz w:val="12"/>
                <w:szCs w:val="12"/>
                <w:color w:val="auto"/>
              </w:rPr>
            </w:pPr>
          </w:p>
        </w:tc>
        <w:tc>
          <w:tcPr>
            <w:tcW w:w="12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worldwide</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Established</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presence in</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73"/>
        </w:trPr>
        <w:tc>
          <w:tcPr>
            <w:tcW w:w="258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Western Europe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373"/>
        </w:trPr>
        <w:tc>
          <w:tcPr>
            <w:tcW w:w="25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OCATIONS OR</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160" w:type="dxa"/>
            <w:vAlign w:val="bottom"/>
            <w:tcBorders>
              <w:right w:val="single" w:sz="8" w:color="auto"/>
            </w:tcBorders>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Hybrid</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Energy</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Distribution</w:t>
            </w:r>
          </w:p>
        </w:tc>
        <w:tc>
          <w:tcPr>
            <w:tcW w:w="160" w:type="dxa"/>
            <w:vAlign w:val="bottom"/>
          </w:tcPr>
          <w:p>
            <w:pPr>
              <w:ind w:left="100"/>
              <w:spacing w:after="0"/>
              <w:rPr>
                <w:sz w:val="20"/>
                <w:szCs w:val="20"/>
                <w:color w:val="auto"/>
              </w:rPr>
            </w:pPr>
            <w:r>
              <w:rPr>
                <w:rFonts w:ascii="Arial" w:cs="Arial" w:eastAsia="Arial" w:hAnsi="Arial"/>
                <w:sz w:val="14"/>
                <w:szCs w:val="14"/>
                <w:color w:val="auto"/>
                <w:w w:val="80"/>
              </w:rPr>
              <w:t>•</w:t>
            </w:r>
          </w:p>
        </w:tc>
        <w:tc>
          <w:tcPr>
            <w:tcW w:w="11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Energy</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Medium-</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Parts</w:t>
            </w:r>
          </w:p>
        </w:tc>
      </w:tr>
      <w:tr>
        <w:trPr>
          <w:trHeight w:val="151"/>
        </w:trPr>
        <w:tc>
          <w:tcPr>
            <w:tcW w:w="2580" w:type="dxa"/>
            <w:vAlign w:val="bottom"/>
            <w:tcBorders>
              <w:left w:val="single" w:sz="8" w:color="auto"/>
              <w:right w:val="single" w:sz="8" w:color="auto"/>
            </w:tcBorders>
          </w:tcPr>
          <w:p>
            <w:pPr>
              <w:ind w:left="120"/>
              <w:spacing w:after="0" w:line="151" w:lineRule="exact"/>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ND</w:t>
            </w:r>
            <w:r>
              <w:rPr>
                <w:rFonts w:ascii="Arial" w:cs="Arial" w:eastAsia="Arial" w:hAnsi="Arial"/>
                <w:sz w:val="14"/>
                <w:szCs w:val="14"/>
                <w:b w:val="1"/>
                <w:bCs w:val="1"/>
                <w:color w:val="auto"/>
              </w:rPr>
              <w:t xml:space="preserve"> U</w:t>
            </w:r>
            <w:r>
              <w:rPr>
                <w:rFonts w:ascii="Arial" w:cs="Arial" w:eastAsia="Arial" w:hAnsi="Arial"/>
                <w:sz w:val="11"/>
                <w:szCs w:val="11"/>
                <w:b w:val="1"/>
                <w:bCs w:val="1"/>
                <w:color w:val="auto"/>
              </w:rPr>
              <w:t>SE</w:t>
            </w:r>
          </w:p>
        </w:tc>
        <w:tc>
          <w:tcPr>
            <w:tcW w:w="180" w:type="dxa"/>
            <w:vAlign w:val="bottom"/>
          </w:tcPr>
          <w:p>
            <w:pPr>
              <w:ind w:left="80"/>
              <w:spacing w:after="0" w:line="151" w:lineRule="exact"/>
              <w:rPr>
                <w:sz w:val="20"/>
                <w:szCs w:val="20"/>
                <w:color w:val="auto"/>
              </w:rPr>
            </w:pPr>
            <w:r>
              <w:rPr>
                <w:rFonts w:ascii="Arial" w:cs="Arial" w:eastAsia="Arial" w:hAnsi="Arial"/>
                <w:sz w:val="14"/>
                <w:szCs w:val="14"/>
                <w:color w:val="auto"/>
              </w:rPr>
              <w:t>•</w:t>
            </w:r>
          </w:p>
        </w:tc>
        <w:tc>
          <w:tcPr>
            <w:tcW w:w="1000" w:type="dxa"/>
            <w:vAlign w:val="bottom"/>
          </w:tcPr>
          <w:p>
            <w:pPr>
              <w:ind w:left="100"/>
              <w:spacing w:after="0" w:line="151" w:lineRule="exact"/>
              <w:rPr>
                <w:sz w:val="20"/>
                <w:szCs w:val="20"/>
                <w:color w:val="auto"/>
              </w:rPr>
            </w:pPr>
            <w:r>
              <w:rPr>
                <w:rFonts w:ascii="Arial" w:cs="Arial" w:eastAsia="Arial" w:hAnsi="Arial"/>
                <w:sz w:val="14"/>
                <w:szCs w:val="14"/>
                <w:color w:val="auto"/>
              </w:rPr>
              <w:t>Emergency</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transit</w:t>
            </w:r>
          </w:p>
        </w:tc>
        <w:tc>
          <w:tcPr>
            <w:tcW w:w="160" w:type="dxa"/>
            <w:vAlign w:val="bottom"/>
          </w:tcPr>
          <w:p>
            <w:pPr>
              <w:ind w:left="80"/>
              <w:spacing w:after="0" w:line="151"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ind w:left="100"/>
              <w:spacing w:after="0" w:line="151" w:lineRule="exact"/>
              <w:rPr>
                <w:sz w:val="20"/>
                <w:szCs w:val="20"/>
                <w:color w:val="auto"/>
              </w:rPr>
            </w:pPr>
            <w:r>
              <w:rPr>
                <w:rFonts w:ascii="Arial" w:cs="Arial" w:eastAsia="Arial" w:hAnsi="Arial"/>
                <w:sz w:val="14"/>
                <w:szCs w:val="14"/>
                <w:color w:val="auto"/>
              </w:rPr>
              <w:t>Mining</w:t>
            </w:r>
          </w:p>
        </w:tc>
        <w:tc>
          <w:tcPr>
            <w:tcW w:w="160" w:type="dxa"/>
            <w:vAlign w:val="bottom"/>
          </w:tcPr>
          <w:p>
            <w:pPr>
              <w:ind w:left="80"/>
              <w:spacing w:after="0" w:line="151"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51" w:lineRule="exact"/>
              <w:rPr>
                <w:sz w:val="20"/>
                <w:szCs w:val="20"/>
                <w:color w:val="auto"/>
              </w:rPr>
            </w:pPr>
            <w:r>
              <w:rPr>
                <w:rFonts w:ascii="Arial" w:cs="Arial" w:eastAsia="Arial" w:hAnsi="Arial"/>
                <w:sz w:val="14"/>
                <w:szCs w:val="14"/>
                <w:color w:val="auto"/>
              </w:rPr>
              <w:t>Emergency</w:t>
            </w:r>
          </w:p>
        </w:tc>
        <w:tc>
          <w:tcPr>
            <w:tcW w:w="160" w:type="dxa"/>
            <w:vAlign w:val="bottom"/>
          </w:tcPr>
          <w:p>
            <w:pPr>
              <w:ind w:left="100"/>
              <w:spacing w:after="0" w:line="151" w:lineRule="exact"/>
              <w:rPr>
                <w:sz w:val="20"/>
                <w:szCs w:val="20"/>
                <w:color w:val="auto"/>
              </w:rPr>
            </w:pPr>
            <w:r>
              <w:rPr>
                <w:rFonts w:ascii="Arial" w:cs="Arial" w:eastAsia="Arial" w:hAnsi="Arial"/>
                <w:sz w:val="14"/>
                <w:szCs w:val="14"/>
                <w:color w:val="auto"/>
                <w:w w:val="80"/>
              </w:rPr>
              <w:t>•</w:t>
            </w:r>
          </w:p>
        </w:tc>
        <w:tc>
          <w:tcPr>
            <w:tcW w:w="1180" w:type="dxa"/>
            <w:vAlign w:val="bottom"/>
            <w:tcBorders>
              <w:right w:val="single" w:sz="8" w:color="auto"/>
            </w:tcBorders>
          </w:tcPr>
          <w:p>
            <w:pPr>
              <w:ind w:left="120"/>
              <w:spacing w:after="0" w:line="151" w:lineRule="exact"/>
              <w:rPr>
                <w:sz w:val="20"/>
                <w:szCs w:val="20"/>
                <w:color w:val="auto"/>
              </w:rPr>
            </w:pPr>
            <w:r>
              <w:rPr>
                <w:rFonts w:ascii="Arial" w:cs="Arial" w:eastAsia="Arial" w:hAnsi="Arial"/>
                <w:sz w:val="14"/>
                <w:szCs w:val="14"/>
                <w:color w:val="auto"/>
              </w:rPr>
              <w:t>Mining</w:t>
            </w:r>
          </w:p>
        </w:tc>
        <w:tc>
          <w:tcPr>
            <w:tcW w:w="180" w:type="dxa"/>
            <w:vAlign w:val="bottom"/>
          </w:tcPr>
          <w:p>
            <w:pPr>
              <w:spacing w:after="0"/>
              <w:rPr>
                <w:sz w:val="13"/>
                <w:szCs w:val="13"/>
                <w:color w:val="auto"/>
              </w:rPr>
            </w:pPr>
          </w:p>
        </w:tc>
        <w:tc>
          <w:tcPr>
            <w:tcW w:w="9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and heavy-</w:t>
            </w:r>
          </w:p>
        </w:tc>
        <w:tc>
          <w:tcPr>
            <w:tcW w:w="200" w:type="dxa"/>
            <w:vAlign w:val="bottom"/>
          </w:tcPr>
          <w:p>
            <w:pPr>
              <w:ind w:left="80"/>
              <w:spacing w:after="0" w:line="151"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w w:val="96"/>
              </w:rPr>
              <w:t>Support equipment</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Refuse</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bus</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Construction</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Refuse</w:t>
            </w:r>
          </w:p>
        </w:tc>
        <w:tc>
          <w:tcPr>
            <w:tcW w:w="160" w:type="dxa"/>
            <w:vAlign w:val="bottom"/>
          </w:tcPr>
          <w:p>
            <w:pPr>
              <w:ind w:left="100"/>
              <w:spacing w:after="0" w:line="149" w:lineRule="exact"/>
              <w:rPr>
                <w:sz w:val="20"/>
                <w:szCs w:val="20"/>
                <w:color w:val="auto"/>
              </w:rPr>
            </w:pPr>
            <w:r>
              <w:rPr>
                <w:rFonts w:ascii="Arial" w:cs="Arial" w:eastAsia="Arial" w:hAnsi="Arial"/>
                <w:sz w:val="14"/>
                <w:szCs w:val="14"/>
                <w:color w:val="auto"/>
                <w:w w:val="80"/>
              </w:rPr>
              <w:t>•</w:t>
            </w:r>
          </w:p>
        </w:tc>
        <w:tc>
          <w:tcPr>
            <w:tcW w:w="11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tactical</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Remanufactured</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Construction</w:t>
            </w:r>
          </w:p>
        </w:tc>
        <w:tc>
          <w:tcPr>
            <w:tcW w:w="160" w:type="dxa"/>
            <w:vAlign w:val="bottom"/>
            <w:tcBorders>
              <w:right w:val="single" w:sz="8" w:color="auto"/>
            </w:tcBorders>
          </w:tcPr>
          <w:p>
            <w:pPr>
              <w:spacing w:after="0"/>
              <w:rPr>
                <w:sz w:val="12"/>
                <w:szCs w:val="12"/>
                <w:color w:val="auto"/>
              </w:rPr>
            </w:pP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Hybrid</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Specialty</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Construction</w:t>
            </w:r>
          </w:p>
        </w:tc>
        <w:tc>
          <w:tcPr>
            <w:tcW w:w="160" w:type="dxa"/>
            <w:vAlign w:val="bottom"/>
          </w:tcPr>
          <w:p>
            <w:pPr>
              <w:ind w:left="100"/>
              <w:spacing w:after="0" w:line="149" w:lineRule="exact"/>
              <w:rPr>
                <w:sz w:val="20"/>
                <w:szCs w:val="20"/>
                <w:color w:val="auto"/>
              </w:rPr>
            </w:pPr>
            <w:r>
              <w:rPr>
                <w:rFonts w:ascii="Arial" w:cs="Arial" w:eastAsia="Arial" w:hAnsi="Arial"/>
                <w:sz w:val="14"/>
                <w:szCs w:val="14"/>
                <w:color w:val="auto"/>
                <w:w w:val="80"/>
              </w:rPr>
              <w:t>•</w:t>
            </w:r>
          </w:p>
        </w:tc>
        <w:tc>
          <w:tcPr>
            <w:tcW w:w="11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Specialty</w:t>
            </w: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wheeled</w:t>
            </w:r>
          </w:p>
        </w:tc>
        <w:tc>
          <w:tcPr>
            <w:tcW w:w="200" w:type="dxa"/>
            <w:vAlign w:val="bottom"/>
          </w:tcPr>
          <w:p>
            <w:pPr>
              <w:spacing w:after="0"/>
              <w:rPr>
                <w:sz w:val="12"/>
                <w:szCs w:val="12"/>
                <w:color w:val="auto"/>
              </w:rPr>
            </w:pPr>
          </w:p>
        </w:tc>
        <w:tc>
          <w:tcPr>
            <w:tcW w:w="12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transmissions</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Utility</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shuttle</w:t>
            </w:r>
          </w:p>
        </w:tc>
        <w:tc>
          <w:tcPr>
            <w:tcW w:w="160" w:type="dxa"/>
            <w:vAlign w:val="bottom"/>
          </w:tcPr>
          <w:p>
            <w:pPr>
              <w:spacing w:after="0"/>
              <w:rPr>
                <w:sz w:val="12"/>
                <w:szCs w:val="12"/>
                <w:color w:val="auto"/>
              </w:rPr>
            </w:pPr>
          </w:p>
        </w:tc>
        <w:tc>
          <w:tcPr>
            <w:tcW w:w="11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vehicle</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Utility</w:t>
            </w:r>
          </w:p>
        </w:tc>
        <w:tc>
          <w:tcPr>
            <w:tcW w:w="160" w:type="dxa"/>
            <w:vAlign w:val="bottom"/>
          </w:tcPr>
          <w:p>
            <w:pPr>
              <w:spacing w:after="0"/>
              <w:rPr>
                <w:sz w:val="12"/>
                <w:szCs w:val="12"/>
                <w:color w:val="auto"/>
              </w:rPr>
            </w:pPr>
          </w:p>
        </w:tc>
        <w:tc>
          <w:tcPr>
            <w:tcW w:w="11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vehicle</w:t>
            </w: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platforms</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Fluids</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School,</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bus</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85"/>
              </w:rPr>
              <w:t>Transit, shuttle and</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Tracked</w:t>
            </w:r>
          </w:p>
        </w:tc>
        <w:tc>
          <w:tcPr>
            <w:tcW w:w="2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Borders>
              <w:right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w w:val="90"/>
              </w:rPr>
              <w:t>transit, shuttle and</w:t>
            </w: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coach buses</w:t>
            </w: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combat</w:t>
            </w:r>
          </w:p>
        </w:tc>
        <w:tc>
          <w:tcPr>
            <w:tcW w:w="2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coach buses</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platforms</w:t>
            </w:r>
          </w:p>
        </w:tc>
        <w:tc>
          <w:tcPr>
            <w:tcW w:w="2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73"/>
        </w:trPr>
        <w:tc>
          <w:tcPr>
            <w:tcW w:w="258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Motorhome</w:t>
            </w:r>
          </w:p>
        </w:tc>
        <w:tc>
          <w:tcPr>
            <w:tcW w:w="1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bl>
    <w:p>
      <w:pPr>
        <w:spacing w:after="0" w:line="15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For the years ended December 31, 2012, 2011 and 2010, our top five OEM customers accounted for approximately 45%, 38% and 41% of our net sales, respectively. Our top three OEM customers, Daimler, Navistar and Oshkosh, accounted for approximately 13%, 11% and 11%, respectively, of our net sales in 2012.</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the largest manufacturer of fully-automatic transmissions for the on-highway medium- and heavy-duty commercial vehicle market in North America. Our core markets are those in which the value proposition of a fully-automatic transmission to end users is highest, typically where the vehicle is operated with a high degree of “start and stop” activity. We believe end user preferences for superior acceleration, higher productivity, increased fuel efficiency, reduced operating costs, less driveline shock and smoother shifting relative to both manual transmissions and AMTs results in a willingness to pay a meaningful premium for the attributes of our fully-automatic transmissions. Overall, we believe the demand for on-highway fully-automatic transmissions in our core markets is increasing in North America.</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haul. We have been supplying transmissions for Class 8 straight trucks for decades, and it is a core end market for us. Today, we have very limited exposure to the Class 8 tractor market because lower priced manual transmissions generally meet the needs of these vehicles which are primarily used in long distance hauling. However, we have identified a portion of the Class 8 tractor market that we call metro tractors that are used primarily in urban environments more than 60% of the time. We are developing a new fully-automatic transmission (the “TC10”) that meets the unique duty cycle requirements of the Class 8 metro tractor market and believe this represents a significant long term growth opportunity.</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sell substantially all of our transmissions in the North American on-highway market to OEMs, including Blue Bird, Daimler, Hino, Navistar, PACCAR, Spartan Motors, Volvo and many others. These OEMs, in turn, install our transmissions in vehicles in which our transmission is either the exclusive transmission available or is specifically requested by end users who are choosing between a manual transmission, an AMT or a fully-automatic transmission. OEM customers representing approximately 90% of our 2012 North American on-highway unit volume participate in long-term supply agreements (“LTSA”) with us. Generally, these supply agreements offer the OEM customer defined levels of mutual commitment with respect to growing Allison’s presence in the OEMs’ products and promotional efforts, pricing and sharing of commodity cost risk. The typical length of our customer agreements is five years. We often compete in this market against independent manufacturers of manual transmissions and AMTs, and, to a lesser extent, against OEMs in certain weight classes that use their own internally manufactured transmissions in certain vehicles. For example, Ford Motor Company (“Ford”) offers its own fully-automatic transmission in its Class 4-5 vehicles in North America, though we supply Ford with our fully-automatic transmissions for their Class 6-7 diesel-powered trucks.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On-Highway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139700</wp:posOffset>
            </wp:positionV>
            <wp:extent cx="2881630" cy="211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163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Class 4-5 Trucks. </w:t>
      </w:r>
      <w:r>
        <w:rPr>
          <w:rFonts w:ascii="Arial" w:cs="Arial" w:eastAsia="Arial" w:hAnsi="Arial"/>
          <w:sz w:val="18"/>
          <w:szCs w:val="18"/>
          <w:color w:val="auto"/>
        </w:rPr>
        <w:t>Class 4-5 trucks are generally used in urban applications, including distribution, commercial lease and rental, as well as ambulance.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demand drivers impacting the purchase of these trucks are economic factors, such as gross domestic product growth, industrial activity and fuel costs, as well as government spending.</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largest Class 4-5 truck OEM is Ford, which offers its own transmission in these vehicles. Until 2009, Ford and GM were the largest OEMs in this end market with a combined market share of 88% in 2008, but GM exited the medium-duty truck market after emerging from bankruptcy. Since Ford uses its own fully-automatic transmission in this vehicle class, GM’s departure from this market resulted in a decline in our sales of fully-automatic transmissions for use in the Class 4-5 truck market, which we had served almost exclusively through GM. To partially offset the loss of GM’s presence in this market, we are the exclusive transmission supplier to the Navistar Class 4-5 TerraStar truck specifically targeted at this end market. We also intend to pursue business with other OEMs, should they choose to participate in this end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Class 6-7 Trucks. </w:t>
      </w:r>
      <w:r>
        <w:rPr>
          <w:rFonts w:ascii="Arial" w:cs="Arial" w:eastAsia="Arial" w:hAnsi="Arial"/>
          <w:sz w:val="16"/>
          <w:szCs w:val="16"/>
          <w:color w:val="auto"/>
        </w:rPr>
        <w:t>Class 6-7 trucks are generally used in urban applications, including larger distribution, commercial lease and rental, ambulance, rescue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fire trucks. While demand drivers for the Class 6-7 truck end market are generally similar to those of the Class 4-5 truck end market, economic and pre-buy volatility are higher in these classes. The largest OEMs in this end market are Navistar, Daimler, Ford, Hino and PACCAR. Our overall penetration of the Class 6-7 truck transmission end market was approximately 67% in 2012, and we supply virtually all of the fully-automatic transmissions sold in this end market. In this market, we compete primarily with manual transmissions and AMTs manufactured by Eaton Corp. (“Eaton”).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 xml:space="preserve">Class 8 Straight Trucks. </w:t>
      </w:r>
      <w:r>
        <w:rPr>
          <w:rFonts w:ascii="Arial" w:cs="Arial" w:eastAsia="Arial" w:hAnsi="Arial"/>
          <w:sz w:val="15"/>
          <w:szCs w:val="15"/>
          <w:color w:val="auto"/>
        </w:rPr>
        <w:t>The most common vocations that utilize straight trucks are refuse, construction, fire and emergency. Primary drivers of Class 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straight truck demand are general economic conditions and federal, state and municipal spending, which affect the purchases of many fire and emergency trucks, refuse vehicles and construction vehicles, and the purchases of other private refuse fleet operators. The largest Class 8 straight truck OEMs are Navistar, Daimler, PACCAR and Volvo. In 2012, our overall penetration of the Class 8 straight truck transmission end market was approximately 50%, and we supply virtually all of the fully-automatic transmissions sold in this end market. In this market, we compete primarily with manual transmissions and AMTs manufactured by Eaton.</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Buses. </w:t>
      </w:r>
      <w:r>
        <w:rPr>
          <w:rFonts w:ascii="Arial" w:cs="Arial" w:eastAsia="Arial" w:hAnsi="Arial"/>
          <w:sz w:val="16"/>
          <w:szCs w:val="16"/>
          <w:color w:val="auto"/>
        </w:rPr>
        <w:t>School buses have historically comprised approximately 75% of the North American bus market by volume. While school buses vary in weight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 size, the majority of our transmissions are used in Class 6-7 buses. The primary demand driver for school bus purchases is municipal spending, specifically school district budgets and the capital expenditure plans of private fleet operators. School bus demand is also affected by the number of school-age children, which is driven by birth rates and immigration. The demand in this end market has generally been stable, although it does experience declines during economic downturns as municipalities defer purchases. The largest school bus OEMs are Navistar, Daimler and Blue Bird. We supply our transmissions for virtually all of the school buses produced in North America and currently face limited competition from other suppliers to this end market. The bus market also encompasses non-hybrid transit and conventional coach and shuttle buses. We have the leading market share in the non-hybrid transit bus market, where we primarily compete against Voith GmbH (“Voith”) and ZF Friedrichshafen AG (“ZF”).</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Motorhomes. </w:t>
      </w:r>
      <w:r>
        <w:rPr>
          <w:rFonts w:ascii="Arial" w:cs="Arial" w:eastAsia="Arial" w:hAnsi="Arial"/>
          <w:sz w:val="16"/>
          <w:szCs w:val="16"/>
          <w:color w:val="auto"/>
        </w:rPr>
        <w:t>We sell our transmissions for use primarily in larger motorhomes (Type A). Substantially all of the Type A motorhomes used fully-automatic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transmissions in this market in 2012. The motorhome market was severely impacted by the recent economic downturn with volumes declining approximately 60% from 2007 to 2012. We expect motorhome demand will benefit from improving economic conditions, increased availability of credit and favorable demographic trends such as the aging of “baby boomers.” We typically sell to the chassis manufacturers, such as Navistar and Daimler, that supply body manufacturers, such as Thor Industries, Winnebago Industries and Fleetwood RV. We had approximately a 52% share of the fully-automatic transmissions used in Type A diesel and gasoline powered motorhomes and substantially all of the share of the fully-automatic transmissions sold in Type A diesel powered motorhomes. In this market, we compete primarily with Ford, who uses its own internally-produced transmission in the lighter-duty motorhomes.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Hybrid Transit Buses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global interest in conserving fuel and reducing greenhouse gas emissions is driving demand for more fuel efficient commercial vehicles. As of December 31, 2012, we have delivered over 5,000 H 40/50 EP hybrid-propulsion transit bus systems globally to 246 cities in 14 countries, making us the world’s largest supplier of hybrid-propulsion transit bus systems. In North America, we sold approximately 80% of all units for the hybrid transit bus market in 2012. Our customers in this North American end market are typically city, state and federal governmental entities, which utilize government funds to subsidize a portion of the purchase price for the transit buses containing our hybrid-propulsion system. In this market, we compete primarily with BAE Systems plc (“BAE”).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Off-Highway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provided products used in vehicles and equipment that serve energy, mining and construction applications for over 50 years.</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Off-highway energy applications include well-stimulation equipment, pumping equipment, and well-servicing rigs, which often use a fully-automatic transmission to propel the vehicle and drive auxiliary equipment. We maintain a leadership position in this end market, with nearly all producers of well stimulation and well servicing equipment utilizing our heavy-duty off-highway transmissions. Customers include Halliburton Company, Baker Hughes, Weatherford International, National Oilwell Varco, and Key Energy Services. Traditional and new methods of drilling and extracting oil and natural gas from shale formations utilize highly engineered heavy-duty fully-automatic transmissions. Competition in both the well stimulation and well servicing markets comes primarily from Caterpillar Inc. (“Caterpillar”) and Twin Disc.</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provide heavy-duty transmissions used in mining trucks, specialty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Construction applications include articulated dump trucks with Caterpillar, Volvo and ZF as competitors.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Outside North America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the largest manufacturer of fully-automatic transmissions for the commercial vehicle market outside of North America. The following is a summary of our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210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the use of fully-automatic transmissions in the medium- and heavy-duty commercial vehicle market has been widely accepted in North America, the markets outside North America continue to be dominated by manual transmissions. In 2012, fully-automatic transmission-equipped medium- and heavy-duty commercial vehicles represented less than 5% of the vehicles in markets outside North America and are concentrated in certain vocational end markets. In other global regions, we believe we have attractive opportunities for expansion for our fully-automatic transmissions as end users increasingly recognize the benefits that result from the use of our products. However, we cannot assure you that such growth will materialize in any of these emerging markets.</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The Europe, Middle East, Africa region (“EMEA”), is composed of several different markets, each of which differs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from our core North American market by the degree of market maturity, sophistication and acceptance of fully-automatic transmission technology.</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Within Europe, we serve Western European developed markets, as well as Russian and Eastern European emerging markets. Our key on-highway customers in these markets are Daimler, Iveco, Scania, and Volvo. Fully-automatic transmission technology has approximately a 6% market share in European truck applications. We lead this end market with approximately a 66% share of the fully-automatic transmissions sold in 2012. Transit bus transmission sales are more evenly divided between manual and fully-automatic transmissions. However, we face strong competition from European-based bus-focused competitors in this market such as ZF and Voith. Europe is most notably characterized by a high level of vertical powertrain integration with OEMs such as Daimler, Scania and Volvo often utilizing their own manual transmissions and AMTs in their vehicles. These OEMs have not generally elected to manufacture fully-automatic commercial vehicle transmissions. We believe they have not done so due to the large initial investment required that would be amortized over a limited number of medium and heavy-duty commercial vehicles utilizing fully-automatic transmissions in their European market. The Middle East and Africa regions are generally characterized by very limited local vehicle production, with imports from the U.S., South America, Turkey, China, India and Europe accounting for the majority of vehicles.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have low market penetration today, we supply transmissions to all major European OEMs. We have targeted specific vocations in EMEA that we believe benefit from our value proposition. For example, we are the exclusive transmission in refuse chassis with Daimler, Dennis Eagle and Renault SA. We also supply mining OEMs such as Atlas Copco UK, Perlini Equipment, Sandvik AB and Terex. Our major off-highway competitors are Caterpillar and Komatsu, both of which are vertically integrated manufacturers of off-highway mining vehicles, including the specific fully-automatic transmission used in their mining trucks. Construction applications include articulated dump trucks with Caterpillar, Volvo and ZF as competitors.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Asia-Pacific. </w:t>
      </w:r>
      <w:r>
        <w:rPr>
          <w:rFonts w:ascii="Arial" w:cs="Arial" w:eastAsia="Arial" w:hAnsi="Arial"/>
          <w:sz w:val="16"/>
          <w:szCs w:val="16"/>
          <w:color w:val="auto"/>
        </w:rPr>
        <w:t>Currently, manual transmissions are the predominant transmissions used in commercial vehicles in the Asia-Pacific region. We believe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well-positioned to capitalize on the relatively low penetration rate of automatic transmissions because of our transmissions’ established reputation for performance and durability, as well as our distributor and dealer network presence in most of the key Asia-Pacific markets.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China, our largest growth market, we are the leading provider of fully-automatic commercial vehicle transmissions with a substantial installed base of over 45,000 Allison transmissions, including 30,000 units in transit buses, operated by 90 different bus fleets in 55 cities as of December 31, 2012. Our success in penetrating the domestic commercial vehicle OEMs combined with the value of our fully-automatic transmissions have generated a significant growth opportunity for us as Chinese OEMs have begun to export products. For example, we have grown significantly in commercial vehicles used to transport cargo at shipping ports (dock spotters) in China, increasing our share from essentially 0% in 2004 to virtually 100% today. In targeted vocations such as fire and emergency, construction and specialty vehicles (e.g. crane carriers), we have increased the number of vehicle configurations in which our transmissions are available from 17 in 2008 to 92 in 2012. Specifically, we increased our availability in heavy duty mining and construction dump trucks by 21 vehicle configurations and our transmissions are now offered by all major Chinese OEMs serving this market. In 2010, we obtained the first exclusive fully-automatic transmission vehicle configuration in a Chinese fire truck that is being promoted by China FAW Group Corporation and Allison. Our off-highway transmissions are also used in China for energy, mining and construction, by OEM customers including 4th Petroleum and Yantai Jereh Oilfield Services Group Co. in energy applications and Qinhuangdao Tolian Speciality Transporter Co., Sany Group Co. and North Hauler in mining and construction applications.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China, we actively participate in several other important Asia-Pacific countries. Currently, Taiwan, Indonesia, Malaysia and Thailand are primarily importers of commercial vehicles, with limited domestic manufacturing capabilities. Australia and South Korea have a few OEMs with domestic production capabilities for which we are a supplier, including Iveco, Hyundai Motor Company and Daewoo International Corporation. The distribution of our fully-automatic transmissions throughout the broader Asia-Pacific region helps to develop end user relationships and represents an attractive growth opportunity.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Japanese market for commercial vehicles is unique due to the country’s compact size and its transportation congestion constraints. This generally encourages the use of smaller engines and commensurately lighter-duty commercial vehicles than those used in North America. Sales of fully-automatic transmissions for use in the domestic Japanese commercial vehicle market are expected to grow over the long-term as a result of the declining number of drivers in the active workforce who are trained to operate manual transmissions. Historically, the Japanese commercial vehicle fully-automatic transmission market has been served by local suppliers such as Aisin Seiki Co., Ltd. (“Aisin”), who supplies its products predominantly for vehicles in the Class 4-5 equivalent and lighter weight categories. We have built relationships with domestic Japanese vehicle OEMs, including Hino, Isuzu, Mitsubishi Fuso Truck and Bus Corporation (“Mitsubishi”) and Nissan Diesel (“Nissan”), and we are working to expand our commercial vehicle releases in the Japanese market. Opportunities for vehicles exported to Australia, Thailand and Indonesia, which are produced by Japanese OEMs, are improving with the Australia refuse, construction and distribution markets representing the most significant near-term potential.</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Competition in the Asia-Pacific region includes fully-automatic transmissions from Aisin and JATCO for lighter-duty trucks, ZF and Voith for buses, as well as Shaanxi Fast Gear Co., Ltd. (“Fast Gear”) for heavy-duty trucks. We also face competition from the captive OEM production of manual transmissions and AMTs from companies such as Mitsubishi, Hino, Isuzu and Nissan. Fast Gear has a leading market share of the manual transmissions sold for use in the Chinese truck market, while Qijiang is the leading Chinese tour-coach manual transmission supplier. Both Fast Gear and Qijiang are seeing their market shares erode as the heavy-duty commercial truck OEMs, such as Sinotruk, manufacture both engines and manual transmissions. In the off-highway market our primary competitors are Caterpillar and Danyang Winstar Auto Parts Co. in energy applications and vertically integrated OEMs Caterpillar and Komatsu in mining applications. Off-highway construction applications include articulated dump trucks with Caterpillar, Volvo and ZF as competitors.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India. </w:t>
      </w:r>
      <w:r>
        <w:rPr>
          <w:rFonts w:ascii="Arial" w:cs="Arial" w:eastAsia="Arial" w:hAnsi="Arial"/>
          <w:sz w:val="18"/>
          <w:szCs w:val="18"/>
          <w:color w:val="auto"/>
        </w:rPr>
        <w:t>Currently, manual transmissions are the predominant transmissions used in commercial vehicles in India. Since 2007, we have had an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foothold in the India on-highway market, beginning with the low-floor transit bus. We have been successful in obtaining releases and generating sales in support of the desire of the Indian government to upgrade its public transportation infrastructure. Currently, Allison transmissions are operating in over 21 major cities across India.</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order for us to take a more direct and proactive role in the Indian market, we opened a regional office and customization center in 2009 and a manufacturing facility in 2010 to produce components for our 3000 and 4000 products assembled in Hungary. In 2012, we added assembly operations for our 1000 and 2000 products in the India facility. We have also launched vehicle release programs with Indian OEMs in the truck, bus, military and off-highway markets.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India’s commercial vehicle industry is dominated by manual transmissions. We believe our opportunity for growth is strong, especially as the various Indian vocational end markets seek to upgrade and modernize their equipment to global specifications. Competition primarily comes from the locally produced manual transmissions, as well as from ZF and Voith, which compete with us predominantly in the bus market with their fully-automatic transmissions. Allison is or is expected to be offered as an option by Indian bus and truck OEMs such as Tata, Ashok Leyland, JCBL, Asia Motor Works and BEML, and we expect to continue to increase our penetration in this region. India is also characterized by some OEMs with vertical powertrain integration often utilizing their own manual transmissions and AMTs in their vehicles.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South America. </w:t>
      </w:r>
      <w:r>
        <w:rPr>
          <w:rFonts w:ascii="Arial" w:cs="Arial" w:eastAsia="Arial" w:hAnsi="Arial"/>
          <w:sz w:val="16"/>
          <w:szCs w:val="16"/>
          <w:color w:val="auto"/>
        </w:rPr>
        <w:t>Currently, manual transmissions are the predominant transmissions used in commercial vehicles in South America. We have a long history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South America, dating back to our initial entry into Brazil in 1975, and we continue to maintain a presence supporting OEMs such as Daimler, MAN, Agrale S.A., Encava C.A., Scania, Iveco, Randon Veículos, Technología Avanzada en Transporte S.A. and Ford. During the last several years, the vast majority of the net sales of our products in the region were for use in buses, while on-highway and off-highway trucks accounted for a small portion of our net sales. Off-highway vehicles and equipment represent a growth opportunity due to heavy mining activity in Chile, Brazil, Colombia and Peru. We are growing our truck release base and the off-highway energy market is emerging. The South American region is characterized by a high level of OEM integration, with captive manual transmission and AMT manufacturing by OEMs such as Scania, MAN and Daimler.</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Military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 long-standing relationship with the U.S. military,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and the MRAP All Terrain Vehicle and for all three potential manufacturers of the Joint Light Tactical Vehicles. Transmissions for our wheeled vehicle platforms are typically sold to OEMs, including BAE, Daimler, General Dynamics Land Systems, Oshkosh, Navistar and Textron Marine &amp; Land Systems.</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also the supplier on two of the three key tracked vehicle platforms, the Abrams tank and the M113 family of vehicles, which are sold directly to the U.S. military. Additionally, we sell parts kits to licensees for the production of transmissions for tracked vehicles manufactured outside North America. We have been selected as the transmission supplier for one of the prime contractors bidding for the new U.S. Army ground combat vehicle. Overall, we have seen the demand for U.S. military vehicles decrease as the funding for military vehicles declines. Additionally, U.S. Department of Defense (“DOD”) budgets and supplemental spending have allowed the military to recapitalize and reset many vehicle systems, which has reduced the average age of the fleet and the need to procure new vehicles.</w:t>
      </w:r>
    </w:p>
    <w:p>
      <w:pPr>
        <w:spacing w:after="0" w:line="14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Globally, we face competition for the supply of our transmissions in tracked military vehicles primarily from Renk AG, L-3 Communications Corporation and ZF. Additionally, we face limited competition from Caterpillar in certain U.S. military wheeled vehicle platforms.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Service Parts, Support, Equipment and Other (Aftermarket)</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Aftermarket provides us with a relatively stable source of revenues as the installed base of vehicles and equipment utilizing our transmissions continues to grow. The need for replacement parts is driven by normal vehicle and equipment maintenance requirements and is not significantly impacted by economic cycles. Uninterrupted operation is generally critical for end users’ profitability. End users focus on getting the vehicle back in service, which in some cases results in the aftermarket purchase decision being less price-sensitive.</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distributor and dealer locations to sell, service and support our transmissions. As part of our brand strategy, our independent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Over the last few years, our growth in traditional aftermarket sales has been tempered by improvements in product quality and durability. While traditional aftermarket sales are expected to grow, support equipment sales fluctuate with the introduction of new transmissions. The competition for service parts and ReTran remanufactured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Product Offering</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Allison transmissions are sold under the Allison Transmission brand name and remanufactured transmissions are sold under the ReTran brand name, which we believe are recognized throughout the industry for delivering the combination of quality, reliability, durability, vocational value and superior customer service. We have 12 transmission product lines with over 100 different product models. Allison transmissions are included in more than 2,500 vehicle configurations that are compatible with more than 500 combinations of engine brands, models and ratings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-25400</wp:posOffset>
            </wp:positionV>
            <wp:extent cx="5008245" cy="6191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8245" cy="619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497205</wp:posOffset>
            </wp:positionV>
            <wp:extent cx="5008245" cy="2118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824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addition to our current product offerings, we have various products under development, including the TC10, a Class 8 metro truck fully-automatic transmission, and the H 3000 and the H 4000 hybrid-propulsion systems designed for use in medium- and heavy-duty commercial trucks and buses.</w:t>
      </w:r>
    </w:p>
    <w:p>
      <w:pPr>
        <w:spacing w:after="0" w:line="8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are developing the TC10 for the Class 8 metro tractor market, in which we have a very limited presence. The metro market accounts for approximately 30% of the Class 8 tractor market. We believe our new TC10 product is more fuel efficient than the incumbent manual transmissions and AMTs currently used in these vehicles, and is well suited to address end user demands in this market given the high “start and stop” frequency of the Class 8 metro tractor duty cycle. We expect to begin production of the TC10 in 2013.</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2009, our success with the hybrid-propulsion systems for transit buses helped us secure a $62.8 million U.S. Department of Energy (“DOE”) cost-share grant award which is being used to develop increased U.S. manufacturing capacity for another family of hybrid-propulsion systems. The first of the new family, the H 3000, is a hybrid variant of our current 3000 Series product and is expected to initially serve medium- and heavy-duty distribution vehicles, shuttle buses, refuse trucks and utility trucks. It is expected to begin production in 2013. The second of the new family, the H 4000, is a hybrid variant of our current 4000 Series product. We continue our H 4000 design validation efforts and plan for the start of production to coincide with market demand. The objective for this family of hybrid-propulsion systems is to create an improvement in fuel economy of approximately 25% for a typical vehicle, dependent upon the vocation and duty cycle. The reduction in fuel consumption, while delivering the same productive work in the same amount of time, also reduces greenhouse gas emissions and reduces other air pollutants from commercial trucks. The combustion of a lower quantity of fuel within the engine may also reduce the wear on the engine and the hybrid regenerative braking captures and stores deceleration energy, thereby potentially reducing wear on the vehicle’s service brakes, helping reduce vehicle maintenance and service costs. Demand for our hybrid-propulsion systems has historically been supported by various governmental subsidies to end users. If such subsidies were to be discontinued or if our products failed to qualify for such subsidies, sales of our hybrid-propulsion systems could be negatively impacted. Other external factors also could negatively impact sales including diesel fuel price trends, natural gas fuel price trends, availability from engine manufacturers of compatible engine calibrations, and alternative emerging green technologies.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Development and Engineering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maintain an industry leading product development and engineering capability dedicated to the design, development, refinement and support of our fully-automatic transmissions and hybrid-propulsion systems. Our approximately 350 product development and engineering staff are distinguished by their depth of analytical skills and industry experience and significantly contribute to our product performance. With decades of experience, knowledge and expertise in our markets, we believe we have the skills to create, evolve and apply products to a wide variety of uses under various vocations and operating conditions. Within the product development engineering process, insights gained in one area can be leveraged across our entire portfolio.</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superior transmission control software and mechanical components to optimize fuel economy while delivering desired vehicle performance. Further, we are developing new technology and products to improve fuel efficiency and fuel economy by allowing engines to operate more efficiently and at lower speeds to avoid consuming fuel without compromising performance. Building on our engineering capabilities, we pioneered hybrid propulsion in commercial vehicles and are developing new hybrid variants and alternative technologies for use in our global commercial vehicle markets.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recent years, we have accelerated and significantly increased our investment in research and development above our historical levels. Examples of our key innovations include the development of a fully-automatic hybrid-propulsion system for the medium- and heavy-duty commercial truck and bus markets and a twin countershaft, fully-automatic transmission for a portion of the Class 8 tractor truck market. From time to time, we acquire certain licenses to provide us with technology to complement our portfolio of products and product initiatives, such as our engineering development agreement with Torotrak plc (“Torotrak”). During 2012, we entered into a development agreement with Fallbrook Technologies, Inc. (“Fallbrook”) to acquire technology-related licenses. For the years ended December 31, 2012, 2011 and 2010, we have incurred $115.1 million, $116.4 million and $101.5 million of engineering – research and development expense, respectively.</w:t>
      </w:r>
    </w:p>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 test track on our Indianapolis, Indiana campus for vehicle drive, testing and calibration activities in addition to being a demonstration venue for customers. We opened a comparable facility in October 2011, at our location in Szentgotthard, Hungary. We also lease test track facilities in New Carlisle, Indiana, Apache Junction, Arizona, and Sweden. In 2012, we hosted approximately 1,000 OEM and end user representatives at these facilities.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Sales and Marketing Organization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sales and marketing effort is organized along geographic and customer lines and is comprised of marketing, sales and service professionals, supported by application engineers worldwide. In North America, selling efforts in the on-highway end market, our largest end market, are organized by distributor area responsibility, OEM sales and national accounts, for our large end users. Outside North America, we manage our sales, marketing, service and application engineering professionals through regional areas of responsibility. These regional management teams distribute OEM service and application engineering resources globally. Since 2007, we have significantly expanded our sales and marketing teams and distribution relationships in emerging markets to capitalize on growth opportunities in these regions. We manage our military products sales, marketing, service and application engineering through Indianapolis, IN and Detroit, MI based professionals with extensive defense industry experience.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end users and attend local trade shows, targeting specific vocations globally and through our plant tour program, where end users may test our products on the Indianapolis test track. In 2012, we completed an enhanced customer experience demonstration track at our new Hungary facility, to provide our global end users an opportunity to test our products.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process is interactive, as Allison representatives, Allison distributors and OEM dealers educate customers and respond to the specific applications, requirements and needs of numerous specialty markets.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Similarly, we work with customers, dealers and OEMs to educate, improve and simplify how they specify vehicles and vehicle systems in order to optimize vehicle performance and fuel consumption. This instructional initiative is known as “Science to Sales.” Our field organization also works closely with distributors who, in turn, work with dealers to provide end users with education, parts, service and warranty support. The military marketing group follows a defined plan that identifies country, vehicle and specific OEMs and then approaches the ultimate end user through a variety of channels.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manufacturing strategy provides for distributed capability in manufacturing and assembly of our products for the global commercial vehicle market. Our primary manufacturing facilities, located in Indianapolis, Indiana, consist of approximately 3.2 million square feet of usable manufacturing space in seven plants. We also have established customization and parts distribution in The Netherlands, Brazil, China, Hungary, India and Japan. We have further expanded our global manufacturing presence to provide access to low-cost manufacturing and a regional presence to support our emerging market growth strategy. Our facilities are designed and located globally to respond to customer orders within competitive lead times and to minimize tangible and intangible market entry costs, while taking full advantage of our global supply chain. In support of these initiatives, we opened a plant in Chennai, India in 2010 and a plant in Szentgotthard, Hungary in 2011. Our Chennai facility manufactures gear components for our global manufacturing operations and allows us to control the quality and durability of the gears, consistent with those produced in our U.S. facilities, at a lower cost. Assembly of our 1000 and 2000 products commenced in 2012. In 2011, our Hungarian facility relocated our existing assembly and final test operations from a nearby GM plant, with which we have a contract manufacturing arrangement. This Allison facility is equipped to customize the units it produces to meet unique customer demands, a process formerly handled by our operations in The Netherlands. Our Chennai and Szentgotthard facilities also provide us with a meaningful level of manufacturing redundancy for our high volume on-highway transmission products.</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day-to-day manufacturing operations are sustained through the fundamentals of the Allison Transmission Global Manufacturing System (“GMS”). This system supports five key principles to ensure the highest quality and reliable products for our customers: people involvement, standardization, built-in quality, short lead time, and continuous improvement. All on-highway products manufacturing plants embrace these concepts in total, while production areas of lower product volumes apply specific GMS concepts applicable to their operations. Each of these principles is supported by key elements that serve as criteria for process execution that ensure minimized waste within the production system.</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high volume on-highway products are produced in multiple global locations while off-highway, hybrid-propulsion and military tracked products are produced in Indianapolis. The type of facility employed in a given area depends on regional product demand and delivery time requirements. Assemble-to-order is achieved through lean manufacturing processes with short lead times intended to respond to customer line sets in less than 10 days. GMS supports product-focused factories, which include lean-configured manufacturing cells and efficiently designed assembly lines that align with a specific product. We believe a comprehensive quality system and a regimented system structured around Kanban fundamentals are the foundation for the system’s dependability. Each factory is structured with its own dedicated leadership team. We have extensive in-house machining capabilities, significant technical expertise and advanced processes for component manufacturing and total product assembly. Manufacturing operations consist of the vast majority of machining processes utilized in the conversion of cast iron, steel and aluminum products into transmission components, as well as the heat treating facilities that exist in four of our plants.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Approximately 80% of the part numbers that make up our transmissions are purchased from outside suppliers. Based on thorough on-going analyses of our own manufacturing competencies in the context of supply base capabilities, the proportion of purchased parts has increased in our most recent product designs. This has enabled our valuable operations resources to be focused on the most complex, competitively differentiating, value-adding machining and assembly process elements at optimally efficient levels of capital expenditure.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Suppliers and Raw Materials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2012, we purchased approximately $800.0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10% of our direct material and component costs in 2012. The balance of our direct and indirect materials and components costs are primarily composed of value-added services and conversion costs. Over 60% of our supply contracts are for terms of greater than one year. Such contracts, along with an intensive supplier selection and performance monitoring process, have enabled us to establish and maintain close relationships with suppliers and have contributed to our overall operating efficiency and industry-leading quality.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30 issued patents, and we have licensing arrangements with respect to approximately 500 additional issued patents. We have more than 150 pending patent applications throughout the world that relate to aspects of the technology incorporated in many of our products.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addition, in conjunction with the sale of Allison by GM, we acquired an irrevocable, royalty-free, worldwide license of more than 250 U.S. and foreign patents and patent applications, as well as certain unpatented technology and know-how, to manufacture, use and sell fully-automatic transmissions and certain hybrid-propulsion systems for use in vocational and military vehicles and off-highway products. Such licenses are subject to certain limitations. See Part I, Item 1A, “Risk Factors” of this Annual Report on Form 10-K for a complete discussion of these risks and limitations. In addition, we acquired from GM an irrevocable, royalty-free, worldwide license under computer software programs that we use to run our business, including product design. Allison also acquired ownership of trademarks and copyrights relating to our business, subject in some cases to a non-exclusive license back to GM for use in connection with its existing six-speed A1000 transmission products, but only up to the termination of production of the A1000 transmission product by GM.</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However, this pattern has not always held in recent business cycles, particularly during and following an economic downturn. Working capital levels do not fluctuate significantly in the normal course for our business.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December 31, 2012, we had approximately 2,800 employees, with more than 90% of those employees in the U.S. Approximately 60% of our U.S. employees are represented by the International Union, United Automobile, Aerospace and Agricultural Implement Workers of America (“UAW”) and are subject to a collective bargaining agreement. In November 2012, we entered into a new five year agreement with the UAW Local 933 that expires in November 2017. The multi-tiered wage and benefit structure from the prior agreement was retained and the parties agreed to additional changes, such as implementing a new retirement health care plan and eliminating the consumer price index based cost of living allowance that had been part of the prior agreement. As approximately 55% of our represented employees are currently retirement eligible, we anticipate a significant shift toward increasing the number of second tier employees over the coming years. There have been no strikes or work stoppages due to Allison-specific issues in over 30 years.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Environmental</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applicable material laws and regulations in the U.S. Historically, our costs of achieving and maintaining compliance with environmental, health and safety requirements have not been material to our results.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increasing efforts globally to control emissions of carbon dioxide, methane and other greenhouse gases have the potential to impact our facilities, costs, products and customers. Pursuant to the Clean Air Act (“CAA”), the EPA has recently taken action to control greenhouse gases from certain stationary and mobile sources. These actions include issuance of a greenhouse gas reporting rule applicable to specified stationary sources, as well as a rule requiring limits on greenhouse gas emissions for certain sources under the CAA New Source Review of Significant Deterioration and Title V Operating Permit programs. The U.S. Congress is also considering proposals to limit greenhouse gas emissions, and several states have taken steps, such as adoption of cap and trade programs or other regulatory systems, to address greenhouse gases. At the same time, opponents of greenhouse gas regulation have initiated litigation, as well as introduced legislation in Congress, to delay, limit or eliminate the EPA’s, and possibly states’, actions to regulate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 As described above, we believe increased regulation of greenhouse gases will increase demand for green technologies, including our hybrid technologies.</w:t>
      </w:r>
    </w:p>
    <w:p>
      <w:pPr>
        <w:spacing w:after="0" w:line="12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Also, under the Asset Purchase Agreement, GM agreed to indemnify us against certain environmental liabilities, including pre-acquisition offsite waste disposal from our facilities, former facilities associated with our business and any properties or facilities relating to our business that GM retained. GM also continues to perform remedial activities at our Indianapolis, Indiana manufacturing facilities relating to historical soil and groundwater contamination at the facilities. GM is performing such activities pursuant to a voluntary Corrective Action Agreement with EPA and pursuant to the Asset Purchase Agreement retained responsibility for completing all remediation activities covered by the Corrective Action Agreement. Except to the extent specifically retained by GM, we would be responsible for environmental liabilities that may arise at any of our properties, including with respect to contamination that may have occurred at our properties prior to the Acquisition Transaction. Additionally, there can be no assurances that GM will comply with its indemnity obligations or with its remedial obligations at the Indianapolis, Indiana facility, or that future environmental remediation obligations will not have a material adverse impact on our results.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also may be subject to liability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compete on the basis of product performance, quality, price, distribution capability and service in addition to other factors. We face competition from numerous manufacturers of manual transmissions, AMTs and fully-automatic transmissions for commercial vehicles. We also face competition from manufacturers in our international operations and from international manufacturers entering our domestic market. Furthermore, some of our customers are OEMs that manufacture transmissions for their own products. Despite their transmission manufacturing 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http://ir.allisontransmission.com.We have included our website address throughout this filing as textual references only. The information contained on our website is not incorporated into this Annual Report on Form 10-K.</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actual results differ materially from those described in any forward-looking statements. It is impossible to predict or identify all such factors and, as a result, you should not consider the following factors to be a complete discussion of risks, uncertainties and assumptions.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significant amount of indebtedness. As of December 31, 2012, we had total indebtedness of $2,820.8 million and we would have been able to borrow an additional $400.0 million under the revolving portion of our credit facility, less $27.9 million of offsetting outstanding letters of credit. As of December 31, 2012, we had no outstanding borrowings against the revolving credit facility. Of our total indebtedness at December 31, 2012, $2,349.5 million consists of the term loans under ATI’s credit facility, including $411.4 million of indebtedness associated with ATI’s Senior Secured Credit Facility Term B-1 Loan due 2014 (“Term B-1 Loan”), $793.1 million of indebtedness associated with ATI’s Senior Secured Credit Facility Term B-2 Loan due 2017 (“Term B-2 Loan”), $1,145.0 million of indebtedness associated with ATI’s Senior Secured Credit Facility Term B-3 Loan due 2019 (“Term B-3 Loan” and together with the Term B-1 Loan, Term B-2 Loan, Term B-3 Loan and revolving credit facility defined as the “Senior Secured Credit Facility”). We also had indebtedness of $471.3 million of ATI’s 7.125% senior cash pay notes due May 2019 (“7.125% Senior Notes”). For a complete description of the terms of the Senior Secured Credit Facility and the 7.125% Senior Notes, please see Part II, Item 7, “Management’s Discussion and Analysis of Financial Condition and Results of Operations – Recent Developments,” “– Description of the Senior Secured Credit Facility” and “– Description of the Senior Notes.”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Senior Secured Credit Facility contains a maximum total senior secured leverage ratio. The Senior Secured Credit Facility and the indenture governing the 7.125%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51"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business operates in competitive markets. We compete against other global manufacturers on the basis of product performance, quality, price, distribution capability and service in addition to other factors. Actions by our competitors could lead to downward pressure on prices and/or a decline in our market share, either or both of which could adversely affect our results. We face competition from domestic manufacturers of manual transmissions, AMTs and fully-automatic transmissions for commercial vehicles. In particular, we could face competition from well-capitalized entrants into the transmission market, as well as from aggressive pricing tactics by other transmission manufacturers trying to gain market share. We also face competition from international manufacturers in our international markets and from international manufacturers entering our domestic market.</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some of our customers or future customers are OEMs that manufacture or could in the future manufacture transmissions for their own products. Despite their transmission manufacturing 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0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5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99"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5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may include the large existing installed base of manual transmissions, customer preferences for manual transmissions, commercial vehicle OEM integration into manual transmission and AMT manufacturing, and failure to further develop the Allison brand. If the rate of adoption of fully-automatic transmissions does not increase as we have anticipated, our long-term growth prospects and results of operations may be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40"/>
        <w:spacing w:after="0" w:line="259"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materially adverse effect on our results of operations.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2012, 2011 and 2010, our top five customers accounted for approximately 45%, 38% and 41% of our net sales, respectively. Our top three customers, Daimler, Navistar and Oshkosh, accounted for approximately 13%, 11% and 11%, respectively, of our net sales during 2012. The commercial vehicle industry, including our customers and suppliers, continues to experience volatility and uncertainty as a result of the recent global economic downturn.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228"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Sales of our hybrid-propulsion systems have been, and may continue to be, negatively impacted by governmental entities electing not to subsidize the purchase of such products by end users, and other external factors.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sales of our hybrid-propulsion systems for use in transit buses have been, and may continue to be, negatively impacted by governmental entities electing not to subsidize the purchase of such products by end users. In 2012, we derived approximately 6% of our net sales from the sale of hybrid-propulsion systems for use in transit buses to city, state and federal governmental end users. Such end users may be eligible to receive certain subsidies as a result of their purchase of vehicles using hybrid-propulsion systems. For example, the Federal Transit Authority and the DOE provide funds for end users to pursue alternative fuel propulsion systems. While we do not directly receive these subsidies, if any of the subsidizing entities elect to curtail such subsidies to end users for any reason including governmental budget reductions and related fiscal matters, failure of our hybrid technology to qualify for such subsidies or redundancy by alternative technologies created by our competitors, our sales from our hybrid-propulsion systems may be negatively impacted. In addition, other external factors, including diesel and natural gas fuel price trends, availability of compatible engine calibrations from engine manufacturers and alternative emerging green technologies, may negatively impact sales of our hybrid-propulsion systems. For the years ended December 31, 2012, 2011 and 2010, we experienced decreases in revenue generated from hybrid-propulsion systems for use in transit buses of 14%, 14% and 23%, respectively.</w:t>
      </w:r>
    </w:p>
    <w:p>
      <w:pPr>
        <w:spacing w:after="0" w:line="20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A majority of our sales to the military end market are to U.S. government entities, and the loss of a significant number of our contracts or declines would have a material adverse effect on our results of operations and financial condition.</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sales to the military end market are predominantly derived from contracts (revenue arrangements) with agencies of, and prime system contractors to, the U.S. government. The loss of all or a substantial portion of our net sales to the U.S. government would have a material adverse effect on our results of operations and financial condition. Approximately 14%, or $305.0 million, of our net sales for the year ended December 31, 2012 were made directly or indirectly to U.S. government agencies, including the DOD.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significant portion of our total net sales are for products and services under contracts with various agencies and procurement offices of the DOD or with prime contractors to the DOD. Although these various agencies, procurement offices and prime contractors are subject to common budgetary pressures and other factors, our customers exercise independent purchasing decisions. Because of this concentration of contracts, if a significant number of our DOD contracts and subcontracts are simultaneously delayed or cancelled for budgetary, performance or other reasons, it would have a material adverse effect on our results of operations and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reductions or changes in U.S. government spending could have a material adverse effect on our results of operations and financial condition.</w:t>
      </w:r>
    </w:p>
    <w:p>
      <w:pPr>
        <w:spacing w:after="0" w:line="12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have benefited from the upward trend in DOD budget authorization and spending outlays over recent years, including supplemental appropriations for military operations in Afghanistan. However, we expect future DOD spending on wheeled and tracked vehicles will likely decline. In particular, significant volume reductions in one of our Indianapolis plants, which primarily produces our U.S. military tracked products, may increase operating costs, which directly impacts our competitive advantage and would materially adversely affect our business, results of operations and financial condition. Moreover, as U.S. involvement in Afghanistan continues to diminish, the demand for our products may decline significantly, which could have a material adverse effect on our results of operations and financial condition.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declines in agency budgets, our future financial results may be adversely affected by:</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sequestration of the military’s spending for products and services;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and related fiscal matters;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Afghanistan, or other geopolitical developments that affect demand for our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Continued volatility in and disruption to the global economic environment may have a material adverse effect on our business, results of operations and financial condition.</w:t>
      </w:r>
    </w:p>
    <w:p>
      <w:pPr>
        <w:spacing w:after="0" w:line="5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global economy has recently experienced a period of significant volatility and disruption. The commercial vehicle industry as a whole has been more adversely affected by the economic conditions than many other industries, as the purchase or replacement of commercial vehicles, which are durable items, can be deferred for many reasons, including reduced spending by end users. Many of the economic and market conditions that drove the drop in commercial vehicle sales, primarily continued reduced spending by end users, continue to affect sales.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w:t>
      </w:r>
    </w:p>
    <w:p>
      <w:pPr>
        <w:spacing w:after="0" w:line="201" w:lineRule="exact"/>
        <w:rPr>
          <w:sz w:val="20"/>
          <w:szCs w:val="20"/>
          <w:color w:val="auto"/>
        </w:rPr>
      </w:pPr>
    </w:p>
    <w:p>
      <w:pPr>
        <w:ind w:left="240" w:right="140"/>
        <w:spacing w:after="0" w:line="332"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such as our H 40/50 EP hybrid-propulsion transit bus system, where certain units were falling short of their expected service life and our Predecessor decided to cover repair and replacement for an extended period. See NOTE 9 of Notes to Consolidated Financial Statements included in Part II, Item 8 of this Annual Report on Form 10-K for additional details regarding this warranty issue. We cannot give assurance similar product defects will not occur in the future.</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Furthermore, our business depends on the strong brand reputation we have developed. In addition to the risk of defective products we face with our new product installations,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responding to customer needs.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currently have more new products under development than at any time in our history as a result of increased spending on new product development in recent years. The development of new products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those new products become widely-accepted by the market. If we do not adequately anticipate the changing needs of our customers by developing and introducing new and effective products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Non-North American net sales represented approximately 22% of our net sales for 2012. Most of our operations are in the U.S., but we also have a manufacturing and customization facility in India, a manufacturing and customization facility in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6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risks, including risks of loss due to civil disturbances, acts of terrorism, acts of war, guerilla activities and insurrection;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213" w:lineRule="exact"/>
        <w:rPr>
          <w:sz w:val="20"/>
          <w:szCs w:val="20"/>
          <w:color w:val="auto"/>
        </w:rPr>
      </w:pPr>
    </w:p>
    <w:p>
      <w:pPr>
        <w:ind w:left="240" w:right="880"/>
        <w:spacing w:after="0" w:line="268"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requirements, which could adversely affect our reputation, business, financial condition and results of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current economic environment could adversely affect our ability and the ability of our customers and suppliers to obtain credit.</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the current economic environment,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approximately 60% of our U.S. employees, representing over 50% of our total employees, were represented by the UAW and are subject to a collective bargaining agreement. In November 2012, we reached an agreement on a new five-year collective bargaining agreement with the UAW Local 933, which is effective through November 2017.</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1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general, we consider our labor relations with all of our employees to be good. However, in the future we may be subject to labor unrest. The inability to reach a new agreement could delay or disrupt our operations in the affected regions, including the acquisition of raw materials and components, the manufacture, sales and distribution of products and the provision of services.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the event of a catastrophic loss of one of our key manufacturing facilities, our business would be adversely affected.</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maintain approximately 90% of our production capacity. In addition to our Indianapolis manufacturing facilities, we currently operate manufacturing facilities in both Szentgotthard, Hungary and Chennai, India. However, those facilities are smaller and newer than the Indianapolis facilities. In the event of a disruption at the Indianapolis facilities, they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Increases in cost, disruption of supply or shortage of raw materials or components used in our products could harm our business and profitability.</w:t>
      </w:r>
    </w:p>
    <w:p>
      <w:pPr>
        <w:spacing w:after="0" w:line="125"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In recent years, we have experienced significant volatility in the cost of raw materials such as steel, aluminum and nickel, as well as in freight charges, and such volatility in the prices of these commodities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0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2012, approximately 80% of our total spending on components was sourced from approximately 40 suppliers.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must be validated or materials and components must be purchased from a supplier without a completed PPAP.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Federal Acquisition Regulation, International Traffic in Arms Regulations, Foreign Assets Control documentation and regulations from the Bureau of Alcohol, Tobacco and Firearms and the FCPA.</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w:t>
      </w:r>
    </w:p>
    <w:p>
      <w:pPr>
        <w:spacing w:after="0" w:line="201"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for our ability to perform on classified contracts for the U.S. government.</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Certain contracts with the various departments and agencies of the U.S. government, including the DOD, require that our offices be issued facility security clearances under the National Industrial Security Program. The National Industrial Security Program requires that a corporation maintaining a facility security clearance be effectively insulated from foreign ownership, control or influence (“FOCI”). Because one of our principal stockholders is a Canadian entity, we have agreed to, and have implemented, a Security Control Agreement with the Defense Security Service (“DSS”), as a suitable FOCI mitigation arrangement under the National Industrial Security Program Operating Manual. A FOCI arrangement is necessary for us to continue to maintain the requisite security clearances to complete performance under these contracts. Failure to reach and/or maintain an appropriate agreement with DSS regarding the appropriate FOCI mitigation arrangement could result in invalidation or termination of the security clearances, which in turn would mean that we would not be able to enter into future contracts with the U.S. government requiring facility security clearances, and may result in the loss of our ability to complete certain of our existing contracts with the U.S. government.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11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6"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In connection with the Acquisition Transaction, under the patent and technology license agreement (the “Patent and Technology License Agreement”), GM granted us an irrevocable, perpetual, royalty-free, worldwide license under a large number of U.S. and foreign patents and patent applications, as well as certain unpatented technology and know-how, to design, develop, manufacture, use and sell fully-automatic transmissions and H 40/50 EP hybrid-propulsion transit bus systems for use in certain vocational vehicles, military vehicles and off-road products. With respect to the bulk of the intellectual property licensed to us under such license agreement, our license is exclusive with respect to the design, development, manufacture, use and sale of fully-automatic transmissions and H 40/50 EP hybrid-propulsion transit bus systems in vocational vehicles above certain weight rating thresholds, certain military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pursuant to the terms of such license agreement, GM has the right, in the first instance, to control the maintenance, enforcement and defense of such patents and the prosecution of the licensed patent applications. In addition, the license agreement limits our ability to sublicense our rights. The Patent and Technology License Agreement permits us to utilize the bulk of the intellectual property rights on an exclusive basis in non-military vehicles with gross vehicle weights above 5900 kilograms (typically Class 4 and higher) with some limited exceptions for GM light-duty pickup truck and van platforms. It also permits us to utilize the bulk of the intellectual property rights on an exclusive basis in military vehicles that exceed 4250 kilograms (generally Class 3 to Class 4 and higher). GM continues to have the right under such patents and technology to utilize the licensed intellectual property for use in vehicles below the above mentioned rating thresholds, as well as in some light-duty van and pickup truck platforms.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have expired since the date of the Acquisition Transaction, and others are set to expire in the next few years. When a patent expires, the inventions it discloses can be used freely by others. Thus, the competitive advantage that we gain from the patents licensed to us from GM pursuant to the Acquisition Transaction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pension funding obligations could increase significantly due to a reduction in funded status as a result of a variety of factors.</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requires that income or expense for defined benefit pension plans be calculated at the annual measurement date using actuarial assumptions and calculations. These calculations reflect certain assumptions, the most significant of which relate to the capital markets, interest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2012 defined benefit pension plans obligation of approximately $16.5 million. Likewise, a one percentage point decrease in the effective interest rate for determining defined benefit pension plans contributions would result in an increase in the minimum required contributions for 2013 of approximately $4.7 million. Similarly, a one percentage point decrease in the assumed discount rate would result in an increase in the December 31, 2012 OPEB obligation of approximately $27.3 million. As of December 31, 2012 the unfunded status of our defined benefit pension plans and OPEB benefits was $13.9 million and $142.6 million, respectively.</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in the future, we could incur additional costs in order to ensure that our business and products comply with such regulations.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23"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We may be subject to liability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GM continues to perform remedial activities at our Indianapolis, Indiana manufacturing facilities relating to historical soil and groundwater contamination at the facilities. GM is performing such activities pursuant to a voluntary Corrective Action Agreement with the U.S. Environmental Protection Agency, which we refer to as the Corrective Action. GM retained responsibility for completing all remediation activities covered by the Corrective Action at the Indianapolis, Indiana facilities, and agreed to indemnify us against certain environmental liabilities. See Part I, Item 1, “Business</w:t>
      </w:r>
    </w:p>
    <w:p>
      <w:pPr>
        <w:spacing w:after="0" w:line="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Environmental” of this Annual Report on Form 10-K. There can be no assurances that GM will comply with its indemnity obligations or with its remedial obligations at the Indianapolis, Indiana facilities, or that future environmental remediation obligations will not have a material adverse effect on our results of operations. In addition, we occasionally evaluate various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our cost structure and operating discipline to achieve strong operating margins. There are many factors that could affect our ability to realize expected cost savings or achieve future cost savings that we are not able to control, including the inability to meet demand through our low-cost country sourcing model; the need for unexpected significant capital expenditures; unexpected changes in commodity or component pricing that we are unable to pass on to our suppliers or customers; our inability to maintain efficiencies gained from our workforce optimization initiatives; and our failure to achieve and maintain expected cost savings from our multi-tier wage and benefit structure. Additionally, we have substantial indebtedness of approximately $2,820.8 million as of December 31, 2012. Our inability to maintain our cost controls could adversely impact our operating margins.</w:t>
      </w:r>
    </w:p>
    <w:p>
      <w:pPr>
        <w:spacing w:after="0" w:line="20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publicly traded company, and our management is required to devote substantial time to new and continued compliance initiatives.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publicly traded company, we have incurred, and will continue to incur, additional legal, accounting and other expenses that we did not previously incur while a private company. In addition, the Sarbanes-Oxley Act of 2002 (the “Sarbanes-Oxley Act”), the Dodd-Frank Wall Street Reform and Consumer Protection Act and the rules of the SEC and the New York Stock Exchange (“NYSE”), have imposed various requirements on public companies. Our management and other personnel devote a substantial amount of time to these compliance initiatives. Moreover, these rules and regulations have increased, and will continue to increase, our legal and financial compliance costs and have made, and will continue to make, some activities more time-consuming and costly. For example, these rules and regulations make it more difficult and more expensive for us to obtain director and officer liability insurance, and we are required to incur additional costs to maintain the same or similar coverage.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experienced significant losses and we cannot assure you that we will achieve or maintain profitability.</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our net income for fiscal years 2012, 2011 and 2010 was $514.2 million, $103.0 million and $29.6 million, respectively, we had net losses of $328.1 million and $323.9 million for fiscal years 2008 and 2009, respectively. Our ability to achieve or maintain profitability is dependent upon a number of risks and uncertainties, many of which are beyond our control. We cannot ensure that we will be successful in executing our business strategy and achieving or maintaining profitability, and our failure to do so could have a material adverse effect on the price of our common stock and our ability to satisfy our obligations, including making payments on our indebtedness.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and our ability to generate cash depends on many factors beyond our control.</w:t>
      </w:r>
    </w:p>
    <w:p>
      <w:pPr>
        <w:spacing w:after="0" w:line="1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$400.0 million under the revolving portion of the Senior Secured Credit Facility. If new debt is added to our current debt levels and our subsidiaries’ current debt levels, the related risks that we and they now face could intensify.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British Pound,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 actions may materially affect our business and operating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are an independent company as a result of the Acquisition Transaction, GM’s future actions may still have a material impact on our business and results of operations. Pursuant to the Cure Agreement resulting from GM’s emergence from bankruptcy in 2009, GM has assumed certain agreements from its predecessor, including the Asset Purchase Agreement, intellectual property and software license agreements, lease agreements, engineering services agreements, an employee matters agreement and a hybrid co-branding agreement. GM’s failure to comply with any portion of these agreements for any reason, including the indemnities therein, could inhibit us from operating and expanding our business in the future.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Additionally, GM has received a non-exclusive, royalty-free, worldwide license to use the “Allison Transmission” name and certain related trademarks on GM’s line of A1000 transmission for use primarily in Class 2 and 3 pick up trucks. If GM, or any of its subsidiaries or affiliated entities, or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connection with the Acquisition Transaction, we entered into a mutual non-compete agreement with GM that restricts GM from competing with us in non-military vehicles in North America with gross vehicle weights above 5900 kilograms (typically Class 4 and higher) with some limited exceptions for certain GM light-duty pickup truck and van platforms. It also restricts GM from competing with us in military vehicles globally and in non-military vehicles outside North America that exceed 4250 kilograms (generally Class 3 to Class 4 and higher) with some limited exceptions. The non-compete periods extend until August 2017 globally, except in Europe, where they expired in 2012. Similarly, we are restricted from competing with GM in weight classes below the above mentioned thresholds for similar periods of time. Upon expiration of the non-competition periods, both Allison and GM will be permitted to compete with each other but such expiration will generally not affect Allison’s rights under the Patent and Technology License Agreement to use on an exclusive basis within its respective weight classes (subject to previously mentioned exceptions) the intellectual property that is licensed to Allison on an exclusive basis.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because of our current manufacturing services agreement with Opel Szentgotthard Automotive Manufacturing Ltd., a GM subsidiary, we may be materially adversely affected by the failure of GM to perform as expected. This non-performance may consist of delays or failures caused by production issues. The risk of non-performance may also result from the insolvency or bankruptcy of GM. GM’s ability to provide personnel and technical resources to us is also subject to a number of risks, including destruction of our equipment or work stoppages. In addition, our failure to provide an adequate facility, or order sufficient quantities of inventory, may increase the cost of production or may lead to GM refusing to provide resources to us at all. Our efforts to protect against and to minimize these risks may not always be effective.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Usage of our net operating losses for U.S. federal income tax purposes may be subject to limitations in the future.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2012, we had $363.0 million of net operating losses for U.S. federal income tax purposes. If we continue to generate taxable income in the future, we may be able to utilize these net operating losses to offset future federal income tax liabilities. In addition, our future financial performance may diminish our tax savings more rapidly than we currently anticipate. To the extent possible, we will structure our operating activities to minimize our income tax liabilities. However, there can be no assurance we will be able to reduce it to a specified level. Additionally, we are a controlled company, with two of our shareholders owning approximately 82% of our common stock, and should either of these shareholders sell a significant amount of their holdings we may experience a delay in our ability to recognize a portion of our net operating losses under Internal Revenue Code 382.</w:t>
      </w:r>
    </w:p>
    <w:p>
      <w:pPr>
        <w:spacing w:after="0" w:line="201"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An impairment in the carrying value of goodwill or other indefinite-lived intangible assets could negatively affect our consolidated results of operations and net worth.</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annual goodwill and trade name impairment test for the year ended December 31, 2012 resulted in no impairment. Although our analysis regarding the fair values of our goodwill and trade name indicates that they more likely than not exceed their carrying values, materially different assumptions regarding the future performance of our business could result in impairment losses. See NOTE 2 and NOTE 5 of Notes to Consolidated Financial Statements included in Part II, Item 8 of this Annual Report on From 10-K for additional details.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controlled by Carlyle and Onex, whose interests in our business may be different than our other stockholders.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2012, Carlyle and Onex each owned approximately 40.9% of our equity. Pursuant to an amended and restated stockholders agreement, a majority of the Board of Directors has been designated by Carlyle and Onex and is affiliated with Carlyle and Onex. See Part III, Item 13, “Certain Relationships and Related Transactions, and Director Independence” of this Annual Report on Form 10-K. As a result, Carlyle and Onex or their nominees to the Board of Directors have the ability to control the appointment of our management, the entering into of mergers, sales of substantially all of our assets and other extraordinary transactions and influence amendments to our certificate of incorporation. So long as Carlyle and Onex continue to own a majority of our equity, they will have the ability to control the vote in any election of directors and will have the ability to prevent any transaction that requires stockholder approval regardless of whether others believe the transaction is in our best interests. The interests of Carlyle and Onex could conflict with those of our other stockholders. In addition, Carlyle and Onex may in the future own businesses that directly compete with ours.</w:t>
      </w:r>
    </w:p>
    <w:p>
      <w:pPr>
        <w:spacing w:after="0" w:line="199" w:lineRule="exact"/>
        <w:rPr>
          <w:sz w:val="20"/>
          <w:szCs w:val="20"/>
          <w:color w:val="auto"/>
        </w:rPr>
      </w:pPr>
    </w:p>
    <w:p>
      <w:pPr>
        <w:jc w:val="both"/>
        <w:ind w:left="240" w:right="160"/>
        <w:spacing w:after="0" w:line="259"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and the indenture governing the 7.125% Senior Notes as well as any future agreements.</w:t>
      </w:r>
    </w:p>
    <w:p>
      <w:pPr>
        <w:spacing w:after="0" w:line="5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Board of Directors declared quarterly dividends of $0.06 per share of common stock beginning in the second quarter of 2012.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and the indenture governing the 7.125% Senior Notes also effectively limit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20"/>
        <w:spacing w:after="0" w:line="357"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ind w:right="260" w:firstLine="456"/>
        <w:spacing w:after="0" w:line="259" w:lineRule="auto"/>
        <w:rPr>
          <w:sz w:val="20"/>
          <w:szCs w:val="20"/>
          <w:color w:val="auto"/>
        </w:rPr>
      </w:pPr>
      <w:r>
        <w:rPr>
          <w:rFonts w:ascii="Arial" w:cs="Arial" w:eastAsia="Arial" w:hAnsi="Arial"/>
          <w:sz w:val="18"/>
          <w:szCs w:val="18"/>
          <w:color w:val="auto"/>
        </w:rPr>
        <w:t>As of March 12, 2012, 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59" w:lineRule="exact"/>
        <w:rPr>
          <w:sz w:val="20"/>
          <w:szCs w:val="20"/>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 if the Sponsors and their respective affiliates (other than Allison) collectively cease to own more than 50% of our common stock;</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 if the Sponsors and their respective affiliates (other than Allison) collectively cease to own more than 50% of our common stock;</w:t>
      </w:r>
    </w:p>
    <w:p>
      <w:pPr>
        <w:spacing w:after="0" w:line="5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 if the Sponsors and their respective affiliates (other than Allison) collectively cease to own more than 50% of our common stock;</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 classified Board of Directors, with three staggered terms; and</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 if the Sponsors and their respective affiliates (other than Allison) collectively cease to own more than 50% of our common stock.</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our non-controlling stockholders to elect directors of their choosing and cause us to take corporate actions other than those they desire.</w:t>
      </w:r>
    </w:p>
    <w:p>
      <w:pPr>
        <w:spacing w:after="0" w:line="221" w:lineRule="exact"/>
        <w:rPr>
          <w:sz w:val="20"/>
          <w:szCs w:val="20"/>
          <w:color w:val="auto"/>
        </w:rPr>
      </w:pPr>
    </w:p>
    <w:p>
      <w:pPr>
        <w:ind w:left="240" w:right="40"/>
        <w:spacing w:after="0" w:line="382" w:lineRule="auto"/>
        <w:rPr>
          <w:sz w:val="20"/>
          <w:szCs w:val="20"/>
          <w:color w:val="auto"/>
        </w:rPr>
      </w:pPr>
      <w:r>
        <w:rPr>
          <w:rFonts w:ascii="Arial" w:cs="Arial" w:eastAsia="Arial" w:hAnsi="Arial"/>
          <w:sz w:val="14"/>
          <w:szCs w:val="14"/>
          <w:b w:val="1"/>
          <w:bCs w:val="1"/>
          <w:i w:val="1"/>
          <w:iCs w:val="1"/>
          <w:color w:val="auto"/>
        </w:rPr>
        <w:t>We are a “controlled company” within the meaning of the NYSE rules and, as a result, qualify for, and rely on, exemptions from certain corporate governance requirements. Our stockholders do not have the same protections afforded to stockholders of companies that are subject to such requirements.</w:t>
      </w:r>
    </w:p>
    <w:p>
      <w:pPr>
        <w:spacing w:after="0" w:line="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of December 31, 2012, Carlyle and Onex continue to control a majority of the voting power of our outstanding common stock. As a result, we are a “controlled company” within the meaning of the NYSE corporate governance standards. Under these rules, a company of which more than 50% of the voting power is held by an individual, group or another company is a “controlled company” and may elect not to comply with certain corporate governance requirements, including:</w:t>
      </w:r>
    </w:p>
    <w:p>
      <w:pPr>
        <w:spacing w:after="0" w:line="6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19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currently utilize certain of these exemptions and intend to continue to do so for so long as we continue to qualify as a “controlled company.” Our nominating and corporate governance and compensation committees do not consist entirely of independent directors and such committees are not subject to annual performance evaluations. Accordingly, our stockholders do not have the same protections afforded to stockholders of companies that are subject to all of the corporate governance requirements of the NYSE.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world headquarters, which we own, is located at One Allison Way, Indianapolis, Indiana 46222. As of December 31, 2012, we have a total of 16 manufacturing and certain other facilities in six countries. The following table sets forth certain information regarding these facilities.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Approximate</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Owned /</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Plant</w:t>
            </w:r>
          </w:p>
        </w:tc>
        <w:tc>
          <w:tcPr>
            <w:tcW w:w="2060" w:type="dxa"/>
            <w:vAlign w:val="bottom"/>
          </w:tcPr>
          <w:p>
            <w:pPr>
              <w:spacing w:after="0"/>
              <w:rPr>
                <w:sz w:val="15"/>
                <w:szCs w:val="15"/>
                <w:color w:val="auto"/>
              </w:rPr>
            </w:pPr>
          </w:p>
        </w:tc>
        <w:tc>
          <w:tcPr>
            <w:tcW w:w="1480" w:type="dxa"/>
            <w:vAlign w:val="bottom"/>
            <w:vMerge w:val="restart"/>
          </w:tcPr>
          <w:p>
            <w:pPr>
              <w:ind w:left="760"/>
              <w:spacing w:after="0"/>
              <w:rPr>
                <w:sz w:val="20"/>
                <w:szCs w:val="20"/>
                <w:color w:val="auto"/>
              </w:rPr>
            </w:pPr>
            <w:r>
              <w:rPr>
                <w:rFonts w:ascii="Arial" w:cs="Arial" w:eastAsia="Arial" w:hAnsi="Arial"/>
                <w:sz w:val="18"/>
                <w:szCs w:val="18"/>
                <w:color w:val="auto"/>
                <w:w w:val="72"/>
              </w:rPr>
              <w:t>Indianapolis</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152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Size (ft</w:t>
            </w:r>
            <w:r>
              <w:rPr>
                <w:rFonts w:ascii="Arial" w:cs="Arial" w:eastAsia="Arial" w:hAnsi="Arial"/>
                <w:sz w:val="20"/>
                <w:szCs w:val="20"/>
                <w:b w:val="1"/>
                <w:bCs w:val="1"/>
                <w:color w:val="auto"/>
                <w:w w:val="91"/>
                <w:vertAlign w:val="superscript"/>
              </w:rPr>
              <w:t>2</w:t>
            </w:r>
            <w:r>
              <w:rPr>
                <w:rFonts w:ascii="Arial" w:cs="Arial" w:eastAsia="Arial" w:hAnsi="Arial"/>
                <w:sz w:val="13"/>
                <w:szCs w:val="13"/>
                <w:b w:val="1"/>
                <w:bCs w:val="1"/>
                <w:color w:val="auto"/>
                <w:w w:val="91"/>
              </w:rPr>
              <w:t>)</w:t>
            </w:r>
          </w:p>
        </w:tc>
        <w:tc>
          <w:tcPr>
            <w:tcW w:w="9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Leased</w:t>
            </w:r>
          </w:p>
        </w:tc>
        <w:tc>
          <w:tcPr>
            <w:tcW w:w="440" w:type="dxa"/>
            <w:vAlign w:val="bottom"/>
          </w:tcPr>
          <w:p>
            <w:pPr>
              <w:spacing w:after="0"/>
              <w:rPr>
                <w:sz w:val="15"/>
                <w:szCs w:val="15"/>
                <w:color w:val="auto"/>
              </w:rPr>
            </w:pPr>
          </w:p>
        </w:tc>
        <w:tc>
          <w:tcPr>
            <w:tcW w:w="1280" w:type="dxa"/>
            <w:vAlign w:val="bottom"/>
            <w:vMerge w:val="restart"/>
          </w:tcPr>
          <w:p>
            <w:pPr>
              <w:ind w:left="440"/>
              <w:spacing w:after="0"/>
              <w:rPr>
                <w:sz w:val="20"/>
                <w:szCs w:val="20"/>
                <w:color w:val="auto"/>
              </w:rPr>
            </w:pPr>
            <w:r>
              <w:rPr>
                <w:rFonts w:ascii="Arial" w:cs="Arial" w:eastAsia="Arial" w:hAnsi="Arial"/>
                <w:sz w:val="18"/>
                <w:szCs w:val="18"/>
                <w:color w:val="auto"/>
                <w:w w:val="81"/>
              </w:rPr>
              <w:t>Engineering,</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line="201" w:lineRule="exact"/>
              <w:rPr>
                <w:sz w:val="20"/>
                <w:szCs w:val="20"/>
                <w:color w:val="auto"/>
              </w:rPr>
            </w:pPr>
            <w:r>
              <w:rPr>
                <w:rFonts w:ascii="Arial" w:cs="Arial" w:eastAsia="Arial" w:hAnsi="Arial"/>
                <w:sz w:val="18"/>
                <w:szCs w:val="18"/>
                <w:color w:val="auto"/>
                <w:w w:val="77"/>
              </w:rPr>
              <w:t>Plant</w:t>
            </w:r>
          </w:p>
        </w:tc>
        <w:tc>
          <w:tcPr>
            <w:tcW w:w="2060" w:type="dxa"/>
            <w:vAlign w:val="bottom"/>
          </w:tcPr>
          <w:p>
            <w:pPr>
              <w:jc w:val="right"/>
              <w:ind w:right="1732"/>
              <w:spacing w:after="0" w:line="201" w:lineRule="exact"/>
              <w:rPr>
                <w:sz w:val="20"/>
                <w:szCs w:val="20"/>
                <w:color w:val="auto"/>
              </w:rPr>
            </w:pPr>
            <w:r>
              <w:rPr>
                <w:rFonts w:ascii="Arial" w:cs="Arial" w:eastAsia="Arial" w:hAnsi="Arial"/>
                <w:sz w:val="18"/>
                <w:szCs w:val="18"/>
                <w:color w:val="auto"/>
              </w:rPr>
              <w:t>#3</w:t>
            </w:r>
          </w:p>
        </w:tc>
        <w:tc>
          <w:tcPr>
            <w:tcW w:w="14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927,000</w:t>
            </w:r>
          </w:p>
        </w:tc>
        <w:tc>
          <w:tcPr>
            <w:tcW w:w="9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Own</w:t>
            </w:r>
          </w:p>
        </w:tc>
        <w:tc>
          <w:tcPr>
            <w:tcW w:w="4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5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88"/>
              </w:rPr>
              <w:t>Operational Support</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#4</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425,900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#6</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431,500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#16</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391,700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#12</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534,900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#14</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481,100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#15</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126,400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Lease</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#17</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389,000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Parts Distribution Center</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#20 Tech. Center</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59,000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Plant #21 Tech. Center</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Indianapolis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Hungary</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149,000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w w:val="94"/>
              </w:rPr>
              <w:t>Manufacturing &amp; Customization</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Hungary</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3,900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China</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38,000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Lease</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Santo Amaro/Sorocabo</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Brazil</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31,400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Chennai</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India</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258,500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Own</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auto"/>
              </w:rPr>
              <w:t>Dubai</w:t>
            </w:r>
          </w:p>
        </w:tc>
        <w:tc>
          <w:tcPr>
            <w:tcW w:w="3540" w:type="dxa"/>
            <w:vAlign w:val="bottom"/>
            <w:gridSpan w:val="3"/>
          </w:tcPr>
          <w:p>
            <w:pPr>
              <w:ind w:left="760"/>
              <w:spacing w:after="0"/>
              <w:rPr>
                <w:sz w:val="20"/>
                <w:szCs w:val="20"/>
                <w:color w:val="auto"/>
              </w:rPr>
            </w:pPr>
            <w:r>
              <w:rPr>
                <w:rFonts w:ascii="Arial" w:cs="Arial" w:eastAsia="Arial" w:hAnsi="Arial"/>
                <w:sz w:val="18"/>
                <w:szCs w:val="18"/>
                <w:color w:val="auto"/>
              </w:rPr>
              <w:t>United Arab Emirates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16,500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Lease</w:t>
            </w:r>
          </w:p>
        </w:tc>
        <w:tc>
          <w:tcPr>
            <w:tcW w:w="2820" w:type="dxa"/>
            <w:vAlign w:val="bottom"/>
            <w:gridSpan w:val="3"/>
          </w:tcPr>
          <w:p>
            <w:pPr>
              <w:ind w:left="44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8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Shares of our common stock began trading on the NYSE under the symbol “ALSN” on March 15, 2012. Prior to that time, there was no established public trading market for our common stock. The following table sets forth the high and low sale prices per share for our common stock on the NYSE and the dividends declared per share for each quarter for the periods indicated:</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Dividends</w:t>
            </w:r>
          </w:p>
        </w:tc>
      </w:tr>
      <w:tr>
        <w:trPr>
          <w:trHeight w:val="161"/>
        </w:trPr>
        <w:tc>
          <w:tcPr>
            <w:tcW w:w="686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High</w:t>
            </w: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Low</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First Quarter (beginning March 15, 2012)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$25.20</w:t>
            </w:r>
          </w:p>
        </w:tc>
        <w:tc>
          <w:tcPr>
            <w:tcW w:w="5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$22.70</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$25.22</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$20.65</w:t>
            </w:r>
          </w:p>
        </w:tc>
        <w:tc>
          <w:tcPr>
            <w:tcW w:w="5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$15.82</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2012, there were 40 stockholders of record of our common stock. The number of record holders is based upon the actual number of holders registered on the books of the Company at such date and does not include holders of shares in “street name” or persons, partnerships, associations, corporations or other entities identified in security position listings maintained by depositories.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Board of Directors declared quarterly dividends of $0.06 per share beginning in the second quarter of 2012. Prior to these dividend payments, we had not paid dividends on our common stock. We expect to continue paying cash dividends on a quarterly basis; however, future dividends are subject to approval of the Board of Directors and may be adjusted as business needs or market conditions 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9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During the period covered by this Annual Report on Form 10-K, we did not offer or sell any securities that were not registered under the Securities Act of 1933, as amended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any of our equity securities during the fourth quarter of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the securities authorized for issuance under our equity compensation plans, see Part II, Item 12 of this Annual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Pall Corporation, Donaldson Company Inc., Graco Inc., Roper Industries Inc., Gentex Corporation, Rockwell Automation Inc. and Sensata Technologies Holding N.V. The graph assumes $100 was invested on March 15,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121920</wp:posOffset>
            </wp:positionV>
            <wp:extent cx="4939665" cy="3018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9665"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 March 15,</w:t>
            </w:r>
          </w:p>
        </w:tc>
        <w:tc>
          <w:tcPr>
            <w:tcW w:w="148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As of December 31,</w:t>
            </w:r>
          </w:p>
        </w:tc>
      </w:tr>
      <w:tr>
        <w:trPr>
          <w:trHeight w:val="161"/>
        </w:trPr>
        <w:tc>
          <w:tcPr>
            <w:tcW w:w="3860" w:type="dxa"/>
            <w:vAlign w:val="bottom"/>
          </w:tcPr>
          <w:p>
            <w:pPr>
              <w:spacing w:after="0"/>
              <w:rPr>
                <w:sz w:val="14"/>
                <w:szCs w:val="14"/>
                <w:color w:val="auto"/>
              </w:rPr>
            </w:pPr>
          </w:p>
        </w:tc>
        <w:tc>
          <w:tcPr>
            <w:tcW w:w="442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2012</w:t>
            </w:r>
          </w:p>
        </w:tc>
      </w:tr>
      <w:tr>
        <w:trPr>
          <w:trHeight w:val="210"/>
        </w:trPr>
        <w:tc>
          <w:tcPr>
            <w:tcW w:w="3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Allison Transmission Holdings, Inc.</w:t>
            </w:r>
          </w:p>
        </w:tc>
        <w:tc>
          <w:tcPr>
            <w:tcW w:w="30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$100.00</w:t>
            </w:r>
          </w:p>
        </w:tc>
        <w:tc>
          <w:tcPr>
            <w:tcW w:w="7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8"/>
                <w:szCs w:val="18"/>
                <w:color w:val="auto"/>
              </w:rPr>
              <w:t>$ 88.06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S&amp;P 500 Index</w:t>
            </w:r>
          </w:p>
        </w:tc>
        <w:tc>
          <w:tcPr>
            <w:tcW w:w="4420" w:type="dxa"/>
            <w:vAlign w:val="bottom"/>
            <w:gridSpan w:val="2"/>
          </w:tcPr>
          <w:p>
            <w:pPr>
              <w:jc w:val="right"/>
              <w:ind w:right="302"/>
              <w:spacing w:after="0"/>
              <w:rPr>
                <w:sz w:val="20"/>
                <w:szCs w:val="20"/>
                <w:color w:val="auto"/>
              </w:rPr>
            </w:pPr>
            <w:r>
              <w:rPr>
                <w:rFonts w:ascii="Arial" w:cs="Arial" w:eastAsia="Arial" w:hAnsi="Arial"/>
                <w:sz w:val="18"/>
                <w:szCs w:val="18"/>
                <w:color w:val="auto"/>
              </w:rPr>
              <w:t>100.00</w:t>
            </w:r>
          </w:p>
        </w:tc>
        <w:tc>
          <w:tcPr>
            <w:tcW w:w="740" w:type="dxa"/>
            <w:vAlign w:val="bottom"/>
          </w:tcPr>
          <w:p>
            <w:pPr>
              <w:spacing w:after="0"/>
              <w:rPr>
                <w:sz w:val="18"/>
                <w:szCs w:val="18"/>
                <w:color w:val="auto"/>
              </w:rPr>
            </w:pPr>
          </w:p>
        </w:tc>
        <w:tc>
          <w:tcPr>
            <w:tcW w:w="1480" w:type="dxa"/>
            <w:vAlign w:val="bottom"/>
          </w:tcPr>
          <w:p>
            <w:pPr>
              <w:jc w:val="right"/>
              <w:ind w:right="360"/>
              <w:spacing w:after="0"/>
              <w:rPr>
                <w:sz w:val="20"/>
                <w:szCs w:val="20"/>
                <w:color w:val="auto"/>
              </w:rPr>
            </w:pPr>
            <w:r>
              <w:rPr>
                <w:rFonts w:ascii="Arial" w:cs="Arial" w:eastAsia="Arial" w:hAnsi="Arial"/>
                <w:sz w:val="18"/>
                <w:szCs w:val="18"/>
                <w:color w:val="auto"/>
              </w:rPr>
              <w:t>103.52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442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100.00</w:t>
            </w: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99.32</w:t>
            </w:r>
          </w:p>
        </w:tc>
      </w:tr>
      <w:tr>
        <w:trPr>
          <w:trHeight w:val="363"/>
        </w:trPr>
        <w:tc>
          <w:tcPr>
            <w:tcW w:w="3860" w:type="dxa"/>
            <w:vAlign w:val="bottom"/>
          </w:tcPr>
          <w:p>
            <w:pPr>
              <w:spacing w:after="0"/>
              <w:rPr>
                <w:sz w:val="24"/>
                <w:szCs w:val="24"/>
                <w:color w:val="auto"/>
              </w:rPr>
            </w:pPr>
          </w:p>
        </w:tc>
        <w:tc>
          <w:tcPr>
            <w:tcW w:w="3080" w:type="dxa"/>
            <w:vAlign w:val="bottom"/>
          </w:tcPr>
          <w:p>
            <w:pPr>
              <w:jc w:val="right"/>
              <w:ind w:right="1517"/>
              <w:spacing w:after="0"/>
              <w:rPr>
                <w:sz w:val="20"/>
                <w:szCs w:val="20"/>
                <w:color w:val="auto"/>
              </w:rPr>
            </w:pPr>
            <w:r>
              <w:rPr>
                <w:rFonts w:ascii="Arial" w:cs="Arial" w:eastAsia="Arial" w:hAnsi="Arial"/>
                <w:sz w:val="18"/>
                <w:szCs w:val="18"/>
                <w:color w:val="auto"/>
              </w:rPr>
              <w:t>33</w:t>
            </w: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five years ended December 31, 2012.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Dec. 31,</w:t>
            </w:r>
          </w:p>
        </w:tc>
        <w:tc>
          <w:tcPr>
            <w:tcW w:w="14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 31,</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Dec. 31,</w:t>
            </w:r>
          </w:p>
        </w:tc>
        <w:tc>
          <w:tcPr>
            <w:tcW w:w="1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Dec. 31,</w:t>
            </w:r>
          </w:p>
        </w:tc>
        <w:tc>
          <w:tcPr>
            <w:tcW w:w="1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 31,</w:t>
            </w:r>
          </w:p>
        </w:tc>
      </w:tr>
      <w:tr>
        <w:trPr>
          <w:trHeight w:val="161"/>
        </w:trPr>
        <w:tc>
          <w:tcPr>
            <w:tcW w:w="5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2,141.8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1,926.3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1,766.7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2,061.4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Engineering—research and development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impairment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534.1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681.0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(152.1)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(391.0)</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Premiums and expenses on tender offer for long-term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(expense) income,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(291.0)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514.2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(328.1)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Data: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(in thousands)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 (in thousands)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4,866.0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5,192.6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5,310.4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5,977.8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Total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2,820.8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3,378.6</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3,671.1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3,874.1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3,991.3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1,356.9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1,015.5</w:t>
            </w:r>
          </w:p>
        </w:tc>
      </w:tr>
      <w:tr>
        <w:trPr>
          <w:trHeight w:val="363"/>
        </w:trPr>
        <w:tc>
          <w:tcPr>
            <w:tcW w:w="5080" w:type="dxa"/>
            <w:vAlign w:val="bottom"/>
          </w:tcPr>
          <w:p>
            <w:pPr>
              <w:spacing w:after="0"/>
              <w:rPr>
                <w:sz w:val="24"/>
                <w:szCs w:val="24"/>
                <w:color w:val="auto"/>
              </w:rPr>
            </w:pPr>
          </w:p>
        </w:tc>
        <w:tc>
          <w:tcPr>
            <w:tcW w:w="1880" w:type="dxa"/>
            <w:vAlign w:val="bottom"/>
          </w:tcPr>
          <w:p>
            <w:pPr>
              <w:jc w:val="right"/>
              <w:ind w:right="10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following discussion contains forward-looking statements that involve risks and uncertainties. Our actual results may differ materially from those discussed in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design and manufacture fully-automatic transmissions for medium- and heavy-duty commercial vehicles, medium- and heavy-tactical U.S. military vehicles and hybrid-propulsion systems for transit buses. We generate our net sales primarily from the sale of transmissions, transmission parts, support equipment, military kits, engineering services and extended transmission coverage (“ETC”) to a wide array of OEMs, distributors and the U.S. government. Although approximately 78% of our net sales were generated in North America in 2012, we have a global presence, serving customers in Europe, Asia, South America and Africa. As of December 31, 2012, we had approximately 2,800 employees and 12 different transmission product lines.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 We have developed over 100 different product models that are used in more than 2,500 different vehicle configurations, which are compatible with more than 500 combinations of engine brands, models and ratings. We also sell support equipment and Allison-branded replacement parts for our transmissions and remanufactured transmissions for use in the vehicle aftermarket.</w:t>
      </w:r>
    </w:p>
    <w:p>
      <w:pPr>
        <w:spacing w:after="0" w:line="123"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Allison Transmission, which is headquartered in Indianapolis, Indiana, was founded in 1915 and acquired by our Sponsors in August 2007 from Old GM. The Acquisition Transaction was structured as an asset purchase for U.S. federal income tax purposes, which resulted in a step-up in the U.S. federal income tax basis of our assets that allows us to take substantial amortization deductions for U.S. federal income tax purposes. As of December 31, 2012, we had $3.0 billion of unamortized intangible assets for income tax purposes which may be amortized over a period of approximately 9.6 years. These assets are expected to generate U.S. federal income tax deductions of approximately $315.0 million annually through 2021 and approximately $183.0 million in 2022. If we continue to generate taxable income in the future, the amortization of these assets, together with existing U.S. net operating losses of $363.0 million as of December 31, 2012, will be used to reduce our U.S. federal cash income tax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February 6, 2013, we completed an extension and refinance of ATI’s Senior Secured Credit Facility replacing $411.4 million of the Term B-1 Loan and $793.1 million of the Term B-2 Loan for term loan debt due August 2017 with an interest rate margin at our option, either (a) 3.00% above the LIBOR or</w:t>
      </w:r>
    </w:p>
    <w:p>
      <w:pPr>
        <w:ind w:right="320" w:firstLine="8"/>
        <w:spacing w:after="0" w:line="323"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2.00% above the greater of the prime lending rate provided by the British Banking Association or the federal funds effective rate published by the Federal Reserve Bank of New York. The extension of the Term B-1 Loan also extended the revolving credit facility to August 2016.</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ACT Research, commercial truck and bus production volumes in our North American on-highway markets are projected to grow, but to remain below the 1998-2008 average production levels through 2015. However, we maintain a cautious approach given the continued heightened level of uncertainty in our end markets and the lack of near-term visibility and confidence in certain of our end markets. Our 2013 net sales outlook also incorporates an assumed continuation of cyclically low levels of demand in the North America energy sector’s hydraulic fracturing market, the previously considered reductions in U.S. defense spending to longer term averages experienced during periods without active conflicts and lower demand in the North America Hybrid-Propulsion Systems for Transit Bus end market due to municipal spending constraints. Accordingly, we assume year over year net sales reductions in the Global Off-Highway, Military and North America Hybrid-Propulsion Systems for Transit Bus end markets partially offset by year over year net sales growth in the Global On-Highway and Service Parts, Support Equipment &amp; Other end markets.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Full Year 2012 and 2011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44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2011</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44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Net Sales</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Net Sales</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0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727</w:t>
            </w:r>
          </w:p>
        </w:tc>
        <w:tc>
          <w:tcPr>
            <w:tcW w:w="6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Military</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304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1"/>
        </w:trPr>
        <w:tc>
          <w:tcPr>
            <w:tcW w:w="518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2,142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2,163</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North America On-Highway end market net sales were up 12% for the year ended December 31, 2012 compared to the year ended December 31,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driven by Rugged Duty Series, Pupil Transport/Shuttle Series and Motorhome Series models.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North America Hybrid-Propulsion Systems for Transit Bus end market net sales were down 14% for the year ended December 31, 2012 compared to the year ended December 31, 2011 principally due to municipal subsidy and spending constraints, engine emissions improvements and non-hybrid alternative technologies that generally require a fully-automatic transmission.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North America Off-Highway end market net sales were down 44% for the year ended December 31, 2012 compared to the year ended December 31,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principally driven by lower demand from hydraulic fracturing applications due to weakness in natural gas pricing.</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Military end market net sales were flat for the year ended December 31, 2012 compared to the year ended December 31, 2011 due to higher wheeled product requirements being offset by lower tracked product requirements.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up 5% for the year ended December 31, 2012 compared to the year ended December 31, 2011 reflecting strength in China, partially offset by weaker demand in Europe and Latin America.</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up 31% for the year ended December 31, 2012 compared to the year ended December 31, 2011 principally driven by increased demand in the mining and energy sectors.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Service parts, support equipment &amp; other end market net sales were down 2% for the year ended December 31, 2012 compared to the year ended December 31, 2011. The decrease was principally driven by lower demand for global off-highway service parts, partially offset by increased support equipment sales commensurate with increased transmission unit volumes.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military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year ended December 31, 2012, direct material costs were approximately 70%, overhead costs were approximately 24%, and direct labor costs were approximately 6%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income, net in the Consolidated Statements of Comprehensive Income (Loss) included in Part II, Item 8, of this Annual Report on Form 10-K, or in the case of capital expenditure, as a reduction in the cost basis of the capital asset.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Management believes the accounting estimates discussed below represent those accounting estimates that require the exercise of judgment where a different set of judgments could result in changes to our reported results.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record sales when title has transferred to the customer, there is evidence of an agreement, the sales price is fixed and determinable and the collection of the related accounts receivable is reasonably assured. We sell ETC for which sales are deferred. ETC sales are recognized ratably over the period of the ETC, which typically ranges from three to five years after initial sale. Distributor and customer sales incentives, consisting of allowances and other rebates, are estimated at the time of sale based upon our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Sales under U.S. government production contracts are recorded when the product is accepted and title has transferred to the U.S. government. Under the terms of the U.S. government contracts, there are certain price reduction clauses and provisions for potential price reductions which are estimated at the time of sale based upon our history and experience and are recorded as a reduction to net sales. Potential reductions may be attributed to a change in projected sales volumes or plant efficiencies which impact overall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value our inventory using the first-in, first-out method, and state our inventories at the lower of cost or net realizable value. In order to determine net realizable value, we analyze our inventory on a periodic basis to determine the amount of excess or obsolete inventory. Any decline in carrying value of estimated excess or obsolete inventory is recorded as a reduction of inventory and as an expense included in cost of sales in the period it is identified.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 and other intangibles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There is one reporting unit which is the same as our one operating and reportable segment. We have elected to perform our annual impairment test on October 31 of every year. A multi-step impairment test is performed on goodwill. In Step 0, we evaluate various qualitative factors to determine the likelihood of impairment. If determined that the fair value is more likely than not less than the carrying value, then we are required to perform Step 1. In Step 1, we perform a quantitative analysis to compare the fair value of our reporting unit to its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After reviewing various qualitative factors, our 2012 annual goodwill impairment test indicated that the fair value of the reporting unit more likely than not exceeded its carrying value, indicating no impairment. Our qualitative review included an assessment of various key assumptions and factors including, among others, an assessment of business changes, economic outlooks, financial trends and forecasts, credit ratings, equity ratings and discount rates. Events or circumstances that could unfavorably impact the key assumptions include lower net sales driven by market conditions, our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we believe our forecast estimates were reasonable and incorporate assumptions that similar market participants would use in their estimates of fair value.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our trade name, are not amortized but are tested annually for impairment. We have elected to perform our annual trade name impairment test on October 31 of every year and follow a similar multi-step impairment test that is performed on goodwill. After reviewing various qualitative factors, our 2012 annual trade name impairment test indicated that the fair value of the trade name more likely than not exceeded its carrying value, indicating no impairment. Our qualitative review included an assessment of various key assumptions and factors including, among others, an assessment of business changes, economic outlooks, financial trends and forecasts, royalty savings rates, credit ratings, equity ratings and discount rates. Events or circumstances that could unfavorably impact the key assumptions include lower net sales driven by market conditions, our inability to execute on marketing programs and/or delay in introduction of new products, and higher discount rate as a result of market conditions. While unpredictable and inherently uncertain, we believe the forecast estimates are reasonable and incorporate those assumptions that similar market participants would use in their estimates of fair value.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9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provide reserves for costs associated with warranty claims at the time the products are sold. Warranty claims arise when a transmission fails while in service during the relevant warranty period. The warranty reserve is provided for by adjusting selling, general and administrative expenses by an amount based on our current and historical warranty claims paid and associated repair costs. These estimates are established using historical information including the nature, frequency and average cost of warranty claims and are adjusted as actual information becomes available. Costs associated with ETC are recorded as incurred during the extended coverage period. From time to time, we may get involved in a specific field action program. As a result of the uncertainty surrounding the nature and frequency of specific field action programs, the liability for such programs is recorded when we commit to a specific field action. We review and assess the liability for these programs on a quarterly basis. We also assess our ability to recover certain costs from our suppliers and record a receivable from the supplier when we believe a recovery is probable.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obligations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For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post-retirement benefits other than pensions. In accordance with the authoritative accounting guidance, we recognize the funded status of our defined benefit pension plans and OPEB plan in our Consolidated Balance Sheets with a corresponding adjustment to Accumulated other comprehensive loss, net of tax. Currently, our OPEB liability is unfunded and costs related to our obligations are funded by current period cash flows.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benefit cost components in the Consolidated Statements of Comprehensive Income (Loss) included in Part II, Item 8, of this Annual Report on Form 10-K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losses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maintain a stock-based compensation plan which allows employees (including executive officers), consultants and directors to receive equity awards. We have adopted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2012, the FASB issued authoritative accounting guidance on testing indefinite-lived intangibles for impairment. The guidance gives an entity the option to first assess qualitative factors to determine whether the existence of events and circumstances indicates that it is more likely than not that the indefinite-lived intangible asset is impaired. If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However, if an entity concludes otherwise, then the entity is not required to take further action. The guidance is effective for interim and annual impairment tests performed for fiscal years beginning after September 15, 2012 with early adoption permitted. We early adopted this guidance in October 2012 in conjunction with our fiscal year 2012 annual indefinite-lived intangible impairment test. This guidance only changed the methodology of testing for impairment and did not affect the outcome of such testing. The adoption of this guidance did not have an effect on our consolidated financial statements.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interim and annual reporting periods beginning on or after January 1, 2013. The adoption of this guidance is not expected to have a material effect on our consolidated financial statements.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guidance became effective for interim and annual goodwill impairment tests performed for fiscal years beginning after December 15, 2011. We adopted this guidance in October 2012 in conjunction with our fiscal year 2012 annual goodwill impairment test. This guidance only changed the methodology of testing for impairment and did not affect the outcome of such testing. The adoption of this guidance did not have an effect on our consolidated financial statements.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guidance did not have a material effect on our consolidated financial statements, but required a change in the presentation of comprehensive income from the notes of our consolidated financial statements to the face of our Consolidated Statements of Comprehensive Income (Loss).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interim and annual reporting periods beginning after December 15, 2011. The adoption of this guidance did not have a material effect on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use Adjusted net income to measure our overall profitability because it better reflects our cash flow generation by capturing the actual cash interest paid and cash taxes paid rather than our interest expense and tax expense as calculated under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(unaudited, dollars in millions)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(208.6)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Cash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Fee to terminate services agreement with the Sponsors (a)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Technology-related investments expense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 public offering expenses (c)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375.9</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(gain) on repurchases of long-term debt (d)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Dual power inverter module extended coverage (e)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UAW Local 933 contract signing bonus (f)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Benefit plan re-measurement (g)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hedge contracts (h)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Premiums and expenses on tender offer for long-term debt (i)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plan adjustment (j)</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Reduction of supply contract liability (k)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705.1</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711.9</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excluding technology-related license expenses (m)</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717.1</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2,141.8</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2,162.8</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1,926.3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w w:val="95"/>
              </w:rPr>
              <w:t>Adjusted EBITDA margin excluding technology-related license expenses (m)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497.5</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Fee to terminate services agreement with the Sponsors (a)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(m)</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401.6</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372.3</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(income), net) to terminate the services agreement with the Sponsors.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(income), net) for investments in co-development agreements with various companies to expand our position in transmission technologies.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(income), net) related to our initial public offering in March 2012.</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$22.1 million loss, a $16.0 million loss and a ($3.3) million gain (recorded in Other expense (income), net) realized on the redemptions and repayments of ATI’s long-term debt for the years ended December 31, 2012, 2011 and 2010, respectively.</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2012, we recorded a charge of $9.4 million (recorded in Selling, general and administrative expenses) to increase our liability related to the Dual Power Inverter Module (“DPIM”) extended coverage program due to claims data and additional design issues identified during introduction of replacement units. During 2010, we conducted a review of the DPIM liability resulting in a $22.7 million reduction of the DPIM liability, partially offset by a $20.8 million reduction of the GM receivable totaling a net credit of $1.9 million (recorded in Selling, general and administrative expenses). The total liability and GM receivable will continue to be reviewed for any changes in estimate as additional claims data and field information become available.</w:t>
      </w:r>
    </w:p>
    <w:p>
      <w:pPr>
        <w:spacing w:after="0" w:line="34"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 $8.8 million ($7.7 million recorded in Cost of sales, $1.0 million recorded in Selling, general and administrative expenses, and $0.1 million recorded in Engineering – research and development) bonus to eligible employees recorded in the fourth quarter of 2012 as a result of UAW Local 933 – represented employees ratifying a labor contract effective November 2012 through November 2017.</w:t>
      </w:r>
    </w:p>
    <w:p>
      <w:pPr>
        <w:spacing w:after="0" w:line="25" w:lineRule="exact"/>
        <w:rPr>
          <w:rFonts w:ascii="Arial" w:cs="Arial" w:eastAsia="Arial" w:hAnsi="Arial"/>
          <w:sz w:val="16"/>
          <w:szCs w:val="16"/>
          <w:color w:val="auto"/>
        </w:rPr>
      </w:pPr>
    </w:p>
    <w:p>
      <w:pPr>
        <w:ind w:left="460" w:right="38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settlement charge (recorded in Other expense (income), net) for the year ended December 31, 2012 related to the settlement of pension obligations for certain hourly employees from our defined benefit pension plan to GM’s pension plan in accordance with the terms the Asset Purchase Agreement.</w:t>
      </w:r>
    </w:p>
    <w:p>
      <w:pPr>
        <w:spacing w:after="0" w:line="59"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($0.9) million, $6.8 million and $0.1 million of unrealized (gains) losses (recorded in Other expense (income), net) on the mark-to-market of our foreign currency and commodities derivative contracts for the years ended December 31, 2012, 2011 and 2010, respectively.</w:t>
      </w:r>
    </w:p>
    <w:p>
      <w:pPr>
        <w:spacing w:after="0" w:line="4"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premiums and expenses (recorded in Other expense (income), net) related to the tender offer for ATI’s 11.25% senior toggle notes due 2015 (“Senior Toggle Notes”).</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($2.5) million ($0.8 million recorded in Cost of sales, $0.9 million recorded in Selling, general and administrative expenses, and $0.8 million recorded in Engineering – research and development) favorable adjustment related to certain differences between benefits promised under a benefit plan and the administration of the plan.</w:t>
      </w:r>
    </w:p>
    <w:p>
      <w:pPr>
        <w:spacing w:after="0" w:line="59"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adjustment (recorded in Other expense (income), net) due to the elimination of a severance liability required under the contract manufacturing agreement with Opel Szentgotthard Automotive Manufacturing Ltd., an affiliated company of GM. The original contract manufacturing agreement was replaced with a new agreement that expires in the second quarter of 2016.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employee stock compensation expense and service fees (recorded in Selling, general and administrative expenses) paid to the Sponsors.</w:t>
      </w:r>
    </w:p>
    <w:p>
      <w:pPr>
        <w:spacing w:after="0" w:line="113"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payments to Fallbrook and Torotrak (recorded in Engineering – research and development) for licenses to expand our position in transmission technologies.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year ended December 31, 2012 and 2011. The following table and discussion should be read in conjunction with the information contained in our consolidated financial statements and the notes thereto included in Part II, Item 8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w w:val="97"/>
              </w:rPr>
              <w:t>Year ended December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of net sales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2,141.8</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2,162.8</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954.3</w:t>
            </w:r>
          </w:p>
        </w:tc>
        <w:tc>
          <w:tcPr>
            <w:tcW w:w="5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44.6%</w:t>
            </w: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954.5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419.0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409.1</w:t>
            </w: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5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534.1</w:t>
            </w:r>
          </w:p>
        </w:tc>
        <w:tc>
          <w:tcPr>
            <w:tcW w:w="5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8"/>
              </w:rPr>
              <w:t>(151.2)</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(52.8)</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(204.0)</w:t>
            </w:r>
          </w:p>
        </w:tc>
        <w:tc>
          <w:tcPr>
            <w:tcW w:w="54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(278.4)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298.0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514.2</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sales for the year ended December 31, 2012 were $2,141.8 million compared to $2,162.8 million for the year ended December 31, 2011, a decrease of 1.0%. The decrease was principally driven by a decrease in net sales of $123.0 million, or 44%, of North America off-highway products driven by lower demand from natural gas fracturing applications due to weakness in natural gas pricing, a decrease in net sales of $19.0 million, or 14%, for North America hybrid-propulsion systems for transit buses primarily driven by lower municipal spending and a decrease in net sales of $6.0 million, or 2%, for parts and other products, partially offset by a $99.0 million, or 10%, increase in net sales of global on-highway commercial products and a $27.0 million, or 31%, increase in net sales of outside North America off-highway products. See “Trends Impacting Our Business” above for additional information on net sales by end markets.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Gross profit for the year ended December 31, 2012 was $954.3 million compared to $954.5 million for the year ended December 31, 2011. The decrease was principally driven by $29.0 million related to decreased sales and $7.7 million related to the fourth quarter 2012 UAW Local 933 contract signing bonus, partially offset by $20.0 million of price increases on certain products, $13.0 million of favorable material costs and $3.5 million attributable to improved manufacturing performance.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Selling, general and administrative expenses for the year ended December 31, 2012 were $419.0 million compared to $409.1 million for the year ended December 31, 2011, an increase of 2.4%. The increase was principally driven by $9.4 million related to the DPIM extended coverage program, $8.0 million of unfavorable product warranty adjustments from prior period estimates, $7.2 million of higher product warranty expense and $1.0 million related to the fourth quarter 2012 UAW Local 933 contract signing bonus, partially offset by $9.0 million of lower incentive compensation expense and reduced global commercial spending activities.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Engineering—research and development</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Engineering expenses for the year ended December 31, 2012 were $115.1 million compared to $116.4 million for the year ended December 31, 2011, a decrease of 1.1%. The decrease was principally driven by lower product initiatives spending, partially offset by an increase of $2.1 million related to certain technology-related license expenses and $0.1 million related to the fourth quarter 2012 UAW Local 933 contract signing bonus.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Interest expense, net for the year ended December 31, 2012 was $151.2 million compared to $217.3 million for the year ended December 31, 2011, a decrease of 30.4%. The decrease was principally driven by $52.4 million of lower interest expense as a result of debt repayments and purchases, and a $32.5 million decrease in mark-to-market expense for our interest rate derivatives, partially offset by $10.0 million of higher interest expense primarily due to the effectiveness of $700.0 million of new interest rate swaps at higher interest rates, and $8.3 million of higher interest expense primarily driven by higher interest rates and $0.5 million of higher deferred financing fees due to refinancing the Term B-1 Loan.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for long-term debt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May 2011, we completed a cash tender offer to purchase any and all of our Senior Toggle Notes. The tender offer resulted in us purchasing $468.1 million of $505.3 million of our outstanding Senior Toggle Notes with premiums and expenses totaling $56.9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expense, net for the year ended December 31, 2012 was ($52.8) million compared to ($4.2) million for the year ended December 31, 2011. The increase was principally driven by a $16.0 million payment to terminate the services agreement with the Sponsors, a $14.4 million impairment of technology-related investments, a $6.1 million increase in premiums and expenses related to redemptions of long-term debt, $6.1 million of fees and expenses related to our IPO, $4.1 million of decreased Grant Program income, a $3.7 million favorable vendor settlement in 2011, $2.3 million related to the hourly pension plan settlement and $1.2 million of lower miscellaneous income, partially offset by $4.1 million of favorable foreign currency exchange and $1.2 million of higher gains on derivative contracts.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Income tax benefit (expense) for the year ended December 31, 2012 was $298.0 million resulting in an effective tax rate of 137.8% versus an effective tax rate of (31.6%) for the year ended December 31, 2011. The change in effective tax rate was principally driven by the release of our valuation allowance on our deferred tax assets in the second quarter of 2012. Management determined, based on the evaluation of both objective and subjective evidence available, that a valuation allowance was no longer necessary and that it is more likely than not that the deferred tax assets are fully realizable.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2011 and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w w:val="97"/>
              </w:rPr>
              <w:t>Year ended December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0"/>
              </w:rPr>
              <w:t>of net sales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2,162.8</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1,926.3</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954.5</w:t>
            </w:r>
          </w:p>
        </w:tc>
        <w:tc>
          <w:tcPr>
            <w:tcW w:w="5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828.2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409.1</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384.9</w:t>
            </w: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(217.3)</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(278.4)</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(258.5)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(47.6)</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(53.7)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sales for the year ended December 31, 2011 were $2,162.8 million compared to $1,926.3 million for the year ended December 31, 2010, an increase of 12.3%. The increase was principally driven by a $403.3 million, or 30.6%, increase in net sales of global off-highway and on-highway commercial products, parts and other products, partially offset by a $144.7 million, or 32.2%, decrease in net sales of military products driven by lower U.S. military spending, a decrease in net sales of $22.1 million, or 14.1%, for hybrid-propulsion systems for transit buses primarily driven by lower municipal spending and a decrease in net sales of $7.3 million, or 50.7%, for saleable engineering services.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Gross profit for the year ended December 31, 2011 was $954.5 million compared to $828.2 million for the year ended December 31, 2010, an increase of 15.2%. The increase was principally driven by $138.2 million related to increased net sales, $20.4 million of price increases on certain products, $8.8 million related to the elimination of unfavorable 2010 remanufacturing costs, $4.1 million of favorable foreign exchange and $0.8 million related to certain benefit plan discrepancies, partially offset by $24.1 million of unfavorable material costs and $21.9 million of higher manufacturing expense commensurate with increased sales. The increase in material costs was principally driven by increased commodity prices and higher component prices driven by increased demand for off-highway products.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Selling, general and administrative expenses for the year ended December 31, 2011 were $409.1 million compared to $384.9 million for the year ended December 31, 2010, an increase of 6.3%. The increase was principally driven by $11.9 million of increased spending commensurate with expanded global commercial activities, $6.8 million of unfavorable product warranty expense adjustments from prior period estimates, $6.4 million of increased product warranty expense commensurate with increased sales and $1.9 million of unfavorable DPIM warranty expense adjustments from prior period estimates, partially offset by lower bad debt expense of $1.9 million driven by a reduction in the aged accounts receivable balances in North America and Europe, and $0.9 million related to certain benefit plan discrepancies.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Engineering—research and development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Engineering expenses for the year ended December 31, 2011 were $116.4 million compared to $101.5 million for the year ended December 31, 2010, an increase of 14.7%. The increase was principally driven by $8.8 million of higher technology-related license expense and $6.9 million of higher product initiatives spending, partially offset by $0.8 million related to certain benefit plan discrepancies.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Interest expense, net for the year ended December 31, 2011 was $217.3 million compared to $277.5 million for the year ended December 31, 2010, a decrease of 21.7%. The decrease was principally driven by $22.8 million of lower interest expense as a result of debt repayments and purchases, $21.8 million of lower mark-to-market expense for our interest rate derivatives, approximately $17.2 million of lower interest expense as a result of lower interest rates and $0.2 million of decreased financing fees, partially offset by a one-time payment of $1.8 million to eliminate certain collateral requirements for our interest rate derivatives.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for long-term debt</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May 2011, we completed a cash tender offer to purchase any and all of our Senior Toggle Notes. The tender offer resulted in us purchasing $468.1 million of $505.3 million of our outstanding Senior Toggle Notes with premiums and expenses totaling $56.9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(expense) income, net for the year ended December 31, 2011 was ($4.2) million compared to $19.0 million for the year ended December 31, 2010. The decrease was principally driven by $19.3 million of higher premiums and expenses related to additional repurchases, repayments and redemptions of long-term debt, $6.7 million of higher unrealized losses on derivative contracts, $4.4 million of unfavorable foreign exchange and $3.4 million of lower miscellaneous income, partially offset by a $3.7 million vendor settlement, $3.6 million of increased Grant Program income and $3.3 million of increased realized gains on derivative contracts.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Income tax expense for the year ended December 31, 2011 was $47.6 million resulting in an effective rate of 31.6% versus an effective rate of 64.5% for the year ended 2010. The change in the effective tax rate was primarily driven by the increase in income before tax, book treatment of certain indefinite life intangibles and maintaining a full valuation allowance against our non-current deferred tax asset. A sustained period of profitability in our operations is required before we would change our judgment regarding the need for a full valuation allowance against our net deferred tax assets. Accordingly, although we were profitable in 2010 and 2011, we recorded a full valuation allowance against the net deferred tax assets in 2011. Although the weight of negative evidence related to cumulative losses is decreasing, we believe that this objectively-measured negative evidence outweighs the subjectively-determined positive evidence and, as such, we have not changed our judgment regarding the need for a full valuation allowance in 2011. Continued improvement in our operating results, however, could lead to reversal of all of our valuation allowance as early as the second quarter of 2012.</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$80.2 million and $314.0 million as of December 31, 2012 and 2011, respectively. Of the available cash and cash equivalents, approximately $75.2 million and $188.1 million was deposited in operating accounts while approximately $5.0 million and $125.9 million was invested in U.S. government backed securities as of December 31, 2012 and 2011, respectively. We expect to meet our domestic funding needs through available cash and credit in the United States and currently do not anticipate repatriating any cash to meet these needs.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we had $372.1 million and $369.2 million available under the revolving credit facility, net of approximately $27.9 million and $30.8 million in letters of credit issued and outstanding as of December 31, 2012 and 2011, respectively. Throughout the year ended December 31, 2012, we made periodic withdrawals on our revolving credit facility as part of our debt management plans. The maximum amount outstanding at any time on the revolving credit facility was $27.5 million, and all balances were repaid within the quarter they were borrowed. As of December 31, 2012 and 2011, we had no outstanding borrowings on our revolving credit facility.</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March 2012, ATI entered into an amendment with the term loan lenders under its Senior Secured Credit Facility to extend the maturity of approximately $801.1 million in principal amount of the Term B-1 Loan from August 2014 to August 2017 and to increase the applicable margin at our option to either (a)</w:t>
      </w:r>
    </w:p>
    <w:p>
      <w:pPr>
        <w:spacing w:after="0" w:line="286" w:lineRule="auto"/>
        <w:rPr>
          <w:sz w:val="20"/>
          <w:szCs w:val="20"/>
          <w:color w:val="auto"/>
        </w:rPr>
      </w:pPr>
      <w:r>
        <w:rPr>
          <w:rFonts w:ascii="Arial" w:cs="Arial" w:eastAsia="Arial" w:hAnsi="Arial"/>
          <w:sz w:val="16"/>
          <w:szCs w:val="16"/>
          <w:color w:val="auto"/>
        </w:rPr>
        <w:t>3.50% over the LIBOR or (b) 2.50% over the greater of the prime lending rate provided by the British Banking Association or the federal funds effective rate published by the Federal Reserve Bank of New York. In August 2012, ATI entered into an amendment with the term loan lenders under its Senior Secured Credit Facility to extend the maturity of approximately $850.0 million in principal amount of the Term B-1 Loan from August 2014 to August 2019 and to increase the applicable margin at our option to either (a) 3.25% or 3.00%, subject to our total leverage ratio, over the LIBOR (but not less than 1.00%) or (b) 2.25% or 2.00%, subject to our total leverage ratio, over the greater of the prime lending rate provided by the British Banking Association or the federal funds effective rate published by the Federal Reserve Bank of New York (but not less than 2.00%). In October 2012, ATI entered into an amendment with the term loan lenders under its Senior Secured Credit Facility to extend the maturity of $300.0 million of the Term B-1 Loan debt from August 2014 to August 2019 and to increase the applicable margin at our option to either (a) 3.25% or 3.00%, subject to our total leverage ratio, over the LIBOR (but not less than 1.00%) or (b) 2.25% or 2.00%, subject to our total leverage ratio, over the greater of the prime lending rate provided by the British Banking Association or the federal funds effective rate published by the Federal Reserve Bank of New York (but not less than 2.00%). The remaining Term B-1 Loan of $411.4 million with an applicable margin over the LIBOR of up to 2.75% matures in August 2014. Please see “Recent Developments” above for additional information.</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years ended December 31, 2012, 2011 and 2010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10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6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$ 497.5</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$ 469.2</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(138.7)</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(55.9)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(593.5)</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(369.9)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activities for the year ended December 31, 2012 generated $497.5 million of cash compared to $469.2 million for the year ended December 31, 2011. The increase was primarily driven by lower interest expense, lower accounts receivable commensurate with decreased net sales and decreased spending commensurate with reduced global commercial activities, partially offset by lower accounts payable commensurate with decreased net sales and increased other expense, net.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activities for the year ended December 31, 2011 generated $469.2 million of cash compared to $388.9 million for the year ended December 31,</w:t>
      </w:r>
    </w:p>
    <w:p>
      <w:pPr>
        <w:spacing w:after="0" w:line="38"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2010. The increase was primarily driven by increased net sales, higher accounts payable commensurate with increased net sales and lower interest expense, partially offset by higher accounts receivable commensurate with increased net sales, increased spending commensurate with expanded global commercial activities and engineering — research and development costs, and decreased other income, net.</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Investing activities for the year ended December 31, 2012 used $138.7 million of cash compared to $55.9 million for the year ended December 31, 2011. The increase was primarily driven by a 2011 reduction in collateral requirements of $39.6 million related to certain of our interest rate derivatives, an increase of $27.0 million in capital expenditures, a $14.4 million investment in technology-related initiatives and the 2011 proceeds related to the sale of property. The increase in capital expenditures was attributable to the continued expansion of our India facility, higher product initiatives spending and increased investments in productivity and replacement programs, partially offset by the 2011 construction of our Hungarian manufacturing facility. The India expansion project was completed and production commenced during the third quarter of 2012.</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Investing activities for the year ended December 31, 2011 used $55.9 million of cash compared to $95.3 million for the year ended December 31, 2010. The decrease was primarily driven by a reduction in the 2011 collateral requirements related to certain of our interest rate derivatives of $60.4 million and increased proceeds related to the sale of property of $2.1 million, partially offset by an increase of $23.1 million in capital expenditures. The increase in capital expenditures was attributable to the construction of our Hungary and India manufacturing facilities, and increased investments in productivity and replacement initiatives.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Financing activities for the year ended December 31, 2012 used $593.5 million of cash compared to $369.9 million for the year ended December 31, 2011. The increase was primarily driven by $217.4 million of increased payments, repurchases and redemptions of our long-term debt, $32.8 million of dividend payments in 2012, $20.2 million of payments related to extending a portion of the Senior Secured Credit Facility, and a $2.5 million principal payment on our Japanese Yen denominated unsecured short-term notes, partially offset by $15.0 million of 2011 debt issuance costs and $29.0 million related to the issuance of common stock in 2012.</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Financing activities for the year ended December 31, 2011 used $369.9 million of cash compared to $197.9 million of cash used for the year ended December 31, 2010. The difference was driven by the increased repurchases of ATI’s 7.125% Senior Notes, Senior Toggle Notes and 11.0% senior cash pay notes due November 2015 (“11.0% Senior Notes”) and principal payments on the Senior Secured Credit Facility, partially offset by ATI’s issuance of the 7.125% Senior Notes in the second quarter of 2011.</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February 2012, ATI redeemed $200.0 million of 11.0% Senior Notes resulting in a loss (the premium between the purchase price of the notes and the face value of such notes) of $13.5 million, including deferred financing fees written off.</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May 2012, ATI redeemed the remaining $109.8 million of the 11.0% Senior Notes resulting in a loss (the premium between the purchase price of the notes and the face value of such notes) of $7.3 million, including deferred financing fees written off.</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for the year ended December 31, 2012 would have a yearly impact of $0.6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2008, we entered into an amendment related to the Senior Secured Credit Facility that permits us to make discounted voluntary prepayments of our term loan in an aggregated amount not to exceed $750.0 million pursuant to a modified Dutch auction. As part of the May 2011 amendment to the Senior Secured Credit Facility, described in more detail below, the amount available for discounted voluntary prepayments of the term loan pursuant to a modified Dutch auction was reset to $750.0 million. This provision is available to us for so long as the Senior Secured Credit Facility is outstanding. For the years ended December 31, 2012, 2011 and 2010, we repurchased $0.0 million, $0.0 million and $97.2 million of our term loan under these amendments, respectively. The repurchases of the term loan resulted in gains (the discount between the purchase price of the term loan and the face value of such term loan) for the years ended December 31, 2012, 2011 and 2010 of $0.0 million, $0.0 million and $4.1 million, net of deferred financing fees written off, respectively.</w:t>
      </w:r>
    </w:p>
    <w:p>
      <w:pPr>
        <w:spacing w:after="0" w:line="118"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In addition, we made principal payments of $245.4 million, $90.5 million and $106.0 million on the Senior Secured Credit Facility for the years ended December 31, 2012, 2011 and 2010, respectively. The principal payments made on the Senior Secured Credit Facility for the years ended December 31, 2012, 2011 and 2010 resulted in losses of $1.3 million, $0.6 million and $0.8 million associated with the write off of related deferred debt issuance costs, respectively.</w:t>
      </w:r>
    </w:p>
    <w:p>
      <w:pPr>
        <w:spacing w:after="0" w:line="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Senior Secured Credit Facility requires us to maintain a specified maximum total senior secured leverage of 5.50x for the remainder of the term of the facility. As of December 31, 2012, we were in compliance with the maximum total senior secured leverage ratio, achieving a 3.22x ratio. Within the terms of the Senior Secured Credit Facility, a senior secured leverage ratio below 3.50x results in a 25 basis point reduction to the applicable margin on the Term B-1 Loan, a 12.5 basis point reduction to the revolving credit facility commitment fee and elimination of excess cash flow payments on the Senior Secured Credit Facility for the applicable year. These reductions remain in effect as long as we continue to achieve a senior secured leverage ratio below 3.50x. A total leverage ratio below 3.25x results in a 25 basis point reduction to the applicable margin on the Term B-3 Loan. This reduction would remain in effect as long as we achieve a total leverage ratio below 3.25x. As of December 31, 2012, the total leverage ratio was 3.89x.</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the maximum total secured leverage ratio, the Senior Secured Credit Facility and the indenture governing the 7.125% Senior Notes include, among other things, customary restrictions (subject to certain exceptions) on our ability to incur certain indebtedness or liens, make certain investments or declare or pay certain dividends. As of December 31, 2012, we are in compliance with all covenants under the Senior Secured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manage interest rate risk associated with our variable rate debt, we currently have eight interest rate swap contracts as of December 31, 2012 that qualify as derivatives under authoritative accounting guidance for derivative instruments and hedging activities. Our interest rate swaps do not qualify for hedge accounting treatment and, as a result, fair value adjustments are charged directly to interest expense in the Consolidated Statements of Comprehensive Income (Loss) included in Part II, Item 8, of this Annual Report on Form 10-K. For the years ended December 31, 2012, 2011 and 2010, fair value adjustments were ($25.5) million, ($7.0) million and ($28.8) million, respectively. All contracts are used strictly as an economic hedge and not for speculative purposes.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2012,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December 31, 2012, we have been required to post collateral of $3.0 million in cash and $23.0 million in letters of credit as a result of changes in interest rates. We may be required to post additional collateral until the LIBOR curve reaches zero.</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December 31, 2012 would reduce our collateral requirement by approximately $7.7 million or increase our collateral requirement by approximately $7.8 million, respectively, in a combination of cash and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Senior Secured Credit Facility</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the Term B-1 Loan from August 2014 to August 2017 and to increase the applicable margin at our option to either (a) 3.50% over the LIBOR or (b) 2.50% over the greater of the prime lending rate provided by the British Banking Association or the federal funds effective rate published by the Federal Reserve Bank of New York. As a result of the debt modification, we recorded an additional $2.3 million as deferred financing fees in the Consolidated Balance Sheets included in Part II, Item 8, of this Annual Report on Form 10-K and extended the amortization period of $5.1 million of deferred financing fees from 2014 to 2017. In August 2012, ATI entered into an amendment with the term loan lenders under its Senior Secured Credit Facility to extend the maturity of $850.0 million of the Term B-1 Loan from August 2014 to August 2019 and to increase the applicable margin at our option to either (a) 3.25% or 3.00%, subject to our total leverage ratio, over the LIBOR (but not less than 1.00%) or (b) 2.25% or 2.00%, subject to our total leverage ratio, over the greater of the prime lending rate provided by the British Banking Association or the federal funds effective rate published by the Federal Reserve Bank of New York (but not less than 2.00%). The amendment was treated as an extinguishment of debt under GAAP, and thus we expensed $4.5 million of deferred financing fees and recorded $16.1 million of new deferred financing fees in the consolidated financial statements. In October 2012, ATI entered into an amendment with the term loan lenders under its Senior Secured Credit Facility to extend the maturity of $300.0 million of the Term B-1 Loan from August 2014 to August 2019 and to increase the applicable margin at our option to either (a) 3.25% or 3.00%, subject to our total leverage ratio, over the LIBOR (but not less than 1.00%) or (b) 2.25% or 2.00%, subject to our total leverage ratio, over the greater of the prime lending rate provided by the British Banking Association or the federal funds effective rate published by the Federal Reserve Bank of New York (but not less than 2.00%). The amendment was treated as an extinguishment of debt under GAAP, and thus we expensed $1.4 million of deferred financing fees and recorded $1.8 million of new deferred financing fees in the consolidated financial statements.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of our assets including all of ATI’s capital stock and all of the capital stock or other equity interests held by us, ATI and each of our existing and future U.S. subsidiary guarantors (subject to certain limitations for equity interests of foreign subsidiaries and other exceptions set forth in the terms of the Senior Secured Credit Facility). Interest on the Term B-1 Loan is variable and as of December 31, 2012 equal to the LIBOR plus 2.50% based on our total senior secured leverage ratio; interest on the Term B-2 Loan is variable and as of December 31, 2012 equal to the LIBOR plus 3.50%; and interest on the Term B-3 Loan is variable and as of December 31, 2012 equal to the LIBOR (but not less than 1.00%) plus 3.25% based on our total leverage ratio. As of December 31, 2012, these rates were approximately 2.71%, 3.71% and 4.25% on the Term B-1 Loan, Term B-2 Loan and Term B-3 Loan, respectively, and the weighted average rate on the Senior Secured Credit Facility was approximately 3.80%. The Senior Secured Credit Facility requires minimum quarterly principal payments of $7.75 million on the Term B-1 Loan, which commenced December 2007, as well as prepayments from certain net cash proceeds of non-ordinary course asset sales and casualty and condemnation events and from a percentage of excess cash flow, if applicable. As of December 31, 2012, there had been no payments required for certain net cash proceeds of non-ordinary course asset sales and casualty and condemnation events. Due to voluntary prepayments, we have fulfilled all Term B-1 Loan required quarterly payments through its maturity date of 2014. The minimum required quarterly principal payments on the Term B-2 Loan and Term B-3 Loan are $2.0 million and $2.9 million, respectively, and remain through the maturity dates of 2017 and 2019, respectively. The remaining principal balance on each loan is due upon maturity.</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November 2008, we entered into an amendment to the Senior Secured Credit Facility that permits us to make discounted voluntary prepayments of the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us for so long as the term loans are outstanding.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Throughout the year ended December 31, 2012, we made periodic withdrawals on our revolving credit facility as part of our debt management plans. The maximum amount outstanding at any time on the revolving credit facility was $27.5 million, and all balances were repaid within the quarter they were borrowed. As of December 31, 2012, we had $372.1 million available under the revolving credit facility, net of $27.9 million in letters of credit. Revolving credit borrowings bear interest at a variable base rate plus an applicable margin based on our total senior secured leverage ratio. As of December 31, 2012, this rate would have been between approximately 2.96% and 5.00%. In addition, there is an annual commitment fee, based on our total senior secured leverage ratio, which is currently equal to 0.375% of the average unused revolving credit borrowings available under the Senior Secured Credit Facility. Revolving credit borrowings are payable at our option throughout the term of the Senior Secured Credit Facility, with the balance due in August 2016, or August 2014 as long as the Term B-1 Loan is outstanding.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2011, we effectively amended some of the terms under the revolving credit facility including extending the term from August 2013 to August 2016, or August 2014 as long as the Term B-1 Loan is outstanding, and increasing the borrowing capacity from $317.5 million to $400.0 million. As a result, we recorded an additional $4.2 million as deferred financing fees in the Consolidated Balance Sheets in Part II, Item 8, of this Annual Report on Form 10-K and $0.9 million as deferred financing fees expensed in the Consolidated Statements of Comprehensive Income (Loss) in Part II, Item 8, of this Annual Report on Form 10-K. All deferred financing fees associated with the revolving credit facility will be amortized to interest expense on a straight-line basis over the term of the revolving credit facility.</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we do not reinvest or commit to reinvest such net cash proceeds in assets to be used in our business or to make certain other permitted investments within 15 months of the related transactions or events, subject to certain limitations. We must apply 50% of our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2012, the excess cash flow percentage was 0%, and as a result, we are not required to make an excess cash flow payment.</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our ability to incur certain indebtedness, grant certain liens, make certain investments or declare or pay certain dividends. As of December 31, 2012, we are in compliance with all covenants under the Senior Secured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Senior Notes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October of 2007, we issued $550.0 million of 11.0% Senior Notes and $550.0 million of Senior Toggle Notes. Interest on the 11.0% Senior Notes accrued at a rate of 11.0% per year and was payable semi-annually in arrears on May 1 and November 1 of each year. In November 2011, we fully retired the Senior Toggle Notes, and in May 2012 we fully retired the 11.0% Senior Notes.</w:t>
      </w:r>
    </w:p>
    <w:p>
      <w:pPr>
        <w:spacing w:after="0" w:line="14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May 2011, we completed an offering of $500.0 million of 7.125% Senior Notes due May 2019. Interest on the 7.125% Senior Notes accrues at a rate of 7.125% per year and is payable semi-annually in arrears on November 15 and May 15. The proceeds from the offering, together with cash on hand, were used to complete a cash tender offer for $468.1 million of our Senior Toggle Notes plus accrued and unpaid interest, applicable premiums and expenses of $56.9 million. As a result of the offering, we recorded approximately $10.8 million as deferred financing fees in the Consolidated Balance Sheets included in Part II, Item 8, of this Annual Report on Form 10-K. 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2015, we may redeem some or all of the 7.125% Senior Notes by paying the applicable “make-whole” premium. Beginning in May 2015, we may redeem some or all of the 7.125% Senior Notes at specified redemption prices in the governing indenture. For the years ended December 31, 2012, 2011 and 2010 we repurchased $0.0 million, $28.7 million and $0.0 million (at face value) of the 7.125% Senior Notes, respectively. The repurchases resulted in a net gain (the discount between the purchase price of the notes and the face value of such notes) of $0.0 million, $1.3 million, and $0.0 million for the years ended December 31, 2012, 2011 and 2010, respectively, net of deferred financing fees written off.</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indenture governing the 7.125%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Certain of these covenants would be suspended if the 7.125% Senior Notes were to reach investment grade.</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Contingent Liabilities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2012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0"/>
              </w:rPr>
              <w:t>Payments due by period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Less than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1-3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7.125% Senior Notes(1)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Senior Secured Credit Facility(2)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2,827.7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930.3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Pension &amp; OPEB liabilities(3)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4"/>
              </w:rPr>
              <w:t>see (3) below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1,009.7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7.125% Senior Notes include principal and interest payments based on a fixed interest rate of 7.125%.</w:t>
      </w:r>
    </w:p>
    <w:p>
      <w:pPr>
        <w:spacing w:after="0" w:line="15"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Senior Secured Credit Facility includes principal payments and estimated interest payments excluding the effects of our interest rate swaps. A portion of the interest is at a variable rate and for the purposes of this table has been calculated using LIBOR as of December 31, 2012, plus the applicable margin of each loan, resulting in an applied rate of 2.71% for Term B-1 Loan, 3.71% for Term B-2 Loan and 4.25% for Term B-3 Loan. Actual payments will vary.</w:t>
      </w:r>
    </w:p>
    <w:p>
      <w:pPr>
        <w:spacing w:after="0" w:line="2"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pension funding and post-retirement benefit payments are based on an increasing discount rate and effective interest rate for funding purposes between 3.8%—5.0%. Pension funding and post-retirement benefit payments are excluded from the table beyond year 5, though we expect funding and payments to continue beyond year 5. See NOTE 12 of Notes to Consolidated Financial Statements included in Part II, Item 8, of this Annual Report on Form 10-K for the funding status of our pension plans and other post-retirement plan as of December 31, 2012.</w:t>
      </w:r>
    </w:p>
    <w:p>
      <w:pPr>
        <w:spacing w:after="0" w:line="2" w:lineRule="exact"/>
        <w:rPr>
          <w:rFonts w:ascii="Arial" w:cs="Arial" w:eastAsia="Arial" w:hAnsi="Arial"/>
          <w:sz w:val="16"/>
          <w:szCs w:val="16"/>
          <w:color w:val="auto"/>
        </w:rPr>
      </w:pPr>
    </w:p>
    <w:p>
      <w:pPr>
        <w:ind w:left="460" w:right="54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warranty obligations, sales allowance programs and military price reduction reserves, which total $109.7 million, $27.0 million and $46.9 million, respectively, as of December 31, 2012 have been excluded from this table as timing of any payments are uncertain.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$2,721.6 million including $372.1 million under our revolving credit facility, net of $27.9 million of letters of credit. Assuming the Senior Secured Credit Facility is fully drawn, each one-eighth percentage point increase or decrease in the applicable interest rates would correspondingly change our interest expense on the Senior Secured Credit Facility by approximately $0.6 million per year. This includes the partial offset of the interest rate swaps described below. As of December 31, 2012,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Effective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75"/>
        </w:trPr>
        <w:tc>
          <w:tcPr>
            <w:tcW w:w="57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Counterparty</w:t>
            </w:r>
          </w:p>
        </w:tc>
        <w:tc>
          <w:tcPr>
            <w:tcW w:w="3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millions)</w:t>
            </w:r>
          </w:p>
        </w:tc>
        <w:tc>
          <w:tcPr>
            <w:tcW w:w="4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Fifth Third Bank</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2009-2013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E</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G</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2011-2014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I</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Deutsche Bank</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2011-2014</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UBS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2013-2014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125.0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Interest Rate Swap K</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UBS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2013-2014</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125.0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7 and NOTE 8 of Notes to Consolidated Financial Statements included in Part II, Item 8, of this Annual Report on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December 31, 2012, we hold hedging contracts in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Indian Rupee, Chinese Yuan Renminbi and Canadian Dollar would correspondingly change our earnings by an estimated $5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2013 and 2014, as of December 31, 2012, the hedge contracts cover approximately 30% and 20% of our aluminum requirements, respectively. We do not hold financial instruments for trading or speculative purposes.</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aluminum and steel would correspondingly change our earnings by approximately $1 million and $4 million per year, respectively. This includes the partial offset of our hedging contracts described above.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Allison Transmission Holdings, Inc.:</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financial position of Allison Transmission Holdings, Inc. and its subsidiaries at December 31, 2012 and December 31, 2011, and the results of their operations and their cash flows for each of the three years in the period ended December 31, 2012 in conformity with accounting principles generally accepted in the United States of America. In addition, in our opinion, the accompanying financial statement schedule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receivable — net of allowance for doubtful accounts of $0.9 and $1.3, respectively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165.0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490.3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1,716.1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4,866.0</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Product warranty liability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2,801.3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3,509.1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4,370.9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Commitments and contingencies (see NOTE 16)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w w:val="93"/>
              </w:rPr>
              <w:t>Common stock, $0.01 par value, 1,880,000,000 shares authorized, 184,107,393 issued and 184,083,693 outstanding</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Non-voting common stock, $0.01 par value, 20,000,000 shares authorized, 1,185 issued and outstanding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1,601.5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(202.3)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1,356.9</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4,866.0</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2,141.8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1,187.5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1,208.3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409.1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420.2</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(152.1)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Premiums and expenses on tender offer for long-term debt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298.0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527.3</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514.2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154.2</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Premiums and expenses on tender offer for long-term debt</w:t>
            </w: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(303.8)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Unrealized (gain) loss on derivatives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Impairment loss on investments in technology-related initiatives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Loss (gain) on repurchases and redemptions of long-term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re-measurement of employee benefit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323"/>
        </w:trPr>
        <w:tc>
          <w:tcPr>
            <w:tcW w:w="9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23"/>
        </w:trPr>
        <w:tc>
          <w:tcPr>
            <w:tcW w:w="900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497.5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388.9</w:t>
            </w:r>
          </w:p>
        </w:tc>
        <w:tc>
          <w:tcPr>
            <w:tcW w:w="100" w:type="dxa"/>
            <w:vAlign w:val="bottom"/>
            <w:shd w:val="clear" w:color="auto" w:fill="CCEEFF"/>
          </w:tcPr>
          <w:p>
            <w:pPr>
              <w:spacing w:after="0"/>
              <w:rPr>
                <w:sz w:val="18"/>
                <w:szCs w:val="18"/>
                <w:color w:val="auto"/>
              </w:rPr>
            </w:pPr>
          </w:p>
        </w:tc>
      </w:tr>
      <w:tr>
        <w:trPr>
          <w:trHeight w:val="323"/>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(123.9)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23"/>
        </w:trPr>
        <w:tc>
          <w:tcPr>
            <w:tcW w:w="9000" w:type="dxa"/>
            <w:vAlign w:val="bottom"/>
          </w:tcPr>
          <w:p>
            <w:pPr>
              <w:ind w:left="44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(138.7)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r>
      <w:tr>
        <w:trPr>
          <w:trHeight w:val="323"/>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Repurchases and redemptions of long-term debt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(326.9)</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(764.4)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(245.4)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(106.0)</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Dividend payments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Payments on notes payable</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(593.5)</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(197.9)</w:t>
            </w:r>
          </w:p>
        </w:tc>
      </w:tr>
      <w:tr>
        <w:trPr>
          <w:trHeight w:val="217"/>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(233.8)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153.1</w:t>
            </w:r>
          </w:p>
        </w:tc>
        <w:tc>
          <w:tcPr>
            <w:tcW w:w="100" w:type="dxa"/>
            <w:vAlign w:val="bottom"/>
            <w:shd w:val="clear" w:color="auto" w:fill="CCEEFF"/>
          </w:tcPr>
          <w:p>
            <w:pPr>
              <w:spacing w:after="0"/>
              <w:rPr>
                <w:sz w:val="18"/>
                <w:szCs w:val="18"/>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314.0</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252.2</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167.3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239.1</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0"/>
              </w:rPr>
              <w:t>voting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Preferred</w:t>
            </w:r>
          </w:p>
        </w:tc>
        <w:tc>
          <w:tcPr>
            <w:tcW w:w="2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(Loss),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net of tax</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0"/>
              </w:rPr>
              <w:t>(0.2)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$1,544.3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Additional investment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1.8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$1,552.8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(786.7)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1.8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$1,560.8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Excess tax benefit from stock-based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(0.2)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1,601.5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1,356.9</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“we” or “Allison”), design and manufacture commercial and military fully-automatic transmissions.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approximately 2,800 employees and 12 different transmission product lines. Although approximately 78% percent of revenues were generated in North America in 2012,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was formerly known as Allison Transmission (the “Predecessor”), an operating unit of General Motors Corporation, which, in the course of its bankruptcy proceeding was renamed Motors Liquidation Company (“Old GM”). On August 7, 2007, substantially all of the assets and liabilities of the Predecessor were acquired by the Company, under an Asset Purchase Agreement (the “Asset Purchase Agreement”) dated June 28, 2007 and entered into between Clutch Operating Company, Inc., a Delaware corporation owned by investment funds affiliated with The Carlyle Group and Onex Corporation (collectively, the “Sponsors”), and Old GM, the direct parent of the Predecessor, pursuant to which the Company acquired certain equity interests of, and certain assets and liabilities held by, direct and indirect operating subsidiaries of Old GM (the “Acquisition Transaction”). After completion of the Acquisition Transaction, Clutch Holdings, Inc., changed its name to Allison Transmission Holdings, Inc. and Clutch Operating Company, Inc. changed its name to Allison Transmission, Inc. (“ATI”).</w:t>
      </w:r>
    </w:p>
    <w:p>
      <w:pPr>
        <w:spacing w:after="0" w:line="1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July 2009, General Motors Company (“GM”) emerged from bankruptcy. In August 2009, the Company and GM finalized an agreement , pursuant to which GM assumed certain contracts and agreements between the Company and Old GM, including among others, the Asset Purchase Agreement, certain intellectual property and software license agreements, lease agreements, engineering services agreements, proving grounds use agreements, an employee matters agreement, a contract manufacturing agreement and a hybrid co-branding agreement. GM also assumed certain other commercial contracts, arrangements and purchase orders with the Company in connection with conducting its business.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the fair presentation of the results for the periods presented. The consolidated financial statements herein consist of all wholly-owned domestic and foreign subsidiaries with all significant intercompany transactions eliminated.</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These consolidated financial statements present the results of operations, financial position, cash flows and statements of equity. Certain immaterial reclassifications have been made in the consolidated financial statements of prior periods to conform to the current period presentation. These reclassifications have no impact on previously reported net income, total stockholders’ equity or cash flows.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These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liability, determination of discount rate and other assumptions for pension and other postretirement benefit expense, income taxes, lease classification,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accordance with the Financial Accounting Standards Board (“FASB”) authoritative accounting guidance on segment reporting, the Company has one operating segment and reportable segment. The Company is in one line of business, which is in the manufacturing and distribution of fully-automatic transmissions.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recognizes government grants when there is reasonable assurance that the Company will comply with the conditions attached to the grant arrangement and the funds will be received. When the government grants relate to reimbursement of costs, the grant income is recognized in Other (expense) income, net in the Consolidated Statements of Comprehensive Income (Loss). When the government grants relate to a reimbursement of capital expenditures, the grants are recognized as a reduction of the basis of the assets in the Consolidated Balance Sheets.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2012, the Company’s marketable securities are classified as either available-for-sale or trading.</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Available-for-sale securities are carried at fair value with the unrealized gain or loss reported in Accumulated other comprehensive loss (“AOCL”). Unrealized losses considered to be “other-than-temporary” are recognized in income. Trading securities are carried at fair value with the unrealized gain or loss recognized in Other expense (income), net. The fair value of the Company’s investment securities is determined by currently available market prices. See NOTE 6 for more details.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allowance for doubtful trade accounts receivable reflects estimated losses to be incurred in the collection of the receivables. Estimated losses are based on historical collection experience as well as a review by management of the current status of all receivables. Account balances are charged against the allowance after all means of collection have been exhausted and the potential for recovery is considered remote.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60" w:type="dxa"/>
            <w:vAlign w:val="bottom"/>
            <w:vMerge w:val="restart"/>
          </w:tcPr>
          <w:p>
            <w:pPr>
              <w:spacing w:after="0"/>
              <w:rPr>
                <w:sz w:val="20"/>
                <w:szCs w:val="20"/>
                <w:color w:val="auto"/>
              </w:rPr>
            </w:pPr>
            <w:r>
              <w:rPr>
                <w:rFonts w:ascii="Arial" w:cs="Arial" w:eastAsia="Arial" w:hAnsi="Arial"/>
                <w:sz w:val="18"/>
                <w:szCs w:val="18"/>
                <w:color w:val="auto"/>
              </w:rPr>
              <w:t>Land improvements</w:t>
            </w:r>
          </w:p>
        </w:tc>
        <w:tc>
          <w:tcPr>
            <w:tcW w:w="3000" w:type="dxa"/>
            <w:vAlign w:val="bottom"/>
            <w:gridSpan w:val="3"/>
          </w:tcPr>
          <w:p>
            <w:pPr>
              <w:ind w:left="2120"/>
              <w:spacing w:after="0"/>
              <w:rPr>
                <w:sz w:val="20"/>
                <w:szCs w:val="20"/>
                <w:color w:val="auto"/>
              </w:rPr>
            </w:pPr>
            <w:r>
              <w:rPr>
                <w:rFonts w:ascii="Arial" w:cs="Arial" w:eastAsia="Arial" w:hAnsi="Arial"/>
                <w:sz w:val="14"/>
                <w:szCs w:val="14"/>
                <w:b w:val="1"/>
                <w:bCs w:val="1"/>
                <w:color w:val="auto"/>
                <w:w w:val="84"/>
              </w:rPr>
              <w:t>Range in Years</w:t>
            </w:r>
          </w:p>
        </w:tc>
        <w:tc>
          <w:tcPr>
            <w:tcW w:w="0" w:type="dxa"/>
            <w:vAlign w:val="bottom"/>
          </w:tcPr>
          <w:p>
            <w:pPr>
              <w:spacing w:after="0"/>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w:t>
            </w:r>
          </w:p>
        </w:tc>
        <w:tc>
          <w:tcPr>
            <w:tcW w:w="5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 30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ind w:left="20"/>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ind w:left="20"/>
              <w:spacing w:after="0"/>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Special tools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ind w:left="20"/>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9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There is one reporting unit which is the same as the Company’s one operating and reportable segment. The Company has elected to perform its annual impairment test on October 31 of every year. A multi-step impairment test is performed on goodwill. In Step 0, the Company evaluates various qualitative factors to determine the likelihood of impairment. If determined that the fair value is more likely than not less than the carrying value, then the Company is required to perform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the net assets assigned to the reporting unit exceeds the fair value of the reporting unit, then the Company must perform Step 2 of the impairment test in order to determine the implied fair value of the reporting unit’s goodwill. If the carrying value of a reporting unit’s goodwill exceeds its implied fair value, then the Company would record an impairment loss equal to the difference.</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reviewing various qualitative factors, the Company’s 2012 annual goodwill impairment test indicated that the fair value of the reporting unit more likely than not exceeded its carrying value, indicating no impairment. The Company’s qualitative assessment included a review of various key assumptions and factors including, among others, an assessment of business changes, economic outlook, financial trends and forecasts, credit ratings, equity ratings and discount rates. Events or circumstances that could unfavorably impact the key assumptions include lower net sales driven by market conditions, the Company’s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Company’s trade name, are not amortized but are tested annually for impairment. After reviewing various qualitative factors, the Company’s 2012 annual trade name impairment test indicated that the fair value of the trade name more likely than not exceeded its carrying value, indicating no impairment. The Company’s qualitative assessment included a review of various key assumptions and factors including, among others, an assessment of business changes, economic outlook, financial trends and forecasts, royalty savings rates, credit ratings, equity ratings and discount rates.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management believes the forecast estimates are reasonable and incorporate those assumptions that similar market participants would use in their estimates of fair value. 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5 provides further information on Goodwill and Other intangible assets.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Deferred financing costs are stated at cost as a component of other non-current assets and amortized over the life of the related debt using the effective interest method. Amortization of deferred financing costs is recorded as part of interest expense and totaled $14.5 million, $12.1 million and $11.6 million for the years ended December 31, 2012, 2011 and 2010,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for more detail. The Company’s long-term debt obligations are carried at historical amounts with the Company providing fair value disclosure in NOTE 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records sales when title has transferred to the customer, there is evidence of an agreement, the sales price is fixed and determinable, and the collection of the related accounts receivable is reasonably assured. The Company sells Extended Transmission Coverage (“ETC”) for which sales are deferred. ETC sales are recognized ratably over the period of the ETC, which typically ranges from three to five years after initial sale.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(Loss) included $59.9 million, $59.2 million and $55.6 million for the years ended December 31, 2012, 2011 and 2010, respectively.</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Sales under U.S. government production contracts are recorded when the product is accepted and title has transferred to the U.S. government. Under the terms of the U.S. government contracts, there are certain price reduction clauses and provisions for potential price reductions which are estimated at the time of sale based upon the Company’s history and experience and are recorded as a reduction to Net sales. Potential reductions may be attributed to a change in projected sales volumes or plant efficiencies which impact overall costs. As of December 31, 2012 and 2011, the Company had $46.9 million and $34.0 million recorded in the price reduction reserve account, respectively.</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$7.8 million, $7.1 million and $14.4 million for the years ended December 31, 2012, 2011 and 2010, respectively. The associated costs are recorded in Cost of sales.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provided for by adjusting Selling, general and administrative expenses by an amount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Costs associated with ETC programs are recorded as incurred during the extended period.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Most of the subsidiaries outside the United States prepare financial statements in currencies other than the U.S. dollar. The functional currency for all these subsidiaries is the local currency, except for the Company’s Hong Kong and Middle East subsidiaries which currently use the U.S. dollar as the functional currency, and balances are translated at period-end exchange rates for assets and liabilities and monthly weighted-average exchange rates for revenues and expenses. The translation gains (losses) are stated as a component of AOCL as disclosed in NOTE 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provides further information on the accounting treatment of the Company’s derivative instruments.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maintains a stock-based compensation plan which allows employees (including executive officers), consultants and directors to receive equity awards. The Company has adopted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benefit cost components shown in the Consolidated Statements of Comprehensive Income (Loss)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2012, the FASB issued authoritative accounting guidance on testing indefinite-lived intangibles for impairment. The guidance gives an entity the option to first assess qualitative factors to determine whether the existence of events and circumstances indicates that it is more likely than not that the indefinite-lived intangible asset is impaired. If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However, if an entity concludes otherwise, then the entity is not required to take further action. The guidance is effective for interim and annual impairment tests performed for fiscal years beginning after September 15, 2012 with early adoption permitted. The Company early adopted this guidance in October 2012 in conjunction with the fiscal year 2012 annual indefinite-lived intangible impairment test. This guidance only changed the methodology of testing for impairment and did not affect the outcome of such testing. The adoption of this guidance did not have an effect on our consolidated financial statements.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interim and annual reporting periods beginning on or after January 1, 2013. The adoption of this guidance is not expected to have a material effect on our consolidated financial statements.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guidance became effective for interim and annual goodwill impairment tests performed for fiscal years beginning after December 15, 2011. The Company adopted this guidance in October 2012 in conjunction with the fiscal year 2012 annual goodwill impairment test. This guidance only changed the methodology of testing for impairment and did not affect the outcome of such testing. The adoption of this guidance did not have an effect on our consolidated financial statements.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guidance did not have a material effect on our consolidated financial statements, but required a change in the presentation of comprehensive income from the notes of our consolidated financial statements to the face of our Consolidated Statements of Comprehensive Income (Loss).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interim and annual reporting periods beginning after December 15, 2011. The adoption of this guidance did not have a material effect on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Work in progress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Finished goods</w:t>
            </w:r>
          </w:p>
        </w:tc>
        <w:tc>
          <w:tcPr>
            <w:tcW w:w="1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r>
              <w:rPr>
                <w:rFonts w:ascii="Arial" w:cs="Arial" w:eastAsia="Arial" w:hAnsi="Arial"/>
                <w:sz w:val="18"/>
                <w:szCs w:val="18"/>
                <w:b w:val="1"/>
                <w:bCs w:val="1"/>
                <w:u w:val="single" w:color="auto"/>
                <w:color w:val="auto"/>
              </w:rPr>
              <w:t>1</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7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6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263.3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Software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plant and equipment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1,015.6</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(515.5)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(433.8)</w:t>
            </w:r>
          </w:p>
        </w:tc>
      </w:tr>
      <w:tr>
        <w:trPr>
          <w:trHeight w:val="27"/>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2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Depreciation of property, plant and equipment was $102.5 million, $103.8 million and $99.6 million for the years ended December 31, 2012,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goodwill and other intangible assets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Expected useful</w:t>
            </w:r>
          </w:p>
        </w:tc>
        <w:tc>
          <w:tcPr>
            <w:tcW w:w="520" w:type="dxa"/>
            <w:vAlign w:val="bottom"/>
          </w:tcPr>
          <w:p>
            <w:pPr>
              <w:spacing w:after="0"/>
              <w:rPr>
                <w:sz w:val="14"/>
                <w:szCs w:val="14"/>
                <w:color w:val="auto"/>
              </w:rPr>
            </w:pPr>
          </w:p>
        </w:tc>
        <w:tc>
          <w:tcPr>
            <w:tcW w:w="14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3"/>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8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1,941.0</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Customer relationships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Proprietary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476.3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476.3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Patented technology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8.5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Tooling rights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Patented technology — commercial</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2,551.0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2,551.0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(834.9)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(684.9)</w:t>
            </w:r>
          </w:p>
        </w:tc>
      </w:tr>
      <w:tr>
        <w:trPr>
          <w:trHeight w:val="27"/>
        </w:trPr>
        <w:tc>
          <w:tcPr>
            <w:tcW w:w="5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1,716.1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1,866.1</w:t>
            </w:r>
          </w:p>
        </w:tc>
      </w:tr>
      <w:tr>
        <w:trPr>
          <w:trHeight w:val="20"/>
        </w:trPr>
        <w:tc>
          <w:tcPr>
            <w:tcW w:w="5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expected U.S. federal tax basis for Goodwill and Trade name deductions was $1,150.0 million and $792.0 million as of December 31, 2012 and $1,274.0 million and $875.0 million as of December 31, 2011,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of December 31, 2012, the net carrying value of the Company’s Goodwill and Other intangible assets, net was $3,657.1 million. The Company performed a qualitative assessment of goodwill in 2012 and determined that the fair value of goodwill was more likely than not greater than carrying value, thus indicating no impairment. The Company’s assessment included a review of various key assumptions and factors including, among others, an assessment of business changes, economic outlooks, financial trends and forecasts, credit ratings, equity ratings and discount rates. Events or circumstances that could unfavorably impact the key assumptions include lower net sales driven by market conditions, the Company’s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management believes its forecast estimates and qualitative assessment were reasonable and incorporate information that similar market participants would use in their estimates of fair value.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reviewing various qualitative factors, the Company’s 2012 annual trade name impairment test indicated that the fair value of the trade name more likely than not exceeded its carrying value, indicating no impairment. The Company’s review included an assessment of various key assumptions and factors including, among others, an assessment of business changes, economic outlooks, financial trends and forecasts, royalty savings rates, credit ratings, equity ratings and discount rates.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management believes the forecast estimates are reasonable and incorporate those that similar market participants would use in their estimates of fair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2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2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362.7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3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2012 and 2011, the Company did not have any Level 3 financial assets or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primarily of publicly available mutual funds and target date retirement funds. The Company’s deferred compensation obligation is directly related to the fair value of assets held in the rabbi trust.</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containing aluminum and steel and natural gas to power our facilities, reducing the impact of commodity price volatility on the Company’s financial results.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Company generally does not elect to apply hedge accounting under the authoritative accounting guidance and records the unrealized fair value adjustments and realized gains and losses associated with these contracts in Other (expense) income, net in the Consolidated Statements of Comprehensive Income (Loss) during the period of change.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fair value measurement of commodity derivatives, the Company uses forward prices received from the issuing financial institution. These rates are periodically corroborated by comparing to third-party broker quotes. The fair values are included in Other current and non-current assets and liabilities in the Consolidated Balance Sheets. The Company has either not qualified for or not elected hedge accounting treatment for these commodity contracts, and as a result, unrealized fair value adjustments and realized gains and losses are recorded in Other (expense) income, net in the Consolidated Statements of Comprehensive Income (Loss).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LIBOR which is observable at commonly quoted intervals. The fair values are included in other current and non-current liabilities in the Consolidated Balance Sheets. The Company has not qualified for hedge accounting treatment for the interest rate swaps and, as a result, fair value adjustments are charged directly to Interest expense in the Consolidated Statements of Comprehensive Income (Loss).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89"/>
              </w:rPr>
              <w:t>Fair Value Measurements Using</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58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Quoted Prices in Active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4"/>
              </w:rPr>
              <w:t>Assets (Level 1)</w:t>
            </w:r>
          </w:p>
        </w:tc>
        <w:tc>
          <w:tcPr>
            <w:tcW w:w="22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Observable Inputs (Level 2)</w:t>
            </w:r>
          </w:p>
        </w:tc>
        <w:tc>
          <w:tcPr>
            <w:tcW w:w="12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2012</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(52.9)</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(78.9)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160" w:type="dxa"/>
            <w:vAlign w:val="bottom"/>
            <w:vMerge w:val="restart"/>
          </w:tcPr>
          <w:p>
            <w:pPr>
              <w:jc w:val="right"/>
              <w:ind w:right="29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w w:val="83"/>
              </w:rPr>
              <w:t>December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5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102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411.4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2,594.9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1,145.0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Senior Cash Pay Notes, fixed 7.125%, due 2019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Senior Cash Pay Notes, fixed 11.0%, due 2015</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2,820.8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3,376.0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2,801.3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3,345.0</w:t>
            </w:r>
          </w:p>
        </w:tc>
        <w:tc>
          <w:tcPr>
            <w:tcW w:w="10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Principal payments required on long-term debt during the next five years are $19.5 million in 2013, $430.9 million in 2014, $19.5 million in 2015, $19.5 million in 2016 and $772.5 million in 2017.</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the Company had $411.4 million of indebtedness associated with ATI’s Senior Secured Credit Facility Term B-1 Loan due 2014 (“Term B-1 Loan”), $793.1 million of indebtedness associated with ATI’s Senior Secured Credit Facility Term B-2 Loan due 2017 (“Term B-2 Loan”), $1,145.0 million of indebtedness associated with ATI’s Senior Secured Credit Facility Term B-3 Loan due 2019 (“Term B-3 Loan”) and (together the Term B-1 Loan, Term B-2 Loan, Term B-3 Loan and revolving credit facility defined as the “Senior Secured Credit Facility”). The Company also had indebtedness of $471.3 million of ATI’s 7.125% senior cash pay notes due May 2019 (“7.125% Senior Notes”).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December 31, 2012 was $2,872.0 million. The fair value is based on quoted Level 1 market prices of the Company’s debt as of December 31, 2012.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term loan debt from August 7, 2014 to August 7, 2017 and to increase the applicable margin at the Company’s option to either (a) 3.50% over the LIBOR or (b) 2.50% over the greater of the prime lending rate provided by the British Banking Association or the federal funds effective rate published by the Federal Reserve Bank of New York. As a result of the debt modification, the Company recorded an additional $2.3 million as deferred financing fees in the Consolidated Balance Sheets and extended the amortization period of $5.1 million of deferred financing fees from 2014 to 2017. In August 2012, ATI entered into an amendment with the term loan lenders under its Senior Secured Credit Facility to extend the maturity of $850.0 million of term loan debt from August 7, 2014 to August 23, 2019 and to increase the applicable margin at the Company’s option to either (a) 3.25% or 3.00%, subject to the Company’s total leverage ratio, over the LIBOR or (b) 2.25% or 2.00%, subject to the Company’s total leverage ratio, over the greater of the prime lending rate provided by the British Banking Association or the federal funds effective rate published by the Federal Reserve Bank of New York (but not less than 2.00%). The amendment was treated as an extinguishment of debt under GAAP, and thus the Company expensed $4.5 million of deferred financing fees and recorded $16.1 million of new deferred financing fees in the consolidated financial statements. In October 2012, ATI entered into an amendment with the term loan lenders under its Senior Secured Credit Facility to extend the maturity of $300.0 million of term loan debt from August 7, 2014 to August 23, 2019 and to increase the applicable margin at the Company’s option to either (a) 3.25% or 3.00%, subject to the Company’s total leverage ratio, over the LIBOR or (b) 2.25% or 2.00%, subject to the Company’s total leverage ratio, over the greater of the prime lending rate provided by the British Banking Association or the federal funds effective rate published by the Federal Reserve Bank of New York (but not less than 2.00%). The amendment was treated as an extinguishment of debt under GAAP, and thus the Company expensed $1.4 million of deferred financing fees and recorded $1.8 million of new deferred financing fees in the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B-1 Loan is variable and as of December 31, 2012 equal to the LIBOR plus 2.50% based on the Company’s total senior secured leverage ratio; interest on the Term B-2 Loan is variable and as of December 31, 2012 equal to the LIBOR plus 3.50%; and interest on the Term B-3 Loan is variable and as of December 31, 2012 equal to the LIBOR (but not less than 1.00%) plus 3.25% based on the Company’s total leverage ratio. As of December 31, 2012, these rates were approximately 2.71%, 3.71% and 4.25% on the Term B-1 Loan, Term B-2 Loan and Term B-3 Loan, respectively, and the weighted average rate on the Senior Secured Credit Facility was approximately 3.80%. The Senior Secured Credit Facility requires minimum quarterly principal payments of $7.75 million on the Term B-1 Loan, which commenced December 2007, as well as prepayments from certain net cash proceeds of non-ordinary course asset sales and casualty and condemnation events and from a percentage of excess cash flow, if applicable. As of December 31, 2012, there had been no payments required for certain net cash proceeds of non-ordinary course asset sales and casualty and condemnation events. Due to voluntary prepayments, the Company has fulfilled all Term B-1 Loan required quarterly payments through its maturity date of 2014. The minimum required quarterly principal payments on the Term B-2 Loan and Term B-3 Loan are $2.0 million and $2.9 million, respectively, and remain through the maturity dates of 2017 and 2019, respectively. The remaining principal balance on each loan is due upon maturity.</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2012, the excess cash flow percentage was 0%, and as a result, the Company is not required to make an excess cash flow payment.</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Throughout the year ended December 31, 2012, we made periodic withdrawals on our revolving credit facility as part of our debt management plans. The maximum amount outstanding at any time on the revolving credit facility was $27.5 million, and all balances were repaid within the quarter they were borrowed. As of December 31, 2012, the Company had $372.1 million available under the revolving credit facility, net of $27.9 million in letters of credit. Revolving credit borrowings bear interest at a variable base rate plus an applicable margin based on the Company’s total senior secured leverage ratio. As of December 31, 2012, this rate would have been between approximately 2.96% and 5.00%. In addition, there is an annual commitment fee, based on the Company’s total senior secured leverage ratio, which is currently equal to 0.375% of the average unused revolving credit borrowings available under the Senior Secured Credit Facility. Revolving credit borrowings are payable at the option of the Company throughout the term of the Senior Secured Credit Facility, with the balance due in August 2016, or August 2014 as long as the Term B-1 Loan is outstanding.</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November 2008, ATI entered into an amendment to its Senior Secured Credit Facility that permits it to make discounted voluntary prepayments of its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the Company for so long as the term loans are outstanding. For the year ended December 31, 2012, 2011 and 2010, the Company repurchased $0.0 million, $0.0 million and $97.2 million of its term loans under this amendment, respectively. The repurchases of the term loan resulted in gains (the discount between the purchase price of the term loan and the face value of such term loan) for the years ended December 31, 2012, 2011 and 2010 of $0.0 million, $0.0 million and $4.1 million, respectively, net of deferred financing fees written off.</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ATI effectively amended some of its terms under the revolving credit facility including extending the term from August 2013 to August 2016, or August 2014 as long as the Term B-1 Loan is outstanding, and increasing the borrowing capacity from $317.5 million to $400.0 million. As a result, the Company recorded an additional $4.2 million as deferred financing fees in the Consolidated Balance Sheets and $0.9 million as deferred financing fees expensed in the Consolidated Statements of Comprehensive Income (Loss). All deferred financing fees associated with the revolving credit facility will be amortized to Interest expense on a straight-line basis over the term of the revolving credit facility.</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the Company made principal payments of $245.4 million, $90.5 million and $106.0 million on the Senior Secured Credit Facility for the years ended December 31, 2012, 2011 and 2012, respectively. The principal payments made on the Senior Secured Credit Facility for the years ended December 31, 2012, 2011 and 2010 resulted in losses of $1.3 million, $0.6 million and $0.8 million, respectively, associated with the write off of related deferred debt issuance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December 31, 2012, the Company was in compliance with the maximum total senior secured leverage ratio achieving a 3.22x ratio versus a 5.50x requirement threshold. Within the terms of the Senior Secured Credit Facility, a senior secured leverage ratio below 3.50x results in a 25 basis point reduction to the applicable margin on the Term B-1 Loan, a 12.5 basis point reduction to the revolving credit facility commitment fee and elimination of excess cash flow payments on the term loans for the applicable year. These reductions remain in effect as long as the Company continues to achieve a senior secured leverage ratio below 3.50x. A total leverage ratio below 3.25x results in a 25 basis point reduction to the applicable margin on the Term B-3 Loan. This reduction would remain in effect as long as we achieve a total leverage ratio below 3.25x. As of December 31, 2012, the total leverage ratio was 3.89x.</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December 31, 2012,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October of 2007, ATI issued $550.0 million of 11.0% Senior Notes due November 2015 (“11.0% Senior Notes”) and $550.0 million of 11.25% Senior Toggle Notes due November 2015 (“Senior Toggle Notes”). Interest on the 11.0% Senior Notes accrued at a rate of 11.0% per year and was payable semi-annually in arrears on May 1 and November 1 of each year. In November 2011, the Company fully retired the Senior Toggle Notes.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2011, the Company completed an offering of $500.0 million of 7.125% Senior Notes due May 2019. Interest on the 7.125% Senior Notes accrues at a rate of 7.125% per year and is payable semi-annually in arrears on November 15 and May 15. The proceeds from the offering, together with cash on hand, were used to complete a cash tender offer for $468.1 million of the Company’s Senior Toggle Notes plus accrued and unpaid interest, applicable premiums and expenses of $56.9 million. As a result of the offering, the Company recorded approximately $10.8 million as deferred financing fees in the Consolidated Balance Sheets. 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February 2012, the Company redeemed $200.0 million of the 11.0% Senior Notes resulting in a loss (the premium between the purchase price of the notes and the face value of such notes) of $13.5 million, including deferred financing fees written off.</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May 2012, the Company redeemed the remaining $109.8 million of the 11.0% Senior Notes resulting in a loss (the premium between the purchase price of the notes and the face value of such notes) of $7.3 million, including deferred financing fees written off.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 For the years ended December 31, 2012, 2011 and 2010 the Company repurchased $0.0 million, $28.7 million and $0.0 million (at face value) of its 7.125% Senior Notes, respectively. The repurchases resulted in a net gain (the discount between the purchase price of the notes and the face value of such notes) of $0.0 million, $1.3 million, and $0.0 million for the years ended December 31, 2012, 2011 and 2010, respectively, net of deferred financing fees written off.</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indenture governing the 7.125%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Certain of these covenants would be suspended if the 7.125% Senior Notes were to reach investment grade.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As of December 31, 2012, the Company had no short-term notes payable. As of December 31, 2011, the Company had Japanese Yen denominated unsecured short-term notes of 200 million Yen (approximately $2.6 million) with a weighted average interest rate of 1.24%.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w:t>
      </w:r>
    </w:p>
    <w:p>
      <w:pPr>
        <w:spacing w:after="0" w:line="96"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maturities of the interest rate swaps outstanding as of December 31, 2012 and 2011 do not correspond with the maturity of the term loans, but the interest rate swaps are similar to the Term B-1 Loan and Term B-2 Loan in all other respects. The Company does not qualify for hedge accounting treatment for these derivatives, and as a result, fair value adjustments are charged directly to Interest expense in the Consolidated Statements of Comprehensive Income (Loss). A summary of the Company’s interest rate derivatives as of December 31, 2012 and 2011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1,375.0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2012 and 2011, the Company had recorded cash collateral of $3.0 million and $2.0 million, respectively, in Other current assets in the Consolidated Balance Sheets, as the balances are subject to frequent change. The Company has also posted $23.0 million of collateral in the form of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unrealized fair value adjustments and realized gains and losses associated with these contracts in Other expense, net in the Consolidated Statements of Comprehensive Income (Loss)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December 31, 2012 and 2011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4"/>
              </w:rPr>
              <w:t>December 31, 2012</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4"/>
              </w:rPr>
              <w:t>December 31, 2011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Notional</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3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¥675.0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0"/>
              </w:rPr>
              <w:t>(0.2)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N/A</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Indian Rupee (INR)</w:t>
            </w:r>
          </w:p>
        </w:tc>
        <w:tc>
          <w:tcPr>
            <w:tcW w:w="3080" w:type="dxa"/>
            <w:vAlign w:val="bottom"/>
          </w:tcPr>
          <w:p>
            <w:pPr>
              <w:spacing w:after="0"/>
              <w:rPr>
                <w:sz w:val="19"/>
                <w:szCs w:val="19"/>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79"/>
              </w:rPr>
              <w:t>81.0</w:t>
            </w:r>
          </w:p>
        </w:tc>
        <w:tc>
          <w:tcPr>
            <w:tcW w:w="58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British Pound (GBP)</w:t>
            </w:r>
          </w:p>
        </w:tc>
        <w:tc>
          <w:tcPr>
            <w:tcW w:w="3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Canadian Dollar (CAD)</w:t>
            </w:r>
          </w:p>
        </w:tc>
        <w:tc>
          <w:tcPr>
            <w:tcW w:w="30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86"/>
              </w:rPr>
              <w:t>C$</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80" w:type="dxa"/>
            <w:vAlign w:val="bottom"/>
            <w:vMerge w:val="restart"/>
          </w:tcPr>
          <w:p>
            <w:pPr>
              <w:jc w:val="right"/>
              <w:ind w:right="1092"/>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-949960</wp:posOffset>
            </wp:positionV>
            <wp:extent cx="9461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12001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the Company’s commodity price risk, primarily with component suppliers, it has chosen to manage steel, aluminum and natural gas exposure by entering into commodity swap contracts that qualify as derivatives under authoritative accounting guidance. The Company has not qualified for hedge accounting treatment for these commodity contracts and, as a result, unrealized fair value adjustments and realized gains and losses will be charged directly to Other expense, net in the Consolidated Statements of Comprehensive Income (Loss).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December 31, 2012 and December 31, 2011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Quantity</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7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780" w:type="dxa"/>
            <w:vAlign w:val="bottom"/>
            <w:gridSpan w:val="2"/>
            <w:vMerge w:val="continue"/>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19.4</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9,050 metric tons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17.0</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 metric tons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0"/>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Steel</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340 metric tons</w:t>
            </w:r>
          </w:p>
        </w:tc>
        <w:tc>
          <w:tcPr>
            <w:tcW w:w="2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900 metric tons</w:t>
            </w:r>
          </w:p>
        </w:tc>
        <w:tc>
          <w:tcPr>
            <w:tcW w:w="2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80,000 MMBtu</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 MMBtu</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w w:val="96"/>
              </w:rPr>
              <w:t>December 31, 2012</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tcPr>
          <w:p>
            <w:pPr>
              <w:ind w:left="400"/>
              <w:spacing w:after="0" w:line="156" w:lineRule="exact"/>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3"/>
                <w:szCs w:val="13"/>
                <w:color w:val="auto"/>
              </w:rPr>
            </w:pPr>
          </w:p>
        </w:tc>
        <w:tc>
          <w:tcPr>
            <w:tcW w:w="80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480" w:type="dxa"/>
            <w:vAlign w:val="bottom"/>
            <w:gridSpan w:val="2"/>
          </w:tcPr>
          <w:p>
            <w:pPr>
              <w:ind w:left="460"/>
              <w:spacing w:after="0" w:line="156" w:lineRule="exact"/>
              <w:rPr>
                <w:sz w:val="20"/>
                <w:szCs w:val="20"/>
                <w:color w:val="auto"/>
              </w:rPr>
            </w:pPr>
            <w:r>
              <w:rPr>
                <w:rFonts w:ascii="Arial" w:cs="Arial" w:eastAsia="Arial" w:hAnsi="Arial"/>
                <w:sz w:val="14"/>
                <w:szCs w:val="14"/>
                <w:b w:val="1"/>
                <w:bCs w:val="1"/>
                <w:color w:val="auto"/>
              </w:rPr>
              <w:t>Balance Sheet Location</w:t>
            </w:r>
          </w:p>
        </w:tc>
        <w:tc>
          <w:tcPr>
            <w:tcW w:w="7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Other current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240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rate contracts</w:t>
            </w:r>
          </w:p>
        </w:tc>
        <w:tc>
          <w:tcPr>
            <w:tcW w:w="2400" w:type="dxa"/>
            <w:vAlign w:val="bottom"/>
            <w:gridSpan w:val="2"/>
          </w:tcPr>
          <w:p>
            <w:pPr>
              <w:ind w:left="22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Consolidated Balance Sheets. As of December 31, 2012, the amount recorded to Other current liabilities for foreign currency contracts was ($0.2) million. The amounts recorded to Other current and non-current assets and Other current and non-current liabilities for commodity contracts were $0.1 million, $0.1 million, ($0.3) million and ($0.1) million, respectively. The amounts recorded to Other current and non-current liabilities for interest rate contracts were ($31.2) million and ($21.1) million, respectively.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2011, the amount recorded to Other non-current liabilities for foreign currency contracts was ($0.1) million. The amounts recorded to Other current and non-current liabilities for commodity contracts were ($0.7) million and ($0.3) million, respectively. The amounts recorded to Other current and non-current liabilities for interest rate contracts were ($31.9) million and ($45.9)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60" w:type="dxa"/>
            <w:vAlign w:val="bottom"/>
            <w:gridSpan w:val="2"/>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8"/>
              </w:rPr>
              <w:t>December 31, 2012</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5"/>
              </w:rPr>
              <w:t>December 31, 2011</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4"/>
          </w:tcPr>
          <w:p>
            <w:pPr>
              <w:ind w:left="20"/>
              <w:spacing w:after="0" w:line="130" w:lineRule="exact"/>
              <w:rPr>
                <w:sz w:val="20"/>
                <w:szCs w:val="20"/>
                <w:color w:val="auto"/>
              </w:rPr>
            </w:pPr>
            <w:r>
              <w:rPr>
                <w:rFonts w:ascii="Arial" w:cs="Arial" w:eastAsia="Arial" w:hAnsi="Arial"/>
                <w:sz w:val="14"/>
                <w:szCs w:val="14"/>
                <w:b w:val="1"/>
                <w:bCs w:val="1"/>
                <w:color w:val="auto"/>
                <w:w w:val="97"/>
              </w:rPr>
              <w:t>Amount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tcPr>
          <w:p>
            <w:pPr>
              <w:spacing w:after="0" w:line="130" w:lineRule="exact"/>
              <w:rPr>
                <w:sz w:val="20"/>
                <w:szCs w:val="20"/>
                <w:color w:val="auto"/>
              </w:rPr>
            </w:pPr>
            <w:r>
              <w:rPr>
                <w:rFonts w:ascii="Arial" w:cs="Arial" w:eastAsia="Arial" w:hAnsi="Arial"/>
                <w:sz w:val="14"/>
                <w:szCs w:val="14"/>
                <w:b w:val="1"/>
                <w:bCs w:val="1"/>
                <w:color w:val="auto"/>
              </w:rPr>
              <w:t>Amount of</w:t>
            </w:r>
          </w:p>
        </w:tc>
        <w:tc>
          <w:tcPr>
            <w:tcW w:w="1440" w:type="dxa"/>
            <w:vAlign w:val="bottom"/>
            <w:gridSpan w:val="5"/>
          </w:tcPr>
          <w:p>
            <w:pPr>
              <w:jc w:val="center"/>
              <w:ind w:right="200"/>
              <w:spacing w:after="0" w:line="130" w:lineRule="exact"/>
              <w:rPr>
                <w:sz w:val="20"/>
                <w:szCs w:val="20"/>
                <w:color w:val="auto"/>
              </w:rPr>
            </w:pPr>
            <w:r>
              <w:rPr>
                <w:rFonts w:ascii="Arial" w:cs="Arial" w:eastAsia="Arial" w:hAnsi="Arial"/>
                <w:sz w:val="14"/>
                <w:szCs w:val="14"/>
                <w:b w:val="1"/>
                <w:bCs w:val="1"/>
                <w:color w:val="auto"/>
                <w:w w:val="84"/>
              </w:rPr>
              <w:t>Location of</w:t>
            </w:r>
          </w:p>
        </w:tc>
        <w:tc>
          <w:tcPr>
            <w:tcW w:w="7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7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4"/>
              </w:rPr>
              <w:t>gain (loss)</w:t>
            </w:r>
          </w:p>
        </w:tc>
        <w:tc>
          <w:tcPr>
            <w:tcW w:w="220" w:type="dxa"/>
            <w:vAlign w:val="bottom"/>
          </w:tcPr>
          <w:p>
            <w:pPr>
              <w:spacing w:after="0"/>
              <w:rPr>
                <w:sz w:val="12"/>
                <w:szCs w:val="12"/>
                <w:color w:val="auto"/>
              </w:rPr>
            </w:pPr>
          </w:p>
        </w:tc>
        <w:tc>
          <w:tcPr>
            <w:tcW w:w="1140" w:type="dxa"/>
            <w:vAlign w:val="bottom"/>
            <w:gridSpan w:val="3"/>
          </w:tcPr>
          <w:p>
            <w:pPr>
              <w:jc w:val="center"/>
              <w:ind w:left="4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gain (loss)</w:t>
            </w:r>
          </w:p>
        </w:tc>
        <w:tc>
          <w:tcPr>
            <w:tcW w:w="14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gain (loss)</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gain (loss)</w:t>
            </w:r>
          </w:p>
        </w:tc>
        <w:tc>
          <w:tcPr>
            <w:tcW w:w="7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220" w:type="dxa"/>
            <w:vAlign w:val="bottom"/>
          </w:tcPr>
          <w:p>
            <w:pPr>
              <w:spacing w:after="0"/>
              <w:rPr>
                <w:sz w:val="12"/>
                <w:szCs w:val="12"/>
                <w:color w:val="auto"/>
              </w:rPr>
            </w:pPr>
          </w:p>
        </w:tc>
        <w:tc>
          <w:tcPr>
            <w:tcW w:w="1140" w:type="dxa"/>
            <w:vAlign w:val="bottom"/>
            <w:gridSpan w:val="3"/>
          </w:tcPr>
          <w:p>
            <w:pPr>
              <w:jc w:val="center"/>
              <w:ind w:left="41"/>
              <w:spacing w:after="0" w:line="149" w:lineRule="exact"/>
              <w:rPr>
                <w:sz w:val="20"/>
                <w:szCs w:val="20"/>
                <w:color w:val="auto"/>
              </w:rPr>
            </w:pPr>
            <w:r>
              <w:rPr>
                <w:rFonts w:ascii="Arial" w:cs="Arial" w:eastAsia="Arial" w:hAnsi="Arial"/>
                <w:sz w:val="14"/>
                <w:szCs w:val="14"/>
                <w:b w:val="1"/>
                <w:bCs w:val="1"/>
                <w:color w:val="auto"/>
                <w:w w:val="82"/>
              </w:rPr>
              <w:t>gain (loss)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recognized</w:t>
            </w:r>
          </w:p>
        </w:tc>
        <w:tc>
          <w:tcPr>
            <w:tcW w:w="14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240" w:type="dxa"/>
            <w:vAlign w:val="bottom"/>
          </w:tcPr>
          <w:p>
            <w:pPr>
              <w:spacing w:after="0"/>
              <w:rPr>
                <w:sz w:val="12"/>
                <w:szCs w:val="12"/>
                <w:color w:val="auto"/>
              </w:rPr>
            </w:pPr>
          </w:p>
        </w:tc>
        <w:tc>
          <w:tcPr>
            <w:tcW w:w="4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on</w:t>
            </w:r>
          </w:p>
        </w:tc>
        <w:tc>
          <w:tcPr>
            <w:tcW w:w="220" w:type="dxa"/>
            <w:vAlign w:val="bottom"/>
          </w:tcPr>
          <w:p>
            <w:pPr>
              <w:spacing w:after="0"/>
              <w:rPr>
                <w:sz w:val="12"/>
                <w:szCs w:val="12"/>
                <w:color w:val="auto"/>
              </w:rPr>
            </w:pPr>
          </w:p>
        </w:tc>
        <w:tc>
          <w:tcPr>
            <w:tcW w:w="114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on</w:t>
            </w:r>
          </w:p>
        </w:tc>
        <w:tc>
          <w:tcPr>
            <w:tcW w:w="18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derivatives</w:t>
            </w: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95"/>
              </w:rPr>
              <w:t>derivatives</w:t>
            </w:r>
          </w:p>
        </w:tc>
        <w:tc>
          <w:tcPr>
            <w:tcW w:w="220" w:type="dxa"/>
            <w:vAlign w:val="bottom"/>
          </w:tcPr>
          <w:p>
            <w:pPr>
              <w:spacing w:after="0"/>
              <w:rPr>
                <w:sz w:val="15"/>
                <w:szCs w:val="15"/>
                <w:color w:val="auto"/>
              </w:rPr>
            </w:pPr>
          </w:p>
        </w:tc>
        <w:tc>
          <w:tcPr>
            <w:tcW w:w="114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87"/>
              </w:rPr>
              <w:t>derivatives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derivatives</w:t>
            </w:r>
          </w:p>
        </w:tc>
        <w:tc>
          <w:tcPr>
            <w:tcW w:w="1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derivatives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86"/>
              </w:rPr>
              <w:t>Other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5"/>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Foreign currency contracts</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income, net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income, net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0.9</w:t>
            </w:r>
          </w:p>
        </w:tc>
        <w:tc>
          <w:tcPr>
            <w:tcW w:w="1440" w:type="dxa"/>
            <w:vAlign w:val="bottom"/>
            <w:gridSpan w:val="5"/>
          </w:tcPr>
          <w:p>
            <w:pPr>
              <w:spacing w:after="0"/>
              <w:rPr>
                <w:sz w:val="20"/>
                <w:szCs w:val="20"/>
                <w:color w:val="auto"/>
              </w:rPr>
            </w:pPr>
            <w:r>
              <w:rPr>
                <w:rFonts w:ascii="Arial" w:cs="Arial" w:eastAsia="Arial" w:hAnsi="Arial"/>
                <w:sz w:val="18"/>
                <w:szCs w:val="18"/>
                <w:color w:val="auto"/>
              </w:rPr>
              <w:t>income,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Other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net</w:t>
            </w:r>
          </w:p>
        </w:tc>
        <w:tc>
          <w:tcPr>
            <w:tcW w:w="24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2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net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Interest rate contracts</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2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84"/>
              </w:rPr>
              <w:t>Interest expense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(7.0)</w:t>
            </w:r>
          </w:p>
        </w:tc>
        <w:tc>
          <w:tcPr>
            <w:tcW w:w="1440" w:type="dxa"/>
            <w:vAlign w:val="bottom"/>
            <w:gridSpan w:val="5"/>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 not designated as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PRODUCT WARRANTY LIABILITIES</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56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140" w:type="dxa"/>
            <w:vAlign w:val="bottom"/>
            <w:gridSpan w:val="5"/>
          </w:tcPr>
          <w:p>
            <w:pPr>
              <w:ind w:left="440"/>
              <w:spacing w:after="0"/>
              <w:rPr>
                <w:sz w:val="20"/>
                <w:szCs w:val="20"/>
                <w:color w:val="auto"/>
              </w:rPr>
            </w:pPr>
            <w:r>
              <w:rPr>
                <w:rFonts w:ascii="Arial" w:cs="Arial" w:eastAsia="Arial" w:hAnsi="Arial"/>
                <w:sz w:val="18"/>
                <w:szCs w:val="18"/>
                <w:color w:val="auto"/>
                <w:w w:val="92"/>
              </w:rPr>
              <w:t>Product warranty liability activities consist of the following (dollars in millions):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Payments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672"/>
              <w:spacing w:after="0"/>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(35.5)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liability (warranties issued during period)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109.7</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115.4</w:t>
            </w:r>
          </w:p>
        </w:tc>
        <w:tc>
          <w:tcPr>
            <w:tcW w:w="30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December 31, 2012, the current and non-current liabilities were $36.2 million and $73.5 million, respectively. As of December 31, 2011 the current and non-current liabilities were $33.9 million and $81.5 million, respectively.</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June 2007, Old GM recognized the estimated cost of replacing the Dual Power Inverter Module (“DPIM”) used on H 40/50 EP hybrid systems. Certain units were falling short of their expected service life and the Predecessor decided to cover repair or replacement for an extended period. The Company is responsible for the first $12.0 million of qualified cost while GM is responsible for the next $34.0 million of costs, with any amount over $46.0 million being shared one-third by the Company and two-thirds by GM for shipments through June 30, 2009.</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2012, the Company reviewed its DPIM extended coverage program and determined, based on current claims, that the product liability should be reduced by $7.9 million. This resulted in a $7.3 million reduction in the GM DPIM receivable and a $0.6 million favorable adjustment to the Consolidated Statements of Comprehensive Income (Loss). As part of the analysis, it was also determined that design issues related to the early introduction of the replacement DPIM unit resulted in a $10.0 million increase to the product warranty liability. As the replacement DPIM unit is the responsibility of the Company and not covered by the Asset Purchase Agreement, the Company recorded a $10.0 million charge to the Consolidated Statements of Comprehensive Income (Loss). The Company will continue to review the total DPIM liability and GM receivable for any changes in estimate as data becomes available.</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2011, the Company reviewed its DPIM costs associated with the extended coverage resulting in no change to the DPIM liability and no change to the associated GM receivable.</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2010, the Company reviewed its DPIM costs associated with the extended coverage resulting in a $22.7 million adjustment to the total liability. The associated GM receivable was reduced by $20.8 million as a result of the review. The reduction in the DPIM liability was the result of additional claims data and field information becoming available.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2012, the DPIM liability was $52.8 million with an associated receivable from GM of $31.6 million. To date, the Company has paid approximately $17.6 million in DPIM claims.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remaining adjustments to the total liability in 2012, 2011 and 2010 were the result of general changes in estimates for various products as additional claims data and field information became available.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Year ended</w:t>
            </w:r>
          </w:p>
        </w:tc>
        <w:tc>
          <w:tcPr>
            <w:tcW w:w="38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5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2012, the current and non-current liabilities were $21.6 million and $42.6 million, respectively. As of December 31, 2011, the current and non-current liabilities were $19.9 million and $40.8 million, respectively. As of December 31, 2010, the current and non-current liabilities were $14.8 million and $41.4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(EXPENSE) INCOME,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income, net consists of the following (dollars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2011</w:t>
            </w:r>
          </w:p>
        </w:tc>
        <w:tc>
          <w:tcPr>
            <w:tcW w:w="26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gain on repurchases and redemptions of long-term debt (see NOTE 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$(22.1)</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(16.0)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Termination of Sponsor services agreement (see NOTE 18)</w:t>
            </w:r>
          </w:p>
        </w:tc>
        <w:tc>
          <w:tcPr>
            <w:tcW w:w="9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Grant Program income</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fees and expenses</w:t>
            </w:r>
          </w:p>
        </w:tc>
        <w:tc>
          <w:tcPr>
            <w:tcW w:w="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9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re-measurement of employee benefit plans (see NOTE 12)</w:t>
            </w:r>
          </w:p>
        </w:tc>
        <w:tc>
          <w:tcPr>
            <w:tcW w:w="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Realized (loss) gain on derivative contracts (see NOTE 8)</w:t>
            </w:r>
          </w:p>
        </w:tc>
        <w:tc>
          <w:tcPr>
            <w:tcW w:w="9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 contracts (see NOTE 8)</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Vendor settlement</w:t>
            </w:r>
          </w:p>
        </w:tc>
        <w:tc>
          <w:tcPr>
            <w:tcW w:w="20" w:type="dxa"/>
            <w:vAlign w:val="bottom"/>
          </w:tcPr>
          <w:p>
            <w:pPr>
              <w:spacing w:after="0"/>
              <w:rPr>
                <w:sz w:val="18"/>
                <w:szCs w:val="18"/>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Reduction of supply contract liability</w:t>
            </w:r>
          </w:p>
        </w:tc>
        <w:tc>
          <w:tcPr>
            <w:tcW w:w="20" w:type="dxa"/>
            <w:vAlign w:val="bottom"/>
          </w:tcPr>
          <w:p>
            <w:pPr>
              <w:spacing w:after="0"/>
              <w:rPr>
                <w:sz w:val="18"/>
                <w:szCs w:val="18"/>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(52.8</w:t>
            </w:r>
          </w:p>
        </w:tc>
        <w:tc>
          <w:tcPr>
            <w:tcW w:w="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During 2012, the Company entered into co-development agreements with various companies to expand our position in transmission technologies. Due to various uncertainties surrounding these investments including, but not limited to, the startup nature of the underlying businesses, their continued negative cash flows, undercapitalization and unproven business plans, the Company has impaired these investments to zero as of December 31, 2012. The related charge of $14.4 million was recorded in Other (expense) income, net in the Consolidated Statements of Comprehensive Income (Loss) for the year ended December 31, 2012.</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March 2012, the Company priced its initial public offering of common stock. All of the shares of common stock offered were sold by existing stockholders with the Company receiving no proceeds from the sale. As a result, approximately $6.1 million of fees and expenses related to the initial public offering have been recorded to Other (expense) income, net in the Consolidated Statements of Comprehensive Income (Loss).</w:t>
      </w:r>
    </w:p>
    <w:p>
      <w:pPr>
        <w:spacing w:after="0" w:line="10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Government’s matching reimbursement is recorded to Other (expense) income, net in the Consolidated Statements of Comprehensive Income (Loss). Since inception of the Grant Program, the Company has recorded $40.8 million of Grant Program income to Other (expense) income, net in the Consolidated Statements of Comprehensive Income (Loss).</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years ended December 31, 2012, 2011 and 2010, the Company recorded $3.2 million, $4.9 million and $2.2 million, respectively, as a reduction of the basis of capital assets purchased under the Grant Program. Since inception of the Grant Program, the Company has placed approximately $7.1 million of assets in service under the Grant Program, resulting in related depreciation of $0.1 million, $0.1 million and $0.0 million for the years ended December 31, 2012, 2011 and 2010,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62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60" w:type="dxa"/>
            <w:vAlign w:val="bottom"/>
            <w:gridSpan w:val="4"/>
          </w:tcPr>
          <w:p>
            <w:pPr>
              <w:ind w:left="76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Sales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Military price reduction reserve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hourly defined benefit pension plan generally provides benefits of negotiated, stated amounts for each year of service as well as significant supplemental benefits for employees who retire with 30 years of service before normal retirement age. For all hourly employees hired after May 18, 2008, the defined benefit pension plan was replaced with a defined contribution pension plan, and the company-sponsored retiree healthcare was also eliminated for those hired after May 18, 2008. The charge to expense for the hourly defined contribution pension plan was $0.9 million, $0.6 million and $0.5 million for the years ended December 31, 2012, 2011 and 2010, respectively.</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accordance with the Asset Purchase Agreement, the Company’s hourly employees who retired prior to October 2, 2011 (the “Cutoff Date”) will have their pension and OPEB paid by GM. The Company was required, pursuant to the Asset Purchase Agreement, to transfer pension assets to GM’s pension plan to cover the Company’s portion of its pension liability related to the employees who retired prior to the Cutoff Date. During the second quarter of 2012, the Company completed the transfer of its pension obligation for certain qualified hourly employees to GM’s pension plan. The transfer required a re-measurement of the hourly defined benefit pension plan resulting in a one-time non-cash settlement charge of $2.3 million recorded in Other expense, net in the Consolidated Statements of Comprehensive Income (Loss) and a $4.2 million reduction to the Company’s pension liability with corresponding adjustments to AOCL, net of tax. The employees who retired prior to the Cutoff Date are the responsibility of GM and will have their OPEB paid by GM. This resulted in a $17.9 million gain to the Company’s 2011 actuarial valuation. Employees that retire subsequent to the Cutoff Date will have their Allison pension and OPEB paid by the Company and their GM pension benefit paid by GM.</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Company’s salaried defined benefit plan covering salaried employees with a service date prior to January 1, 2001 is generally based on years of service and compensation history. The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$5.1 million, $4.7 million and $4.4 million for the years ended December 31, 2012, 2011 and 2010, respectively.</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is also responsible for OPEB costs (medical, dental, vision, and life insurance) for hourly employees hired prior to May 19, 2008. 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(Loss)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2012 and 2011, the Company had an estimated OPEB liability for hourly employees hired prior to May 19, 2008 of $142.6 million and $156.6 million,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part of the Health Care Reform Act enacted in 2010, the Company has evaluated the impact on “High-cost Health Plans” in which employers offering health plan coverage exceeding certain thresholds must pay an excise tax equal to 40% of the value of the plan that exceeds the threshold amount. Although the excise tax does not come into effect until 2018, the Company has recorded $4.0 million in its OPEB liability as of December 31, 2012 with a corresponding adjustment to AOCL, net of tax.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provides contributions to certain international benefit plans; however, these contributions are not material for all periods presented.</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Information about the net periodic benefit cost and other changes recognized in Accumulated Other Comprehensive Loss for the pension and post-retirement benefit plans is as follows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3"/>
              </w:rPr>
              <w:t>Pension Plans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6"/>
              </w:rPr>
              <w:t>Post-retirement Benefits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9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Year ended</w:t>
            </w:r>
          </w:p>
        </w:tc>
        <w:tc>
          <w:tcPr>
            <w:tcW w:w="220" w:type="dxa"/>
            <w:vAlign w:val="bottom"/>
          </w:tcPr>
          <w:p>
            <w:pPr>
              <w:spacing w:after="0"/>
              <w:rPr>
                <w:sz w:val="11"/>
                <w:szCs w:val="11"/>
                <w:color w:val="auto"/>
              </w:rPr>
            </w:pPr>
          </w:p>
        </w:tc>
        <w:tc>
          <w:tcPr>
            <w:tcW w:w="12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4"/>
              </w:rPr>
              <w:t>Year ended</w:t>
            </w:r>
          </w:p>
        </w:tc>
        <w:tc>
          <w:tcPr>
            <w:tcW w:w="320" w:type="dxa"/>
            <w:vAlign w:val="bottom"/>
          </w:tcPr>
          <w:p>
            <w:pPr>
              <w:spacing w:after="0"/>
              <w:rPr>
                <w:sz w:val="11"/>
                <w:szCs w:val="11"/>
                <w:color w:val="auto"/>
              </w:rPr>
            </w:pPr>
          </w:p>
        </w:tc>
        <w:tc>
          <w:tcPr>
            <w:tcW w:w="12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15.2</w:t>
            </w:r>
          </w:p>
        </w:tc>
        <w:tc>
          <w:tcPr>
            <w:tcW w:w="4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(gain)</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3"/>
              </w:rPr>
              <w:t>Pension Plans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6"/>
              </w:rPr>
              <w:t>Post-retirement Benefits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9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Year ended</w:t>
            </w:r>
          </w:p>
        </w:tc>
        <w:tc>
          <w:tcPr>
            <w:tcW w:w="220" w:type="dxa"/>
            <w:vAlign w:val="bottom"/>
          </w:tcPr>
          <w:p>
            <w:pPr>
              <w:spacing w:after="0"/>
              <w:rPr>
                <w:sz w:val="11"/>
                <w:szCs w:val="11"/>
                <w:color w:val="auto"/>
              </w:rPr>
            </w:pPr>
          </w:p>
        </w:tc>
        <w:tc>
          <w:tcPr>
            <w:tcW w:w="12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4"/>
              </w:rPr>
              <w:t>Year ended</w:t>
            </w:r>
          </w:p>
        </w:tc>
        <w:tc>
          <w:tcPr>
            <w:tcW w:w="320" w:type="dxa"/>
            <w:vAlign w:val="bottom"/>
          </w:tcPr>
          <w:p>
            <w:pPr>
              <w:spacing w:after="0"/>
              <w:rPr>
                <w:sz w:val="11"/>
                <w:szCs w:val="11"/>
                <w:color w:val="auto"/>
              </w:rPr>
            </w:pPr>
          </w:p>
        </w:tc>
        <w:tc>
          <w:tcPr>
            <w:tcW w:w="12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3"/>
              </w:rPr>
              <w:t>Other changes recognized in other comprehensive (income)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(28.9)</w:t>
            </w: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(gain) loss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Amortizations</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 other comprehensive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(25.1)</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31"/>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Post-retirement Benefits</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280" w:type="dxa"/>
            <w:vAlign w:val="bottom"/>
          </w:tcPr>
          <w:p>
            <w:pPr>
              <w:spacing w:after="0"/>
              <w:rPr>
                <w:sz w:val="11"/>
                <w:szCs w:val="11"/>
                <w:color w:val="auto"/>
              </w:rPr>
            </w:pPr>
          </w:p>
        </w:tc>
        <w:tc>
          <w:tcPr>
            <w:tcW w:w="12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Year ended</w:t>
            </w:r>
          </w:p>
        </w:tc>
        <w:tc>
          <w:tcPr>
            <w:tcW w:w="26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600" w:type="dxa"/>
            <w:vAlign w:val="bottom"/>
          </w:tcPr>
          <w:p>
            <w:pPr>
              <w:spacing w:after="0"/>
              <w:rPr>
                <w:sz w:val="11"/>
                <w:szCs w:val="11"/>
                <w:color w:val="auto"/>
              </w:rPr>
            </w:pPr>
          </w:p>
        </w:tc>
        <w:tc>
          <w:tcPr>
            <w:tcW w:w="10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2"/>
              </w:rPr>
              <w:t>Year ended</w:t>
            </w:r>
          </w:p>
        </w:tc>
        <w:tc>
          <w:tcPr>
            <w:tcW w:w="40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1"/>
                <w:szCs w:val="11"/>
                <w:color w:val="auto"/>
              </w:rPr>
            </w:pPr>
          </w:p>
        </w:tc>
      </w:tr>
      <w:tr>
        <w:trPr>
          <w:trHeight w:val="149"/>
        </w:trPr>
        <w:tc>
          <w:tcPr>
            <w:tcW w:w="32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4.60%</w:t>
            </w:r>
            <w:r>
              <w:rPr>
                <w:rFonts w:ascii="Arial" w:cs="Arial" w:eastAsia="Arial" w:hAnsi="Arial"/>
                <w:sz w:val="11"/>
                <w:szCs w:val="11"/>
                <w:b w:val="1"/>
                <w:bCs w:val="1"/>
                <w:color w:val="auto"/>
              </w:rPr>
              <w:t>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4.60%</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5.60%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9"/>
              </w:rPr>
              <w:t>Rate of compensation increase (salaried)</w:t>
            </w:r>
          </w:p>
        </w:tc>
        <w:tc>
          <w:tcPr>
            <w:tcW w:w="1240" w:type="dxa"/>
            <w:vAlign w:val="bottom"/>
            <w:gridSpan w:val="2"/>
          </w:tcPr>
          <w:p>
            <w:pPr>
              <w:ind w:left="500"/>
              <w:spacing w:after="0"/>
              <w:rPr>
                <w:sz w:val="20"/>
                <w:szCs w:val="20"/>
                <w:color w:val="auto"/>
              </w:rPr>
            </w:pPr>
            <w:r>
              <w:rPr>
                <w:rFonts w:ascii="Arial" w:cs="Arial" w:eastAsia="Arial" w:hAnsi="Arial"/>
                <w:sz w:val="18"/>
                <w:szCs w:val="18"/>
                <w:b w:val="1"/>
                <w:bCs w:val="1"/>
                <w:color w:val="auto"/>
              </w:rPr>
              <w:t>4.00%</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4.00%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N/A</w:t>
            </w:r>
          </w:p>
        </w:tc>
        <w:tc>
          <w:tcPr>
            <w:tcW w:w="40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7.00%</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N/A</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28"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As a result of the second quarter 2012 hourly pension plan re-measurement, a discount rate of 4.60% was used from January 1, 2012 to June 30, 2012 and 4.10% was used from July 1, 2012 to December 31, 2012 for the hourly pension plan.</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20" w:type="dxa"/>
            <w:vAlign w:val="bottom"/>
            <w:gridSpan w:val="4"/>
          </w:tcPr>
          <w:p>
            <w:pPr>
              <w:ind w:left="300"/>
              <w:spacing w:after="0"/>
              <w:rPr>
                <w:sz w:val="20"/>
                <w:szCs w:val="20"/>
                <w:color w:val="auto"/>
              </w:rPr>
            </w:pPr>
            <w:r>
              <w:rPr>
                <w:rFonts w:ascii="Arial" w:cs="Arial" w:eastAsia="Arial" w:hAnsi="Arial"/>
                <w:sz w:val="14"/>
                <w:szCs w:val="14"/>
                <w:b w:val="1"/>
                <w:bCs w:val="1"/>
                <w:color w:val="auto"/>
              </w:rPr>
              <w:t>Pension Plans</w:t>
            </w: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Post-retirement Benefits</w:t>
            </w:r>
          </w:p>
        </w:tc>
      </w:tr>
      <w:tr>
        <w:trPr>
          <w:trHeight w:val="142"/>
        </w:trPr>
        <w:tc>
          <w:tcPr>
            <w:tcW w:w="6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As of December 31,</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6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3.90%</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4.10%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4.60%</w:t>
            </w:r>
          </w:p>
        </w:tc>
      </w:tr>
      <w:tr>
        <w:trPr>
          <w:trHeight w:val="228"/>
        </w:trPr>
        <w:tc>
          <w:tcPr>
            <w:tcW w:w="676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3.00%</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4.00%</w:t>
            </w: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N/A</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N/A</w:t>
            </w:r>
          </w:p>
        </w:tc>
      </w:tr>
    </w:tbl>
    <w:p>
      <w:pPr>
        <w:spacing w:after="0" w:line="14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2012.</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2012 obligations, future post-retirement medical care costs were forecasted assuming an initial annual increase of 6.72%, decreasing to 4.50% by the year 2027. Future post-retirement prescription drug costs were forecasted assuming an initial annual increase of 6.00%, decreasing to 4.50% by the year 2027.</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health care costs trends have a significant effect on the amounts reported, the following effects of an increase and decrease of one-percentage-point would have the following effects in the year ended December 31, 2012 (dollars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40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1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 Decrease</w:t>
            </w: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on total of service and interest cost</w:t>
            </w:r>
          </w:p>
        </w:tc>
        <w:tc>
          <w:tcPr>
            <w:tcW w:w="2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9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0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356"/>
        </w:trPr>
        <w:tc>
          <w:tcPr>
            <w:tcW w:w="3640" w:type="dxa"/>
            <w:vAlign w:val="bottom"/>
          </w:tcPr>
          <w:p>
            <w:pPr>
              <w:spacing w:after="0"/>
              <w:rPr>
                <w:sz w:val="24"/>
                <w:szCs w:val="24"/>
                <w:color w:val="auto"/>
              </w:rPr>
            </w:pPr>
          </w:p>
        </w:tc>
        <w:tc>
          <w:tcPr>
            <w:tcW w:w="2680" w:type="dxa"/>
            <w:vAlign w:val="bottom"/>
          </w:tcPr>
          <w:p>
            <w:pPr>
              <w:jc w:val="right"/>
              <w:ind w:right="1819"/>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 December 31, 2012, 2011 and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6"/>
              </w:rPr>
              <w:t>Post-retirement Benefits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1"/>
                <w:szCs w:val="11"/>
                <w:color w:val="auto"/>
              </w:rPr>
            </w:pPr>
          </w:p>
        </w:tc>
        <w:tc>
          <w:tcPr>
            <w:tcW w:w="108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Year ended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1"/>
                <w:szCs w:val="11"/>
                <w:color w:val="auto"/>
              </w:rPr>
            </w:pPr>
          </w:p>
        </w:tc>
        <w:tc>
          <w:tcPr>
            <w:tcW w:w="132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4"/>
              </w:rPr>
              <w:t>Year ended</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156.6</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Actuarial loss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end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83.4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280" w:type="dxa"/>
            <w:vAlign w:val="bottom"/>
            <w:vMerge w:val="continue"/>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continue"/>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(142.6)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the second quarter of 2012, the Company completed its negotiation with GM to determine the amount of pension assets to be transferred from the Company to GM as required by the Asset Purchase Agreement. The Company transferred $18.8 million of plan assets to GM to settle this obligation.</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fourth quarter of 2012, the Company and the International Union, United Automobile, Aerospace and Agricultural Implement Workers of America (“UAW”) Local 933 entered into a new five year collective bargaining agreement that expires in November 2017. The multi-tiered wage and benefit structure from the prior agreement was retained and the parties agreed to additional changes, such as implementing a new retirement health care plan and eliminating the consumer price index based cost of living allowance that had been part of the prior agreement. As a result, the Company recorded a $28.9 million favorable adjustment to the net benefit obligation.</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Company’s pension plan assets consist of money market funds, mutual funds, listed equities and publicly traded bonds. The Company’s valuation techniques used to fair value pension plan assets represents a market approach in active markets for identical assets that qualifies as Level 1 in the fair value hierarchy.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plan assets for the Company’s pension plans as of December 31, 2012 and 2011 are as follows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9"/>
              </w:rPr>
              <w:t>Quoted Prices in Active Markets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88"/>
              </w:rPr>
              <w:t>for Identical Assets (Level 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66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54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86"/>
              </w:rPr>
              <w:t>Fair Value</w:t>
            </w:r>
          </w:p>
        </w:tc>
        <w:tc>
          <w:tcPr>
            <w:tcW w:w="32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2"/>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52"/>
              <w:spacing w:after="0" w:line="203" w:lineRule="exact"/>
              <w:rPr>
                <w:sz w:val="20"/>
                <w:szCs w:val="20"/>
                <w:color w:val="auto"/>
              </w:rPr>
            </w:pPr>
            <w:r>
              <w:rPr>
                <w:rFonts w:ascii="Arial" w:cs="Arial" w:eastAsia="Arial" w:hAnsi="Arial"/>
                <w:sz w:val="18"/>
                <w:szCs w:val="18"/>
                <w:b w:val="1"/>
                <w:bCs w:val="1"/>
                <w:color w:val="auto"/>
              </w:rPr>
              <w:t>4%</w:t>
            </w: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54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18.6</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3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3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100</w:t>
            </w:r>
          </w:p>
        </w:tc>
        <w:tc>
          <w:tcPr>
            <w:tcW w:w="420" w:type="dxa"/>
            <w:vAlign w:val="bottom"/>
            <w:vMerge w:val="continue"/>
          </w:tcPr>
          <w:p>
            <w:pPr>
              <w:spacing w:after="0"/>
              <w:rPr>
                <w:sz w:val="19"/>
                <w:szCs w:val="19"/>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83.4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140" w:type="dxa"/>
            <w:vAlign w:val="bottom"/>
            <w:vMerge w:val="restart"/>
          </w:tcPr>
          <w:p>
            <w:pPr>
              <w:jc w:val="right"/>
              <w:ind w:right="1292"/>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3660" w:type="dxa"/>
            <w:vAlign w:val="bottom"/>
          </w:tcPr>
          <w:p>
            <w:pPr>
              <w:spacing w:after="0"/>
              <w:rPr>
                <w:sz w:val="14"/>
                <w:szCs w:val="14"/>
                <w:color w:val="auto"/>
              </w:rPr>
            </w:pPr>
          </w:p>
        </w:tc>
        <w:tc>
          <w:tcPr>
            <w:tcW w:w="3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6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2012, the Company’s investment committee has continued to evaluate the investments and take steps toward the established targets.</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2012 and 2011, on a pre-tax basis (dollars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Pension Plans</w:t>
            </w:r>
          </w:p>
        </w:tc>
        <w:tc>
          <w:tcPr>
            <w:tcW w:w="16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8"/>
              </w:rPr>
              <w:t>Post-retirement Benefits</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5"/>
          </w:tcPr>
          <w:p>
            <w:pPr>
              <w:jc w:val="right"/>
              <w:ind w:right="258"/>
              <w:spacing w:after="0" w:line="142" w:lineRule="exact"/>
              <w:rPr>
                <w:sz w:val="20"/>
                <w:szCs w:val="20"/>
                <w:color w:val="auto"/>
              </w:rPr>
            </w:pPr>
            <w:r>
              <w:rPr>
                <w:rFonts w:ascii="Arial" w:cs="Arial" w:eastAsia="Arial" w:hAnsi="Arial"/>
                <w:sz w:val="14"/>
                <w:szCs w:val="14"/>
                <w:b w:val="1"/>
                <w:bCs w:val="1"/>
                <w:color w:val="auto"/>
                <w:w w:val="92"/>
              </w:rPr>
              <w:t>As of December 31,</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Balance Sheet: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87"/>
              </w:rPr>
              <w:t>(141.4)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(155.7)</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 liability</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7"/>
              </w:rPr>
              <w:t>(13.9</w:t>
            </w:r>
          </w:p>
        </w:tc>
        <w:tc>
          <w:tcPr>
            <w:tcW w:w="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(16.3)</w:t>
            </w: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6"/>
              </w:rPr>
              <w:t>(142.6</w:t>
            </w:r>
          </w:p>
        </w:tc>
        <w:tc>
          <w:tcPr>
            <w:tcW w:w="220" w:type="dxa"/>
            <w:vAlign w:val="bottom"/>
            <w:vMerge w:val="continue"/>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(156.6)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Unrecognized prior service (cost) credit</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Unrecognized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7"/>
              </w:rPr>
              <w:t>(16.7</w:t>
            </w:r>
          </w:p>
        </w:tc>
        <w:tc>
          <w:tcPr>
            <w:tcW w:w="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2013 are as follows (dollars in millions):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Pension</w:t>
            </w:r>
          </w:p>
        </w:tc>
        <w:tc>
          <w:tcPr>
            <w:tcW w:w="14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Plans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 credit</w:t>
            </w:r>
          </w:p>
        </w:tc>
        <w:tc>
          <w:tcPr>
            <w:tcW w:w="2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0"/>
              </w:rPr>
              <w:t>(0.1)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Actuarial loss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accumulated benefit obligation for the Company’s pension plans as of December 31, 2012 and 2011 was $100.0 million and $96.1 million, respectively.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2012 and 2011,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2012</w:t>
            </w:r>
          </w:p>
        </w:tc>
        <w:tc>
          <w:tcPr>
            <w:tcW w:w="960" w:type="dxa"/>
            <w:vAlign w:val="bottom"/>
            <w:tcBorders>
              <w:top w:val="single" w:sz="8" w:color="auto"/>
            </w:tcBorders>
            <w:gridSpan w:val="2"/>
          </w:tcPr>
          <w:p>
            <w:pPr>
              <w:jc w:val="center"/>
              <w:ind w:left="41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103.3</w:t>
            </w:r>
          </w:p>
        </w:tc>
        <w:tc>
          <w:tcPr>
            <w:tcW w:w="960" w:type="dxa"/>
            <w:vAlign w:val="bottom"/>
            <w:gridSpan w:val="2"/>
          </w:tcPr>
          <w:p>
            <w:pPr>
              <w:jc w:val="center"/>
              <w:ind w:left="416"/>
              <w:spacing w:after="0"/>
              <w:rPr>
                <w:sz w:val="20"/>
                <w:szCs w:val="20"/>
                <w:color w:val="auto"/>
              </w:rPr>
            </w:pPr>
            <w:r>
              <w:rPr>
                <w:rFonts w:ascii="Arial" w:cs="Arial" w:eastAsia="Arial" w:hAnsi="Arial"/>
                <w:sz w:val="18"/>
                <w:szCs w:val="18"/>
                <w:color w:val="auto"/>
                <w:w w:val="91"/>
              </w:rPr>
              <w:t>$ 99.7</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w:t>
            </w:r>
          </w:p>
        </w:tc>
        <w:tc>
          <w:tcPr>
            <w:tcW w:w="9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1"/>
              </w:rPr>
              <w:t>$ 83.4</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100.0</w:t>
            </w:r>
          </w:p>
        </w:tc>
        <w:tc>
          <w:tcPr>
            <w:tcW w:w="9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1"/>
              </w:rPr>
              <w:t>$ 96.1</w:t>
            </w:r>
          </w:p>
        </w:tc>
        <w:tc>
          <w:tcPr>
            <w:tcW w:w="100" w:type="dxa"/>
            <w:vAlign w:val="bottom"/>
            <w:shd w:val="clear" w:color="auto" w:fill="CCEEFF"/>
          </w:tcPr>
          <w:p>
            <w:pPr>
              <w:spacing w:after="0"/>
              <w:rPr>
                <w:sz w:val="18"/>
                <w:szCs w:val="18"/>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960" w:type="dxa"/>
            <w:vAlign w:val="bottom"/>
            <w:gridSpan w:val="2"/>
          </w:tcPr>
          <w:p>
            <w:pPr>
              <w:jc w:val="center"/>
              <w:ind w:left="416"/>
              <w:spacing w:after="0"/>
              <w:rPr>
                <w:sz w:val="20"/>
                <w:szCs w:val="20"/>
                <w:color w:val="auto"/>
              </w:rPr>
            </w:pPr>
            <w:r>
              <w:rPr>
                <w:rFonts w:ascii="Arial" w:cs="Arial" w:eastAsia="Arial" w:hAnsi="Arial"/>
                <w:sz w:val="18"/>
                <w:szCs w:val="18"/>
                <w:color w:val="auto"/>
                <w:w w:val="91"/>
              </w:rPr>
              <w:t>$ 83.4</w:t>
            </w:r>
          </w:p>
        </w:tc>
        <w:tc>
          <w:tcPr>
            <w:tcW w:w="100" w:type="dxa"/>
            <w:vAlign w:val="bottom"/>
          </w:tcPr>
          <w:p>
            <w:pPr>
              <w:spacing w:after="0"/>
              <w:rPr>
                <w:sz w:val="19"/>
                <w:szCs w:val="19"/>
                <w:color w:val="auto"/>
              </w:rPr>
            </w:pPr>
          </w:p>
        </w:tc>
      </w:tr>
      <w:tr>
        <w:trPr>
          <w:trHeight w:val="350"/>
        </w:trPr>
        <w:tc>
          <w:tcPr>
            <w:tcW w:w="5880" w:type="dxa"/>
            <w:vAlign w:val="bottom"/>
          </w:tcPr>
          <w:p>
            <w:pPr>
              <w:ind w:left="4240"/>
              <w:spacing w:after="0"/>
              <w:rPr>
                <w:sz w:val="20"/>
                <w:szCs w:val="20"/>
                <w:color w:val="auto"/>
              </w:rPr>
            </w:pPr>
            <w:r>
              <w:rPr>
                <w:rFonts w:ascii="Arial" w:cs="Arial" w:eastAsia="Arial" w:hAnsi="Arial"/>
                <w:sz w:val="18"/>
                <w:szCs w:val="18"/>
                <w:color w:val="auto"/>
              </w:rPr>
              <w:t>79</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660" w:type="dxa"/>
            <w:vAlign w:val="bottom"/>
            <w:gridSpan w:val="3"/>
          </w:tcPr>
          <w:p>
            <w:pPr>
              <w:ind w:left="2200"/>
              <w:spacing w:after="0"/>
              <w:rPr>
                <w:sz w:val="20"/>
                <w:szCs w:val="20"/>
                <w:color w:val="auto"/>
              </w:rPr>
            </w:pPr>
            <w:r>
              <w:rPr>
                <w:rFonts w:ascii="Arial" w:cs="Arial" w:eastAsia="Arial" w:hAnsi="Arial"/>
                <w:sz w:val="14"/>
                <w:szCs w:val="14"/>
                <w:b w:val="1"/>
                <w:bCs w:val="1"/>
                <w:color w:val="auto"/>
                <w:w w:val="80"/>
              </w:rPr>
              <w:t>Pension</w:t>
            </w:r>
          </w:p>
        </w:tc>
        <w:tc>
          <w:tcPr>
            <w:tcW w:w="1840" w:type="dxa"/>
            <w:vAlign w:val="bottom"/>
            <w:gridSpan w:val="4"/>
          </w:tcPr>
          <w:p>
            <w:pPr>
              <w:ind w:left="840"/>
              <w:spacing w:after="0"/>
              <w:rPr>
                <w:sz w:val="20"/>
                <w:szCs w:val="20"/>
                <w:color w:val="auto"/>
              </w:rPr>
            </w:pPr>
            <w:r>
              <w:rPr>
                <w:rFonts w:ascii="Arial" w:cs="Arial" w:eastAsia="Arial" w:hAnsi="Arial"/>
                <w:sz w:val="14"/>
                <w:szCs w:val="14"/>
                <w:b w:val="1"/>
                <w:bCs w:val="1"/>
                <w:color w:val="auto"/>
                <w:w w:val="94"/>
              </w:rPr>
              <w:t>Post-retirement</w:t>
            </w:r>
          </w:p>
        </w:tc>
      </w:t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Plans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Employer Contributions:</w:t>
            </w:r>
          </w:p>
        </w:tc>
        <w:tc>
          <w:tcPr>
            <w:tcW w:w="2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2013 expected contributions</w:t>
            </w:r>
          </w:p>
        </w:tc>
        <w:tc>
          <w:tcPr>
            <w:tcW w:w="2320" w:type="dxa"/>
            <w:vAlign w:val="bottom"/>
            <w:gridSpan w:val="2"/>
          </w:tcPr>
          <w:p>
            <w:pPr>
              <w:ind w:left="22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2013</w:t>
            </w:r>
          </w:p>
        </w:tc>
        <w:tc>
          <w:tcPr>
            <w:tcW w:w="2320" w:type="dxa"/>
            <w:vAlign w:val="bottom"/>
            <w:gridSpan w:val="2"/>
          </w:tcPr>
          <w:p>
            <w:pPr>
              <w:ind w:left="22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2015</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2017</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2018-2022</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34.8</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$0.1 million to the Consolidated Statements of Comprehensive Income (Loss) for the year ended December 31, 2012, and the fair value of the rabbi trust plan assets and deferred compensation obligation was $0.2 million as of December 31, 2012. In December 2012, the Company established a non-qualified deferred compensation plan for non-employee directors that becomes effective in May 2013.</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2012, the Company’s Board of Directors adopted and the Company’s stockholders approved the Allison Transmission Holdings, Inc. 2011 Equity Incentive Award Plan (“2011 Plan”), which became effective as of the day prior to the consummation of the Company’s IPO. Under the 2011 Plan, certain employees (including executive officers), consultants and directors are eligible to receive equity-based compensation, including non-qualified stock options, incentive stock options, restricted stock, dividend equivalents, stock payments, restricted stock units (“RSU”), performance awards, stock appreciation rights and other equity-based awards, or any combination thereof. The 2011 Plan limits the aggregate number of shares of common stock available for issue to 15.3 million and will expire on, and no option or other equity award may be granted pursuant to the 2011 Plan after, the tenth anniversary of the date the 2011 Plan was approved by the Board of Directors.</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Prior to the adoption of the 2011 Plan, the Company’s equity-based awards were granted under the Equity Incentive Plan of Allison Transmission Holdings, Inc. (“Prior Plan”). As of the effective date of the 2011 Plan, no new awards will be granted under the Prior Plan, but the Prior Plan will continue to govern the equity awards issued under the Prior Plan.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RSUs were issued in 2012 under the 2011 Plan to certain employees at fair market value at the date of grant. These awards entitle the holder to receive one common share for each RSU upon vesting, which generally occurs over two years. A summary of RSU activity as of December 31, 2012 and changes during the period then ended is presented below:</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40" w:type="dxa"/>
            <w:vAlign w:val="bottom"/>
            <w:gridSpan w:val="4"/>
          </w:tcPr>
          <w:p>
            <w:pPr>
              <w:ind w:left="86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217"/>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6"/>
              </w:rPr>
              <w:t>Non-vested Shares:</w:t>
            </w:r>
          </w:p>
        </w:tc>
        <w:tc>
          <w:tcPr>
            <w:tcW w:w="31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RSUs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23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Non-vested as of December 31, 2011</w:t>
            </w:r>
          </w:p>
        </w:tc>
        <w:tc>
          <w:tcPr>
            <w:tcW w:w="1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center"/>
              <w:ind w:left="498"/>
              <w:spacing w:after="0" w:line="203"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458"/>
              <w:spacing w:after="0"/>
              <w:rPr>
                <w:sz w:val="20"/>
                <w:szCs w:val="20"/>
                <w:color w:val="auto"/>
              </w:rPr>
            </w:pPr>
            <w:r>
              <w:rPr>
                <w:rFonts w:ascii="Arial" w:cs="Arial" w:eastAsia="Arial" w:hAnsi="Arial"/>
                <w:sz w:val="18"/>
                <w:szCs w:val="18"/>
                <w:color w:val="auto"/>
                <w:w w:val="88"/>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left="398"/>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2012</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88"/>
              </w:rPr>
              <w:t>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2012, 2011 and 2010, there was $18.5 million, $0.0 million and $0.0 million, respectively, of unrecognized compensation cost related to non-vested RSU compensation arrangements granted under the 2011 Plan and Prior Plan. This cost is expected to be recognized, on a straight line basis, over a period of approximately two years. RSU incentive compensation expense recorded was $0.9 million, $0.0 million and $0.0 million for the years ended December 31, 2012, 2011 and 2010,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 options granted after the completion of the Acquisition Transaction, and under the Prior Plan, have a per share exercise price based on the fair market value of the Company at the date of grant and expire 10 years after the grant dates. The options will vest upon the continued performance of services by the option holder over time, with either 20% or 33% of the award vesting on each anniversary of the grant date over three to five years. Consultant and director options vest in full within one year from grant date. Upon termination of employment for reasons other than cause, retirement at or after the age of 65, death or disability, the options shall cease to be exercisable ninety days following the date of the optionees’ termination of service. Upon termination of employment for cause, the options shall not be exercisable on the date of such termination. Upon termination of employment for retirement after the age of 65, the options shall cease to be exercisable three years following such date. Upon termination of employment for death or disability, the options shall cease to be exercisable twelve months following such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accordance with the FASB’s authoritative accounting guidance on stock compensation, each option grant is to be recorded at fair value. For the year ended December 31, 2012, the Company did not grant any stock options. When options are granted, the Company used a Black-Scholes option pricing model to calculate the fair value of each option award using the assumptions noted in the following table: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64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N/A</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forfeitures</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0.6% – 1.7%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 – 1.7%</w:t>
            </w: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Expected volatility is based on “the average volatilities of otherwise similar public entities” as defined by authoritative accounting guidance. The Company currently pays a $0.06 dividend per quarter. The expected term is derived from the average of the weighted vesting life and the contractual term. The risk-free rate for periods within the contractual life of the option is based on the U.S. Treasury yield curve in effect at the time of grant. The Company has assumed no forfeitures primarily because of a history of retaining senior executives.</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459" w:right="2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as of December 31, 2012, 2011 and 2010, and changes during the period then ended is presented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69"/>
        </w:trPr>
        <w:tc>
          <w:tcPr>
            <w:tcW w:w="5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8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Options</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(in millions)</w:t>
            </w:r>
          </w:p>
        </w:tc>
        <w:tc>
          <w:tcPr>
            <w:tcW w:w="14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Contractual Term</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7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Exercisable as of December 31, 2009</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13.31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6.80 years</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13.69</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10.78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Outstanding as of December 31, 2010</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13.42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 years</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2010</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13.38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 years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8.44</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Forfeited or expired</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2011</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13.40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 years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Exercisable as of December 31, 2011</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13.37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4.88 years</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Outstanding as of December 31, 2012</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14.01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4.93 years</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2012</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14.02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 years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weighted-average grant-date fair value of options granted during the years ended December 31, 2011 and 2010 was $5.43 and $4.72, respectively. No stock options were granted during the year ended December 31, 2012. The total fair value of shares vested during the years ended December 31, 2012, 2011 and 2010 was $7.5 million, $8.1 million and $7.6 million, respectively. The total intrinsic value of stock options exercised during the year ended December 31, 2012 was $24.6 million. The aggregate intrinsic value of shares outstanding and exercisable as of December 31, 2012 was $77.5 million and $76.7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Company’s non-vested stock options as of December 31, 2012, 2011 and 2010, and changes during the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is presented below:</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217"/>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Non-vested Stock Options:</w:t>
            </w:r>
          </w:p>
        </w:tc>
        <w:tc>
          <w:tcPr>
            <w:tcW w:w="250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294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2009</w:t>
            </w:r>
          </w:p>
        </w:tc>
        <w:tc>
          <w:tcPr>
            <w:tcW w:w="1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center"/>
              <w:ind w:left="535"/>
              <w:spacing w:after="0" w:line="203" w:lineRule="exact"/>
              <w:rPr>
                <w:sz w:val="20"/>
                <w:szCs w:val="20"/>
                <w:color w:val="auto"/>
              </w:rPr>
            </w:pPr>
            <w:r>
              <w:rPr>
                <w:rFonts w:ascii="Arial" w:cs="Arial" w:eastAsia="Arial" w:hAnsi="Arial"/>
                <w:sz w:val="18"/>
                <w:szCs w:val="18"/>
                <w:color w:val="auto"/>
                <w:w w:val="91"/>
              </w:rPr>
              <w:t>2.59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535"/>
              <w:spacing w:after="0"/>
              <w:rPr>
                <w:sz w:val="20"/>
                <w:szCs w:val="20"/>
                <w:color w:val="auto"/>
              </w:rPr>
            </w:pPr>
            <w:r>
              <w:rPr>
                <w:rFonts w:ascii="Arial" w:cs="Arial" w:eastAsia="Arial" w:hAnsi="Arial"/>
                <w:sz w:val="18"/>
                <w:szCs w:val="18"/>
                <w:color w:val="auto"/>
                <w:w w:val="91"/>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294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535"/>
              <w:spacing w:after="0"/>
              <w:rPr>
                <w:sz w:val="20"/>
                <w:szCs w:val="20"/>
                <w:color w:val="auto"/>
              </w:rPr>
            </w:pPr>
            <w:r>
              <w:rPr>
                <w:rFonts w:ascii="Arial" w:cs="Arial" w:eastAsia="Arial" w:hAnsi="Arial"/>
                <w:sz w:val="18"/>
                <w:szCs w:val="18"/>
                <w:color w:val="auto"/>
                <w:w w:val="91"/>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535"/>
              <w:spacing w:after="0"/>
              <w:rPr>
                <w:sz w:val="20"/>
                <w:szCs w:val="20"/>
                <w:color w:val="auto"/>
              </w:rPr>
            </w:pPr>
            <w:r>
              <w:rPr>
                <w:rFonts w:ascii="Arial" w:cs="Arial" w:eastAsia="Arial" w:hAnsi="Arial"/>
                <w:sz w:val="18"/>
                <w:szCs w:val="18"/>
                <w:color w:val="auto"/>
                <w:w w:val="91"/>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left="395"/>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17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left="395"/>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2940" w:type="dxa"/>
            <w:vAlign w:val="bottom"/>
            <w:gridSpan w:val="3"/>
          </w:tcPr>
          <w:p>
            <w:pPr>
              <w:jc w:val="right"/>
              <w:ind w:right="44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535"/>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2012, 2011 and 2010, there was $0.5 million, $9.5 million and $16.7 million, respectively, of unrecognized compensation cost related to non-vested stock option compensation arrangements granted under the Prior Plan. No stock options have been granted under the 2011 Plan. This cost is expected to be recognized, on a straight line basis, over a period of approximately two years. Stock option incentive compensation expense recorded was $5.5 million, $8.0 million and $8.5 million for the years ended December 31, 2012, 2011 and 2010, respectively.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In assessing the realizability of deferred tax assets, management considers whether it is more likely than not that all or some portion of the deferred tax assets will not be realized. This assessment considers, among other matters, the nature, frequency and severity of recent losses, forecasts of future profitability, the duration of statutory carryforward periods, experience with tax attributes expiring unused, and tax planning alternatives. The ultimate realization of deferred tax assets is dependent upon the generation of future taxable income during the periods in which those temporary differences become deductible. Because the timing of the reversal of the amortizable goodwill and trade name intangible are indefinite, these deferred tax liabilities are not considered in evaluating the reversal of the temporary differences. The weight given to these considerations depends upon the degree to which they can be objectively verified.</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Management has determined, based on the evaluation of both objective and subjective evidence available, that the domestic valuation allowance is no longer necessary and that it is more likely than not that the deferred tax assets are fully realizable. The Company has reached a sustained period of profitability and believes its objectively measured positive evidence outweighs the negative evidence. Accordingly, the Company has recognized an income tax benefit as a result of the release of the valuation allowance which had previously been recorded against the deferred tax assets. The Company continues to provide for a valuation allowance on certain of its foreign deferred tax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46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0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$204.1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$133.8</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Foreign income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16.8</w:t>
            </w: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216.2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 (benefit) expense was estimated as follows (dollars in millions):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current income taxes:</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U.S. federal</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   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 —</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U.S. state and local</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income tax expense (credit),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(282.5)</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Foreign</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0.1</w:t>
            </w:r>
          </w:p>
        </w:tc>
        <w:tc>
          <w:tcPr>
            <w:tcW w:w="1120" w:type="dxa"/>
            <w:vAlign w:val="bottom"/>
            <w:gridSpan w:val="4"/>
          </w:tcPr>
          <w:p>
            <w:pPr>
              <w:jc w:val="right"/>
              <w:ind w:right="40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state and local</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Total Deferred</w:t>
            </w:r>
          </w:p>
        </w:tc>
        <w:tc>
          <w:tcPr>
            <w:tcW w:w="56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(303.8)</w:t>
            </w:r>
          </w:p>
        </w:tc>
        <w:tc>
          <w:tcPr>
            <w:tcW w:w="200" w:type="dxa"/>
            <w:vAlign w:val="bottom"/>
            <w:vMerge w:val="continue"/>
          </w:tcPr>
          <w:p>
            <w:pPr>
              <w:spacing w:after="0"/>
              <w:rPr>
                <w:sz w:val="19"/>
                <w:szCs w:val="19"/>
                <w:color w:val="auto"/>
              </w:rPr>
            </w:pPr>
          </w:p>
        </w:tc>
        <w:tc>
          <w:tcPr>
            <w:tcW w:w="260" w:type="dxa"/>
            <w:vAlign w:val="bottom"/>
            <w:gridSpan w:val="2"/>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39.8</w:t>
            </w:r>
          </w:p>
        </w:tc>
        <w:tc>
          <w:tcPr>
            <w:tcW w:w="4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(298.0)</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Cash paid for income taxes for the years ended December 31, 2012, 2011 and 2010 was $10.7 million, $5.8 million and $2.2 million, respectively. 83</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provision for income tax expense compared with the amounts at the U.S. federal statutory rate is as follows (dollars in millions):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2011</w:t>
            </w:r>
          </w:p>
        </w:tc>
        <w:tc>
          <w:tcPr>
            <w:tcW w:w="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at U.S. statutory income tax rate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52.9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$29.2</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Valuation allowance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(384.1)</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Adjustment to deferred tax expense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Branch income taxes-not creditable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adjustments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7"/>
        </w:trPr>
        <w:tc>
          <w:tcPr>
            <w:tcW w:w="48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income tax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(298.0)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47.6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53.7</w:t>
            </w:r>
          </w:p>
        </w:tc>
      </w:tr>
      <w:tr>
        <w:trPr>
          <w:trHeight w:val="20"/>
        </w:trPr>
        <w:tc>
          <w:tcPr>
            <w:tcW w:w="4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income tax assets and liabilities for 2012 and 2011 reflect the effect of temporary differences between amounts of assets, liabilities and equity for financial reporting purposes and the bases of such assets, liabilities and equity as measured by tax laws, as well as tax loss and tax credit carryforwards. The Company has not recognized any deferred tax liabilities associated with investments and earnings in foreign subsidiaries as they are intended to be permanent in duration. Such amounts may become taxable upon an actual or deemed repatriation in the future. As minimal cash in maintained outside the U.S., management believes that estimating an unrecognized deferred tax liability is unnecessary at this time.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540" w:type="dxa"/>
            <w:vAlign w:val="bottom"/>
            <w:gridSpan w:val="4"/>
          </w:tcPr>
          <w:p>
            <w:pPr>
              <w:jc w:val="center"/>
              <w:ind w:left="175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44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 accrual</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Sales allowances and rebates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Post-retirement health care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Unrealized loss on interest rate derivatives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Trade name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 carryforwards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Technology-related investments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Loan fees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(261.1)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(29.3)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Product warranty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(329.9)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2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gridSpan w:val="2"/>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00" w:type="dxa"/>
            <w:vAlign w:val="bottom"/>
            <w:vMerge w:val="restart"/>
          </w:tcPr>
          <w:p>
            <w:pPr>
              <w:jc w:val="right"/>
              <w:ind w:right="1639"/>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deferred tax balances are included in the Consolidated Balance Sheets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4420" w:type="dxa"/>
            <w:vAlign w:val="bottom"/>
          </w:tcPr>
          <w:p>
            <w:pPr>
              <w:spacing w:after="0"/>
              <w:rPr>
                <w:sz w:val="12"/>
                <w:szCs w:val="12"/>
                <w:color w:val="auto"/>
              </w:rPr>
            </w:pPr>
          </w:p>
        </w:tc>
        <w:tc>
          <w:tcPr>
            <w:tcW w:w="2960" w:type="dxa"/>
            <w:vAlign w:val="bottom"/>
            <w:gridSpan w:val="4"/>
          </w:tcPr>
          <w:p>
            <w:pPr>
              <w:jc w:val="center"/>
              <w:ind w:left="118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4"/>
          </w:tcPr>
          <w:p>
            <w:pPr>
              <w:jc w:val="center"/>
              <w:ind w:left="202"/>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4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deferred tax assets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liabilities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(214.2)</w:t>
            </w:r>
          </w:p>
        </w:tc>
      </w:tr>
      <w:tr>
        <w:trPr>
          <w:trHeight w:val="27"/>
        </w:trPr>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 (liability)</w:t>
            </w:r>
          </w:p>
        </w:tc>
        <w:tc>
          <w:tcPr>
            <w:tcW w:w="18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r>
      <w:tr>
        <w:trPr>
          <w:trHeight w:val="20"/>
        </w:trPr>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Of the estimated net operating loss carryforwards as of December 31, 2012, approximately 87% relates to U.S. federal net operating loss carryforwards and approximately 6% relates to the U.S. state net operating loss carryforwards. Substantially all U.S. Federal and State operating loss carryforwards will not expire until 2027-2031. Should either of our Sponsors sell a significant portion of their holdings, the Company may experience a delay in its ability to recognize net operating losses under Internal Revenue Code 382.</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has determined, based on the evaluation of both objective and subjective evidence available, that the domestic valuation allowance is no longer necessary and that it is more likely than not that the deferred tax assets are fully realizable. Accordingly, the Company has recognized an income tax benefit as a result of the release of the valuation allowance which had previously been recorded against the deferred tax assets. The Company continues to provide for a valuation allowance on certain of its foreign deferred tax assets. The change in the valuation allowance and related considerations are as follows (dollars in millions):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366.5</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401.9</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390.9</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(390.6)</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December 31, 2012</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for the years ended December 31, 2012, 2011 and 2010. The accounting guidance prescribes a recognition threshold and measurement attributes for the financial statement recognition and measurement of a tax position taken or expected to be taken in a tax return. All of the returns (when filed) will remain subject to examination by the various taxing authorities for the duration of the applicable statute of limitations (generally three years from the earlier of the date of filing or the due date of the return).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years ended December 31, 2012, 2011 and 2010, the Company recognized no interest and penalties in the Consolidated Statements of Comprehensive Income (Loss) because no uncertain tax positions were identified. The Company follows a policy of recording any interest or penalties in Income tax expense.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December 2011, the Treasury Department and the Internal Revenue Service issued temporary and proposed regulations that provide guidance with respect to the treatment of materials and supplies and other tangible personal property. These temporary Regulations were generally effective for taxable years beginning on or after January 1, 2012. In December 2012, these temporary regulations were amended, extending the applicability date of the Temporary Regulations to taxable years beginning on or after January 1, 2014. As of December 31, 2012, the Company is in the process of completing an assessment of the impact to the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COMPREHENSIVE INCOME (LOSS)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comprehensive income (loss) consists of unrealized net gains and losses on the translation of the assets and liabilities of its foreign operations, available-for-sale securities, and pension and OPEB liability adjustments. The following table reconciles net income to comprehensive income (loss) with the related tax effects (dollars in millions):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Benefit</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Pension and OPEB liability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40"/>
              <w:spacing w:after="0"/>
              <w:rPr>
                <w:sz w:val="20"/>
                <w:szCs w:val="20"/>
                <w:color w:val="auto"/>
              </w:rPr>
            </w:pPr>
            <w:r>
              <w:rPr>
                <w:rFonts w:ascii="Arial" w:cs="Arial" w:eastAsia="Arial" w:hAnsi="Arial"/>
                <w:sz w:val="18"/>
                <w:szCs w:val="18"/>
                <w:color w:val="auto"/>
              </w:rPr>
              <w:t>Total comprehensive loss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150.6</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Pension and OPEB liability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119.6</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216.2</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298.0</w:t>
            </w:r>
          </w:p>
        </w:tc>
        <w:tc>
          <w:tcPr>
            <w:tcW w:w="3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514.2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Pension and OPEB liability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3"/>
        </w:trPr>
        <w:tc>
          <w:tcPr>
            <w:tcW w:w="828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240.2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r>
              <w:rPr>
                <w:rFonts w:ascii="Arial" w:cs="Arial" w:eastAsia="Arial" w:hAnsi="Arial"/>
                <w:sz w:val="18"/>
                <w:szCs w:val="18"/>
                <w:b w:val="1"/>
                <w:bCs w:val="1"/>
                <w:u w:val="single" w:color="auto"/>
                <w:color w:val="auto"/>
              </w:rPr>
              <w:t>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leases certain facilities under various operating leases. Rent expense under the non-cancelable operating leases was $5.5 million, $6.6 million, and $8.2 million for the years ended December 31, 2012, 2011 and 2010, respectively. Certain leases contain renewal options.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December 31, 2012, future payments under non-cancelable operating leases with a remaining term greater than one year are as follows over each of the next five years and thereafter (dollars in millions):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2014</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2016</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CONCENTRATION OF RISK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and 2011, the Company employed approximately 2,800 employees with 90% of those employees in the U.S. Approximately 60% of the Company’s U.S. employees were represented by unions and subject to a collective bargaining agreement as of December 31, 2012 and 2011. In addition, many of the hourly employees outside the U.S. are represented by various unions. The Company is currently operating under a collective bargaining agreement with the UAW Local 933 that expires in November 2017.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net sales within the last three years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Net sales</w:t>
            </w: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Daimler AG</w:t>
            </w:r>
          </w:p>
        </w:tc>
        <w:tc>
          <w:tcPr>
            <w:tcW w:w="9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13%</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Navistar, Inc.</w:t>
            </w:r>
          </w:p>
        </w:tc>
        <w:tc>
          <w:tcPr>
            <w:tcW w:w="94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Oshkosh Corporation</w:t>
            </w:r>
          </w:p>
        </w:tc>
        <w:tc>
          <w:tcPr>
            <w:tcW w:w="9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other customers accounted for more than 10% of net sales of the Company during the years ended December 31, 2012, 2011 and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 customers accounted for greater than 10% of outstanding Accounts receivable within the last two years presented.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00" w:type="dxa"/>
            <w:vAlign w:val="bottom"/>
          </w:tcPr>
          <w:p>
            <w:pPr>
              <w:spacing w:after="0"/>
              <w:rPr>
                <w:sz w:val="12"/>
                <w:szCs w:val="12"/>
                <w:color w:val="auto"/>
              </w:rPr>
            </w:pPr>
          </w:p>
        </w:tc>
        <w:tc>
          <w:tcPr>
            <w:tcW w:w="3620" w:type="dxa"/>
            <w:vAlign w:val="bottom"/>
            <w:gridSpan w:val="3"/>
          </w:tcPr>
          <w:p>
            <w:pPr>
              <w:jc w:val="center"/>
              <w:ind w:left="152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6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of Accounts receivable</w:t>
            </w:r>
          </w:p>
        </w:tc>
        <w:tc>
          <w:tcPr>
            <w:tcW w:w="2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Navistar, Inc.</w:t>
            </w:r>
          </w:p>
        </w:tc>
        <w:tc>
          <w:tcPr>
            <w:tcW w:w="2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8"/>
        </w:trPr>
        <w:tc>
          <w:tcPr>
            <w:tcW w:w="3600" w:type="dxa"/>
            <w:vAlign w:val="bottom"/>
          </w:tcPr>
          <w:p>
            <w:pPr>
              <w:spacing w:after="0"/>
              <w:rPr>
                <w:sz w:val="20"/>
                <w:szCs w:val="20"/>
                <w:color w:val="auto"/>
              </w:rPr>
            </w:pPr>
            <w:r>
              <w:rPr>
                <w:rFonts w:ascii="Arial" w:cs="Arial" w:eastAsia="Arial" w:hAnsi="Arial"/>
                <w:sz w:val="18"/>
                <w:szCs w:val="18"/>
                <w:color w:val="auto"/>
              </w:rPr>
              <w:t>Daimler AG</w:t>
            </w:r>
          </w:p>
        </w:tc>
        <w:tc>
          <w:tcPr>
            <w:tcW w:w="36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other customers accounted for more than 10% of the outstanding Accounts receivable as of December 31, 2012 or December 31,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supplier accounted for greater than 10% of materials purchased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material purchased</w:t>
            </w: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Linamar Corporation Inc.</w:t>
            </w:r>
          </w:p>
        </w:tc>
        <w:tc>
          <w:tcPr>
            <w:tcW w:w="9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13%</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supplier accounted for more than 10% of material purchases during the years ended December 31, 2012, 2011 and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CERTAIN RELATIONSHIPS AND RELATED PARTY TRANSACTIONS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For the years ended December 31, 2012, 2011 and 2010, the Sponsors did not provide any additional services beyond the customary services. In March 2012, the Company and the Sponsors agreed to terminate the services agreement. The Company agreed to make a one-time termination payment of $16.0 million, representing the present value of payments over the estimated term of the services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December 31, 2012,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For the year ended December 31, 2010, outstanding stock options were not included in the diluted EPS computation because they were anti-dilutive.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4"/>
          </w:tcPr>
          <w:p>
            <w:pPr>
              <w:jc w:val="center"/>
              <w:ind w:left="112"/>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514.2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182.0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4"/>
              </w:rPr>
              <w:t>181.4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0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 outstanding</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186.2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183.3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w:t>
            </w:r>
          </w:p>
        </w:tc>
        <w:tc>
          <w:tcPr>
            <w:tcW w:w="440" w:type="dxa"/>
            <w:vAlign w:val="bottom"/>
            <w:gridSpan w:val="4"/>
            <w:shd w:val="clear" w:color="auto" w:fill="CCEEFF"/>
          </w:tcPr>
          <w:p>
            <w:pPr>
              <w:jc w:val="center"/>
              <w:ind w:left="234"/>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 stockholders</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18"/>
                <w:szCs w:val="18"/>
                <w:color w:val="auto"/>
              </w:rPr>
            </w:pPr>
          </w:p>
        </w:tc>
        <w:tc>
          <w:tcPr>
            <w:tcW w:w="440" w:type="dxa"/>
            <w:vAlign w:val="bottom"/>
            <w:gridSpan w:val="4"/>
          </w:tcPr>
          <w:p>
            <w:pPr>
              <w:jc w:val="center"/>
              <w:ind w:left="234"/>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20. GEOGRAPHIC INFORMATION</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The Company had the following Net sales by country as follows (dollars in millions):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4"/>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$1,509.6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$1,532.7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$1,411.0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China</w:t>
            </w: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136.4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United Kingdom</w:t>
            </w: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74.1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Germany</w:t>
            </w: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39.1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2,141.8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2,162.8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 had net long-lived assets by country as follows (dollars in millions):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4"/>
          </w:tcPr>
          <w:p>
            <w:pPr>
              <w:jc w:val="center"/>
              <w:ind w:left="92"/>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$493.6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$492.5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India</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Netherlands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vMerge w:val="restart"/>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gridSpan w:val="4"/>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596.2</w:t>
            </w: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581.8</w:t>
            </w:r>
          </w:p>
        </w:tc>
        <w:tc>
          <w:tcPr>
            <w:tcW w:w="30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FINANCIAL INFORMATION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88"/>
              </w:rPr>
              <w:t>Quarter ended,</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June 30</w:t>
            </w:r>
          </w:p>
        </w:tc>
        <w:tc>
          <w:tcPr>
            <w:tcW w:w="50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December 31</w:t>
            </w:r>
          </w:p>
        </w:tc>
        <w:tc>
          <w:tcPr>
            <w:tcW w:w="100" w:type="dxa"/>
            <w:vAlign w:val="bottom"/>
          </w:tcPr>
          <w:p>
            <w:pPr>
              <w:spacing w:after="0"/>
              <w:rPr>
                <w:sz w:val="12"/>
                <w:szCs w:val="12"/>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2012</w:t>
            </w:r>
          </w:p>
        </w:tc>
        <w:tc>
          <w:tcPr>
            <w:tcW w:w="1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ind w:left="188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601.9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559.4</w:t>
            </w:r>
          </w:p>
        </w:tc>
        <w:tc>
          <w:tcPr>
            <w:tcW w:w="6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493.5</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487.0</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283.8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251.9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224.4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154.7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91.8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49.2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412.8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32.2</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0" w:type="dxa"/>
            <w:vAlign w:val="bottom"/>
            <w:gridSpan w:val="2"/>
            <w:shd w:val="clear" w:color="auto" w:fill="CCEEFF"/>
          </w:tcPr>
          <w:p>
            <w:pPr>
              <w:ind w:left="188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0" w:type="dxa"/>
            <w:vAlign w:val="bottom"/>
            <w:gridSpan w:val="2"/>
          </w:tcPr>
          <w:p>
            <w:pPr>
              <w:ind w:left="188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6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0.17</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2011</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ind w:left="18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517.0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555.7</w:t>
            </w:r>
          </w:p>
        </w:tc>
        <w:tc>
          <w:tcPr>
            <w:tcW w:w="6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574.0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(17.2)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0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(0.09)</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0" w:type="dxa"/>
            <w:vAlign w:val="bottom"/>
            <w:gridSpan w:val="2"/>
          </w:tcPr>
          <w:p>
            <w:pPr>
              <w:ind w:left="18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(0.09)</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0.21</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2012 and 2011 quarterly results were affected by certain nonrecurring items. In the quarter ended June 30, 2012, the Company recorded an income tax benefit of $384.8 million related to the release of the Company’s valuation allowance against its deferred tax asset. In the quarter ended June 30, 2011, the Company recorded $56.9 of premiums and expenses related to the tender offer for our Senior Toggle Notes as discussed in NOTE 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6, 2013, the Company completed an extension and refinance of the Senior Secured Credit Facility replacing $411.4 million of Term B-1 loans due 2014 and $793.1 million of Term B-2 loans due 2017 for term loan debt due August 2017 with an interest rate margin at ATI’s option, either (a) 3.00% above the London Interbank Offered Rate or (b) 2.00% above the greater of the prime lending rate provided by the British Banking Association or the federal funds effective rate published by the Federal Reserve Bank of New York. The extension of the Term B-1 loan also extended the revolving credit facility to August 2016.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7"/>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1,356.9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1,356.9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r>
      <w:tr>
        <w:trPr>
          <w:trHeight w:val="20"/>
        </w:trPr>
        <w:tc>
          <w:tcPr>
            <w:tcW w:w="9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stock</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1,601.5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1,560.8</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(683.7)</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income, net of tax</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1,356.9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 fees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income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earnings of consolidated subsidiary</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4"/>
              </w:rPr>
              <w:t>514.2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29.6</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514.2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29.6</w:t>
            </w:r>
          </w:p>
        </w:tc>
        <w:tc>
          <w:tcPr>
            <w:tcW w:w="100" w:type="dxa"/>
            <w:vAlign w:val="bottom"/>
          </w:tcPr>
          <w:p>
            <w:pPr>
              <w:spacing w:after="0"/>
              <w:rPr>
                <w:sz w:val="19"/>
                <w:szCs w:val="19"/>
                <w:color w:val="auto"/>
              </w:rPr>
            </w:pP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income</w:t>
            </w:r>
          </w:p>
        </w:tc>
        <w:tc>
          <w:tcPr>
            <w:tcW w:w="2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514.2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103.0</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29.6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4"/>
              </w:rPr>
              <w:t>514.2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29.6</w:t>
            </w:r>
          </w:p>
        </w:tc>
        <w:tc>
          <w:tcPr>
            <w:tcW w:w="10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514.2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103.0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$ 29.6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Deduct items included in net income not providing cash:</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Equity in earnings in consolidated subsidiary</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(514.2)</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(103.0)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Net increase (decrease) during period</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7"/>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r>
      <w:tr>
        <w:trPr>
          <w:trHeight w:val="20"/>
        </w:trPr>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to our Consolidated Financial Statements). The entire amount of our consolidated net assets was subject to restrictions on payment of dividends at the end of December 31, 2012 and 2011.</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Rules 13a-15(e) or 15d-15(e) under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quarter ended December 31, 2012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2013 annual meeting of stockholders which will be filed with the SEC pursuant to Regulation 14A within 120 days after the end of our last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code of business conduct, or any grant of a waiver from a provision of the code of business conduct.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2013 annual meeting of stockholders which will be filed with the SEC pursuant to Regulation 14A within 120 days after the end of our last fiscal year.</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2013 annual meeting of stockholders which will be filed with the SEC pursuant to Regulation 14A within 120 days after the end of our last fiscal year.</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2013 annual meeting of stockholders which will be filed with the SEC pursuant to Regulation 14A within 120 days after the end of our last fiscal year.</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2013 annual meeting of stockholders which will be filed with the SEC pursuant to Regulation 14A within 120 days after the end of our last fiscal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schedules are omitted because they are not required or the required information is shown in the consolidated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 to Item 15(b)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68"/>
        </w:trPr>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14"/>
                <w:szCs w:val="14"/>
                <w:color w:val="auto"/>
              </w:rPr>
            </w:pPr>
          </w:p>
        </w:tc>
        <w:tc>
          <w:tcPr>
            <w:tcW w:w="10500" w:type="dxa"/>
            <w:vAlign w:val="bottom"/>
            <w:tcBorders>
              <w:bottom w:val="single" w:sz="8" w:color="auto"/>
            </w:tcBorders>
          </w:tcPr>
          <w:p>
            <w:pPr>
              <w:ind w:left="4360"/>
              <w:spacing w:after="0"/>
              <w:rPr>
                <w:sz w:val="20"/>
                <w:szCs w:val="20"/>
                <w:color w:val="auto"/>
              </w:rPr>
            </w:pPr>
            <w:r>
              <w:rPr>
                <w:rFonts w:ascii="Arial" w:cs="Arial" w:eastAsia="Arial" w:hAnsi="Arial"/>
                <w:sz w:val="14"/>
                <w:szCs w:val="14"/>
                <w:b w:val="1"/>
                <w:bCs w:val="1"/>
                <w:color w:val="auto"/>
              </w:rPr>
              <w:t>DESCRIPTION OF EXHIBIT</w:t>
            </w:r>
          </w:p>
        </w:tc>
      </w:tr>
      <w:tr>
        <w:trPr>
          <w:trHeight w:val="302"/>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Amended and Restated Certificate of Incorporation of Allison Transmission Holdings, Inc. (incorporated by reference to Exhibit 3.1 to the</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Registrant’s Quarterly Report on Form 10-Q for the quarter ended March 31, 2012 filed on April 26, 2012)</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Amended and Restated Bylaws of Allison Transmission Holdings, Inc. (incorporated by reference to Exhibit 3.2 to the Registrant’s Quarterly Report</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Form 10-Q for the quarter ended March 31, 2012 filed on April 26, 2012)</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Form of Stock Certificate (incorporated by reference to Exhibit 4.1 to Amendment No. 3 to the Registrant’s Registration Statement on Form S-1</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June 16, 2011)</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Indenture governing the 11.0% Senior Notes due 2015, among Allison Transmission, Inc. as Issuer, the Guarantors named therein, and Wells Fargo</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Bank, National Association, as trustee, dated October 16, 2007 (incorporated by reference to Exhibit 4.2 to the Registrant’s Registration Statement</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Form S-1 filed March 18, 2011)</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11.0% Senior Note due 2015 (included in Exhibit 4.2)</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Indenture governing the 11.25% Senior Toggle Notes due 2015, among Allison Transmission, Inc. as Issuer, the Guarantors named therein, and</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Wells Fargo Bank, National Association, as trustee, dated October 17, 2007 (incorporated by reference to Exhibit 4.4 to the Registrant’s Registration</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Statement on Form S-1 filed March 18, 2011)</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11.25% Senior Toggle Note due 2015 (included in Exhibit 4.4)</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Indenture governing the 7.125% Senior Notes due 2019, among Allison Transmission, Inc. as Issuer, the Guarantors named therein, and Wells Fargo</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Bank, National Association, as trustee, dated May 6, 2011 (incorporated by reference to Exhibit 4.6 to Amendment No. 2 to the Registrant’s</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Registration Statement on Form S-1 filed May 16, 2011)</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7.125% Senior Note due 2019 (included in Exhibit 4.6)</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Credit Agreement among Allison Transmission Holdings, Inc., Allison Transmission, Inc., as Borrower, the Several Lenders from time to time</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parties thereto, Citicorp North America, Inc., as Administrative Agent, Lehman Brothers Commercial Bank and Merrill Lynch, Pierce, Fenner &amp;</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Smith Incorporated, as Syndication Agents, Sumitomo Mitsui Banking Corporation, as Documentation Agent and Co-Arranger and Citigroup Global</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Markets Inc., Lehman Brothers Inc. and Merrill Lynch &amp; Co., Merrill Lynch, Pierce, Fenner &amp; Smith Incorporated, As Joint Lead Arrangers And</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Joint Bookrunners, dated as of August 7, 2007 (incorporated by reference to Exhibit 10.1 to Amendment No. 1 to the Registrant’s Registration</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Statement on Form S-1 filed April 26, 2011)</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First Amendment to the Credit Agreement among Allison Transmission Holdings, Inc., Allison Transmission, Inc., as Borrower, the Several Lenders</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from time to time parties thereto, Citicorp North America, Inc., as Administrative Agent, Lehman Brothers Commercial Bank and Merrill Lynch,</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Pierce, Fenner &amp; Smith Incorporated, as Syndication Agents, Sumitomo Mitsui Banking Corporation, as Documentation Agent and Co-Arranger and</w:t>
            </w:r>
          </w:p>
        </w:tc>
      </w:tr>
      <w:tr>
        <w:trPr>
          <w:trHeight w:val="222"/>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Citigroup Global Markets Inc., Lehman Brothers Inc. and Merrill Lynch &amp; Co., Merrill Lynch, Pierce, Fenner &amp; Smith Incorporated, As Joint Lead</w:t>
            </w:r>
          </w:p>
        </w:tc>
      </w:tr>
    </w:tbl>
    <w:p>
      <w:pPr>
        <w:ind w:left="920" w:right="600"/>
        <w:spacing w:after="0" w:line="261" w:lineRule="auto"/>
        <w:rPr>
          <w:sz w:val="20"/>
          <w:szCs w:val="20"/>
          <w:color w:val="auto"/>
        </w:rPr>
      </w:pPr>
      <w:r>
        <w:rPr>
          <w:rFonts w:ascii="Arial" w:cs="Arial" w:eastAsia="Arial" w:hAnsi="Arial"/>
          <w:sz w:val="18"/>
          <w:szCs w:val="18"/>
          <w:color w:val="auto"/>
        </w:rPr>
        <w:t>Arrangers And Joint Bookrunners, dated as of November 21, 2008 (incorporated by reference to Exhibit 10.2 to the Registrant’s Registration Statement on Form S-1 filed March 18,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Guarantee And Collateral Agreement made by Allison Transmission Holdings, Inc. Allison Transmission, Inc. as Borrower, and the Subsidiary</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Guarantors party hereto in favor of Citicorp North America, Inc., as Administrative Agent, dated as of August 7, 2007 (incorporated by reference</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to Exhibit 10.3 to the Registrant’s Registration Statement on Form S-1 filed March 18,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Trademark Security Agreement made by Allison Transmission, Inc. in favor of Citicorp North America, Inc., as Administrative Agent, dated as of</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6"/>
              </w:rPr>
              <w:t>August 7, 2007 (incorporated by reference to Exhibit 10.4 to the Registrant’s Registration Statement on Form S-1 filed March 18,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Copyright Security Agreement made by Allison Transmission, Inc. in favor of Citicorp North America, Inc., as Administrative Agent, dated as of</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August 7, 2007 (incorporated by reference to Exhibit 10.5 to Amendment No. 2 to the Registrant’s Registration Statement on Form S-1 filed May</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Amended and Restated Stockholders Agreement (incorporated by reference to Exhibit 10.6 to the Registrant’s Quarterly Report on Form 10-Q for</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the quarter ended March 31, 2012 filed on April 26,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Employment and Severance Agreement, between Allison Transmission, Inc. and Lawrence E. Dewey, dated as of February 7, 2008 (incorporated</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by reference to Exhibit 10.7 to Amendment No. 2 to the Registrant’s 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Employment and Severance Agreement, between Allison Transmission, Inc. and David S. Graziosi, dated as of November 1, 2007 (incorporated</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by reference to Exhibit 10.8 to Amendment No. 2 to the Registrant’s 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Form of Allison Transmission Holdings, Inc. Indemnification Agreement (incorporated by reference to Exhibit 10.9 to Amendment No. 2 to the</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Allison Transmission Holdings, Inc. 2011 Equity Incentive Award Plan (incorporated by reference to Exhibit 10.10 to Amendment No. 3 to the</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Form of 2011 Equity Incentive Award Plan Restricted Stock Agreement (incorporated by reference to Exhibit 10.11 to Amendment No. 3 to the</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Form of 2011 Equity Incentive Award Plan Restricted Stock Unit Agreement (incorporated by reference to Exhibit 10.12 to Amendment No. 3 to</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the Registrant’s Registration Statement on Form S-1 filed June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tcPr>
          <w:p>
            <w:pPr>
              <w:ind w:left="220"/>
              <w:spacing w:after="0"/>
              <w:rPr>
                <w:sz w:val="20"/>
                <w:szCs w:val="20"/>
                <w:color w:val="auto"/>
              </w:rPr>
            </w:pPr>
            <w:r>
              <w:rPr>
                <w:rFonts w:ascii="Arial" w:cs="Arial" w:eastAsia="Arial" w:hAnsi="Arial"/>
                <w:sz w:val="18"/>
                <w:szCs w:val="18"/>
                <w:color w:val="auto"/>
                <w:w w:val="93"/>
              </w:rPr>
              <w:t>Form of 2011 Equity Incentive Award Plan Stock Option Agreement (incorporated by reference to Exhibit 10.13 to Amendment No. 3 to the</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Equity Incentive Plan of Allison Transmission Holdings, Inc. (incorporated by reference to Exhibit 10.14 to Amendment No. 2 to the Registrant’s</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tcPr>
          <w:p>
            <w:pPr>
              <w:ind w:left="220"/>
              <w:spacing w:after="0"/>
              <w:rPr>
                <w:sz w:val="20"/>
                <w:szCs w:val="20"/>
                <w:color w:val="auto"/>
              </w:rPr>
            </w:pPr>
            <w:r>
              <w:rPr>
                <w:rFonts w:ascii="Arial" w:cs="Arial" w:eastAsia="Arial" w:hAnsi="Arial"/>
                <w:sz w:val="18"/>
                <w:szCs w:val="18"/>
                <w:color w:val="auto"/>
                <w:w w:val="93"/>
              </w:rPr>
              <w:t>Form of Employee Stock Option Agreement under Equity Incentive Plan of Allison Transmission Holdings, Inc. (incorporated by reference to</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Exhibit 10.15 to Amendment No. 2 to the Registrant’s 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tcPr>
          <w:p>
            <w:pPr>
              <w:ind w:left="220"/>
              <w:spacing w:after="0"/>
              <w:rPr>
                <w:sz w:val="20"/>
                <w:szCs w:val="20"/>
                <w:color w:val="auto"/>
              </w:rPr>
            </w:pPr>
            <w:r>
              <w:rPr>
                <w:rFonts w:ascii="Arial" w:cs="Arial" w:eastAsia="Arial" w:hAnsi="Arial"/>
                <w:sz w:val="18"/>
                <w:szCs w:val="18"/>
                <w:color w:val="auto"/>
                <w:w w:val="94"/>
              </w:rPr>
              <w:t>Form of Independent Director Stock Option Agreement under Equity Incentive Plan of Allison Transmission Holdings, Inc. (incorporated by</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reference to Exhibit 10.16 to Amendment No. 2 to the Registrant’s Registration Statement on Form S-1 filed May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Second Amendment to the Credit Agreement among Allison Transmission Holdings, Inc., Allison Transmission, Inc., as Borrower, the several</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3"/>
              </w:rPr>
              <w:t>banks and other financial institutions or entities from time to time parties thereto as Lenders, Citicorp North America, Inc., as Administrative</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Agent and Collateral Agent, Lehman Brothers Commercial Bank and Merrill Lynch, Pierce, Fenner &amp; Smith Incorporated, as Syndication Agents,</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Sumitomo Mitsui Banking Corporation, as Documentation Agent and Co-Arranger, and Citigroup Global Markets Inc., Lehman Brothers Inc., and</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Merrill Lynch &amp; Co., Merrill Lynch, Pierce, Fenner &amp; Smith Incorporated, as Joint Lead Arrangers and Joint Bookrunners, dated as of May 13,</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2011 (incorporated by reference to Exhibit 10.17 to Amendment No. 3 to the Registrant’s Registration Statement on Form S-1 filed June 16,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Third Amendment to the Credit Agreement among Allison Transmission Holdings, Inc., Allison Transmission, Inc., as Borrower, the several banks</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and other financial institutions or entities from time to time parties thereto as Lenders, Citicorp North America, Inc., as Administrative Agent and</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3"/>
              </w:rPr>
              <w:t>Collateral Agent and the other agents and arrangers party thereto, dated as of March 9, 2012 (incorporated by reference to Exhibit 10.19 to</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Amendment No. 8 to the Registrant’s Registration Statement on Form S-1 filed March 12,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Incentive Plan of Allison Transmission Holdings, Inc. (incorporated by reference to Exhibit 10.20 to the Registrant’s Quarterly Report on Form 10-</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Q for the quarter ended June 30, 2012 filed on July 31,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220"/>
              <w:spacing w:after="0"/>
              <w:rPr>
                <w:sz w:val="20"/>
                <w:szCs w:val="20"/>
                <w:color w:val="auto"/>
              </w:rPr>
            </w:pPr>
            <w:r>
              <w:rPr>
                <w:rFonts w:ascii="Arial" w:cs="Arial" w:eastAsia="Arial" w:hAnsi="Arial"/>
                <w:sz w:val="18"/>
                <w:szCs w:val="18"/>
                <w:color w:val="auto"/>
                <w:w w:val="92"/>
              </w:rPr>
              <w:t>Deferred Compensation Plan of Allison Transmission Inc. (incorporated by reference to Exhibit 10.21 to the Registrant’s Quarterly Report on</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Form 10-Q for the quarter ended June 30, 2012 filed on July 31,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tcPr>
          <w:p>
            <w:pPr>
              <w:ind w:left="220"/>
              <w:spacing w:after="0"/>
              <w:rPr>
                <w:sz w:val="20"/>
                <w:szCs w:val="20"/>
                <w:color w:val="auto"/>
              </w:rPr>
            </w:pPr>
            <w:r>
              <w:rPr>
                <w:rFonts w:ascii="Arial" w:cs="Arial" w:eastAsia="Arial" w:hAnsi="Arial"/>
                <w:sz w:val="18"/>
                <w:szCs w:val="18"/>
                <w:color w:val="auto"/>
                <w:w w:val="90"/>
              </w:rPr>
              <w:t>Amendment No. 4 to the Credit Agreement, dated as of August 23, 2012, among Allison Transmission Holdings, Inc., Allison Transmission, Inc.,</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89"/>
              </w:rPr>
              <w:t>as Borrower, the several banks and other financial institutions or entities from time to time parties thereto as Lenders, Citicorp North America, Inc.,</w:t>
            </w:r>
          </w:p>
        </w:tc>
      </w:tr>
      <w:tr>
        <w:trPr>
          <w:trHeight w:val="216"/>
        </w:trPr>
        <w:tc>
          <w:tcPr>
            <w:tcW w:w="720" w:type="dxa"/>
            <w:vAlign w:val="bottom"/>
          </w:tcPr>
          <w:p>
            <w:pPr>
              <w:spacing w:after="0"/>
              <w:rPr>
                <w:sz w:val="18"/>
                <w:szCs w:val="18"/>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w w:val="91"/>
              </w:rPr>
              <w:t>as Administrative Agent and the other agents and arrangers party thereto (incorporated by reference to Exhibit 10.1 to the Registrant’s Current</w:t>
            </w:r>
          </w:p>
        </w:tc>
      </w:tr>
      <w:tr>
        <w:trPr>
          <w:trHeight w:val="222"/>
        </w:trPr>
        <w:tc>
          <w:tcPr>
            <w:tcW w:w="72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color w:val="auto"/>
              </w:rPr>
              <w:t>Report on Form 8-K filed August 23, 2012)</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10.22</w:t>
            </w: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Amendment No. 5 to the Credit Agreement, dated as of October 4, 2012, among Allison Transmission Holdings, Inc., Allison Transmission,</w:t>
            </w:r>
          </w:p>
        </w:tc>
      </w:tr>
      <w:tr>
        <w:trPr>
          <w:trHeight w:val="216"/>
        </w:trPr>
        <w:tc>
          <w:tcPr>
            <w:tcW w:w="1020" w:type="dxa"/>
            <w:vAlign w:val="bottom"/>
          </w:tcPr>
          <w:p>
            <w:pPr>
              <w:spacing w:after="0"/>
              <w:rPr>
                <w:sz w:val="18"/>
                <w:szCs w:val="18"/>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w w:val="93"/>
              </w:rPr>
              <w:t>Inc., as Borrower, the several banks and other financial institutions or entities from time to time parties thereto as Lenders, Citicorp North</w:t>
            </w:r>
          </w:p>
        </w:tc>
      </w:tr>
      <w:tr>
        <w:trPr>
          <w:trHeight w:val="216"/>
        </w:trPr>
        <w:tc>
          <w:tcPr>
            <w:tcW w:w="1020" w:type="dxa"/>
            <w:vAlign w:val="bottom"/>
          </w:tcPr>
          <w:p>
            <w:pPr>
              <w:spacing w:after="0"/>
              <w:rPr>
                <w:sz w:val="18"/>
                <w:szCs w:val="18"/>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w w:val="93"/>
              </w:rPr>
              <w:t>America, Inc., as Administrative Agent and the other agents and arrangers party thereto (incorporated by reference to Exhibit 10.1 to the</w:t>
            </w:r>
          </w:p>
        </w:tc>
      </w:tr>
      <w:tr>
        <w:trPr>
          <w:trHeight w:val="222"/>
        </w:trPr>
        <w:tc>
          <w:tcPr>
            <w:tcW w:w="10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Registrant’s Current Report on Form 8-K filed October 4, 2012)</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10.23*</w:t>
            </w:r>
          </w:p>
        </w:tc>
        <w:tc>
          <w:tcPr>
            <w:tcW w:w="10380" w:type="dxa"/>
            <w:vAlign w:val="bottom"/>
          </w:tcPr>
          <w:p>
            <w:pPr>
              <w:ind w:left="240"/>
              <w:spacing w:after="0"/>
              <w:rPr>
                <w:sz w:val="20"/>
                <w:szCs w:val="20"/>
                <w:color w:val="auto"/>
              </w:rPr>
            </w:pPr>
            <w:r>
              <w:rPr>
                <w:rFonts w:ascii="Arial" w:cs="Arial" w:eastAsia="Arial" w:hAnsi="Arial"/>
                <w:sz w:val="18"/>
                <w:szCs w:val="18"/>
                <w:color w:val="auto"/>
              </w:rPr>
              <w:t>Non-Employee Director Deferred Compensation Plan of Allison Transmission Holdings, Inc.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10.24*</w:t>
            </w:r>
          </w:p>
        </w:tc>
        <w:tc>
          <w:tcPr>
            <w:tcW w:w="10380" w:type="dxa"/>
            <w:vAlign w:val="bottom"/>
          </w:tcPr>
          <w:p>
            <w:pPr>
              <w:ind w:left="240"/>
              <w:spacing w:after="0"/>
              <w:rPr>
                <w:sz w:val="20"/>
                <w:szCs w:val="20"/>
                <w:color w:val="auto"/>
              </w:rPr>
            </w:pPr>
            <w:r>
              <w:rPr>
                <w:rFonts w:ascii="Arial" w:cs="Arial" w:eastAsia="Arial" w:hAnsi="Arial"/>
                <w:sz w:val="18"/>
                <w:szCs w:val="18"/>
                <w:color w:val="auto"/>
                <w:w w:val="99"/>
              </w:rPr>
              <w:t>Form Amendment to Stock Option Agreement under Equity Incentive Plan of Allison Transmission Holdings, Inc.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14.1</w:t>
            </w:r>
          </w:p>
        </w:tc>
        <w:tc>
          <w:tcPr>
            <w:tcW w:w="10380" w:type="dxa"/>
            <w:vAlign w:val="bottom"/>
          </w:tcPr>
          <w:p>
            <w:pPr>
              <w:ind w:left="240"/>
              <w:spacing w:after="0"/>
              <w:rPr>
                <w:sz w:val="20"/>
                <w:szCs w:val="20"/>
                <w:color w:val="auto"/>
              </w:rPr>
            </w:pPr>
            <w:r>
              <w:rPr>
                <w:rFonts w:ascii="Arial" w:cs="Arial" w:eastAsia="Arial" w:hAnsi="Arial"/>
                <w:sz w:val="18"/>
                <w:szCs w:val="18"/>
                <w:color w:val="auto"/>
              </w:rPr>
              <w:t>Code of Business Conduct, adopted by the Board of Directors on March 14, 2012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10380" w:type="dxa"/>
            <w:vAlign w:val="bottom"/>
          </w:tcPr>
          <w:p>
            <w:pPr>
              <w:ind w:left="240"/>
              <w:spacing w:after="0"/>
              <w:rPr>
                <w:sz w:val="20"/>
                <w:szCs w:val="20"/>
                <w:color w:val="auto"/>
              </w:rPr>
            </w:pPr>
            <w:r>
              <w:rPr>
                <w:rFonts w:ascii="Arial" w:cs="Arial" w:eastAsia="Arial" w:hAnsi="Arial"/>
                <w:sz w:val="18"/>
                <w:szCs w:val="18"/>
                <w:color w:val="auto"/>
              </w:rPr>
              <w:t>List of Subsidiaries of Allison Transmission Holdings, Inc.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0380" w:type="dxa"/>
            <w:vAlign w:val="bottom"/>
          </w:tcPr>
          <w:p>
            <w:pPr>
              <w:ind w:left="240"/>
              <w:spacing w:after="0"/>
              <w:rPr>
                <w:sz w:val="20"/>
                <w:szCs w:val="20"/>
                <w:color w:val="auto"/>
              </w:rPr>
            </w:pPr>
            <w:r>
              <w:rPr>
                <w:rFonts w:ascii="Arial" w:cs="Arial" w:eastAsia="Arial" w:hAnsi="Arial"/>
                <w:sz w:val="18"/>
                <w:szCs w:val="18"/>
                <w:color w:val="auto"/>
              </w:rPr>
              <w:t>Consent of PricewaterhouseCoopers LLP (filed herewith)</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Pr>
          <w:p>
            <w:pPr>
              <w:ind w:left="240"/>
              <w:spacing w:after="0"/>
              <w:rPr>
                <w:sz w:val="20"/>
                <w:szCs w:val="20"/>
                <w:color w:val="auto"/>
              </w:rPr>
            </w:pPr>
            <w:r>
              <w:rPr>
                <w:rFonts w:ascii="Arial" w:cs="Arial" w:eastAsia="Arial" w:hAnsi="Arial"/>
                <w:sz w:val="18"/>
                <w:szCs w:val="18"/>
                <w:color w:val="auto"/>
                <w:w w:val="89"/>
              </w:rPr>
              <w:t>Certification pursuant to Rule 13a-14(a)/15d-14(a) of the Securities Exchange Act of 1934 of the Chief Executive Officer, as adopted pursuant</w:t>
            </w:r>
          </w:p>
        </w:tc>
      </w:tr>
      <w:tr>
        <w:trPr>
          <w:trHeight w:val="222"/>
        </w:trPr>
        <w:tc>
          <w:tcPr>
            <w:tcW w:w="10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to Section 302 of the Sarbanes-Oxley Act of 2002 (filed herewith)</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Pr>
          <w:p>
            <w:pPr>
              <w:ind w:left="240"/>
              <w:spacing w:after="0"/>
              <w:rPr>
                <w:sz w:val="20"/>
                <w:szCs w:val="20"/>
                <w:color w:val="auto"/>
              </w:rPr>
            </w:pPr>
            <w:r>
              <w:rPr>
                <w:rFonts w:ascii="Arial" w:cs="Arial" w:eastAsia="Arial" w:hAnsi="Arial"/>
                <w:sz w:val="18"/>
                <w:szCs w:val="18"/>
                <w:color w:val="auto"/>
                <w:w w:val="88"/>
              </w:rPr>
              <w:t>Certification pursuant to Rule 13a-14(a)/15d-14(a) of the Securities Exchange Act of 1934 of the Chief Financial Officer, as adopted pursuant to</w:t>
            </w:r>
          </w:p>
        </w:tc>
      </w:tr>
      <w:tr>
        <w:trPr>
          <w:trHeight w:val="222"/>
        </w:trPr>
        <w:tc>
          <w:tcPr>
            <w:tcW w:w="10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Pr>
          <w:p>
            <w:pPr>
              <w:ind w:left="24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(filed herewith)</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5" w:lineRule="exact"/>
        <w:rPr>
          <w:sz w:val="20"/>
          <w:szCs w:val="20"/>
          <w:color w:val="auto"/>
        </w:rPr>
      </w:pPr>
    </w:p>
    <w:p>
      <w:pPr>
        <w:ind w:left="460" w:right="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360"/>
          </w:cols>
          <w:pgMar w:left="240" w:top="459" w:right="29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February 28, 2013</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1813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4">
            <w:col w:w="380" w:space="180"/>
            <w:col w:w="4880" w:space="720"/>
            <w:col w:w="240" w:space="120"/>
            <w:col w:w="4840"/>
          </w:cols>
          <w:pgMar w:left="240" w:top="459" w:right="299" w:bottom="1440" w:gutter="0" w:footer="0" w:header="0"/>
          <w:type w:val="continuous"/>
        </w:sectPr>
      </w:pPr>
    </w:p>
    <w:p>
      <w:pPr>
        <w:ind w:left="6520"/>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Chairman of the Board, President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SIGNATURES</w:t>
            </w:r>
          </w:p>
        </w:tc>
        <w:tc>
          <w:tcPr>
            <w:tcW w:w="1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CAPACITY</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460" w:type="dxa"/>
            <w:vAlign w:val="bottom"/>
          </w:tcPr>
          <w:p>
            <w:pPr>
              <w:spacing w:after="0"/>
              <w:rPr>
                <w:sz w:val="14"/>
                <w:szCs w:val="14"/>
                <w:color w:val="auto"/>
              </w:rPr>
            </w:pPr>
          </w:p>
        </w:tc>
      </w:tr>
      <w:tr>
        <w:trPr>
          <w:trHeight w:val="424"/>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and</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190"/>
        </w:trPr>
        <w:tc>
          <w:tcPr>
            <w:tcW w:w="2620" w:type="dxa"/>
            <w:vAlign w:val="bottom"/>
            <w:gridSpan w:val="2"/>
          </w:tcPr>
          <w:p>
            <w:pPr>
              <w:spacing w:after="0" w:line="190" w:lineRule="exact"/>
              <w:rPr>
                <w:sz w:val="20"/>
                <w:szCs w:val="20"/>
                <w:color w:val="auto"/>
              </w:rPr>
            </w:pPr>
            <w:r>
              <w:rPr>
                <w:rFonts w:ascii="Arial" w:cs="Arial" w:eastAsia="Arial" w:hAnsi="Arial"/>
                <w:sz w:val="18"/>
                <w:szCs w:val="18"/>
                <w:color w:val="auto"/>
              </w:rPr>
              <w:t>Lawrence E. Dewey</w:t>
            </w:r>
          </w:p>
        </w:tc>
        <w:tc>
          <w:tcPr>
            <w:tcW w:w="1660" w:type="dxa"/>
            <w:vAlign w:val="bottom"/>
          </w:tcPr>
          <w:p>
            <w:pPr>
              <w:spacing w:after="0"/>
              <w:rPr>
                <w:sz w:val="16"/>
                <w:szCs w:val="16"/>
                <w:color w:val="auto"/>
              </w:rPr>
            </w:pPr>
          </w:p>
        </w:tc>
        <w:tc>
          <w:tcPr>
            <w:tcW w:w="476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Chief Executive Officer</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46"/>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 Financial Officer and</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190"/>
        </w:trPr>
        <w:tc>
          <w:tcPr>
            <w:tcW w:w="2620" w:type="dxa"/>
            <w:vAlign w:val="bottom"/>
            <w:gridSpan w:val="2"/>
          </w:tcPr>
          <w:p>
            <w:pPr>
              <w:spacing w:after="0" w:line="190" w:lineRule="exact"/>
              <w:rPr>
                <w:sz w:val="20"/>
                <w:szCs w:val="20"/>
                <w:color w:val="auto"/>
              </w:rPr>
            </w:pPr>
            <w:r>
              <w:rPr>
                <w:rFonts w:ascii="Arial" w:cs="Arial" w:eastAsia="Arial" w:hAnsi="Arial"/>
                <w:sz w:val="18"/>
                <w:szCs w:val="18"/>
                <w:color w:val="auto"/>
              </w:rPr>
              <w:t>David S. Graziosi</w:t>
            </w:r>
          </w:p>
        </w:tc>
        <w:tc>
          <w:tcPr>
            <w:tcW w:w="1660" w:type="dxa"/>
            <w:vAlign w:val="bottom"/>
          </w:tcPr>
          <w:p>
            <w:pPr>
              <w:spacing w:after="0"/>
              <w:rPr>
                <w:sz w:val="16"/>
                <w:szCs w:val="16"/>
                <w:color w:val="auto"/>
              </w:rPr>
            </w:pPr>
          </w:p>
        </w:tc>
        <w:tc>
          <w:tcPr>
            <w:tcW w:w="476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Treasurer (Principal Financial Officer and</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47"/>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A. Bernasek</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Brian A. Bernasek</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Denison</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David Denison</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Kosty Gilis</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Kosty Gilis</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S. Ledford</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Gregory S. Ledford</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M. Mersky</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Seth M. Mersky</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Rabaut</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Thomas W. Rabaut</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Francis Raborn</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Francis Raborn</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V. Reynolds</w:t>
            </w:r>
          </w:p>
        </w:tc>
        <w:tc>
          <w:tcPr>
            <w:tcW w:w="1660" w:type="dxa"/>
            <w:vAlign w:val="bottom"/>
            <w:tcBorders>
              <w:bottom w:val="single" w:sz="8" w:color="auto"/>
            </w:tcBorders>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Richard V. Reynolds</w:t>
            </w:r>
          </w:p>
        </w:tc>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70"/>
        </w:trPr>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20" w:type="dxa"/>
            <w:vAlign w:val="bottom"/>
            <w:gridSpan w:val="2"/>
          </w:tcPr>
          <w:p>
            <w:pPr>
              <w:jc w:val="right"/>
              <w:ind w:right="652"/>
              <w:spacing w:after="0"/>
              <w:rPr>
                <w:sz w:val="20"/>
                <w:szCs w:val="20"/>
                <w:color w:val="auto"/>
              </w:rPr>
            </w:pPr>
            <w:r>
              <w:rPr>
                <w:rFonts w:ascii="Arial" w:cs="Arial" w:eastAsia="Arial" w:hAnsi="Arial"/>
                <w:sz w:val="18"/>
                <w:szCs w:val="18"/>
                <w:color w:val="auto"/>
              </w:rPr>
              <w:t>99</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Deferred Compensation Plan</w:t>
      </w:r>
    </w:p>
    <w:p>
      <w:pPr>
        <w:spacing w:after="0" w:line="177" w:lineRule="exact"/>
        <w:rPr>
          <w:sz w:val="20"/>
          <w:szCs w:val="20"/>
          <w:color w:val="auto"/>
        </w:rPr>
      </w:pPr>
    </w:p>
    <w:p>
      <w:pPr>
        <w:ind w:right="60" w:firstLine="464"/>
        <w:spacing w:after="0" w:line="294" w:lineRule="auto"/>
        <w:tabs>
          <w:tab w:leader="none" w:pos="632"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Non-Employee Director Deferred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as set forth herein, has been adopted under the Allison Transmission Holdings, Inc. 2011 Equity Incentive Award Plan (the “</w:t>
      </w:r>
      <w:r>
        <w:rPr>
          <w:rFonts w:ascii="Arial" w:cs="Arial" w:eastAsia="Arial" w:hAnsi="Arial"/>
          <w:sz w:val="16"/>
          <w:szCs w:val="16"/>
          <w:u w:val="single" w:color="auto"/>
          <w:color w:val="auto"/>
        </w:rPr>
        <w:t>Equity Plan</w:t>
      </w:r>
      <w:r>
        <w:rPr>
          <w:rFonts w:ascii="Arial" w:cs="Arial" w:eastAsia="Arial" w:hAnsi="Arial"/>
          <w:sz w:val="16"/>
          <w:szCs w:val="16"/>
          <w:color w:val="auto"/>
        </w:rPr>
        <w:t>”)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purpose of the Plan is to promote the success and enhance the value of the Company by linking the personal interests of the members of the Board to those of Company stockholders and by providing such members with an incentive for outstanding performance to generate superior returns to Company stockholders. Capitalized but undefined terms used herein shall have the meanings provided for in the Equity Plan.</w:t>
      </w:r>
    </w:p>
    <w:p>
      <w:pPr>
        <w:spacing w:after="0" w:line="115" w:lineRule="exact"/>
        <w:rPr>
          <w:rFonts w:ascii="Arial" w:cs="Arial" w:eastAsia="Arial" w:hAnsi="Arial"/>
          <w:sz w:val="16"/>
          <w:szCs w:val="16"/>
          <w:color w:val="auto"/>
        </w:rPr>
      </w:pPr>
    </w:p>
    <w:p>
      <w:pPr>
        <w:ind w:right="40" w:firstLine="464"/>
        <w:spacing w:after="0" w:line="291" w:lineRule="auto"/>
        <w:tabs>
          <w:tab w:leader="none" w:pos="632"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Administrator subject to the provisions of the Equity Plan and the Company’s Non-Employee Director Compensation Policy as in effect from time to time (the “</w:t>
      </w:r>
      <w:r>
        <w:rPr>
          <w:rFonts w:ascii="Arial" w:cs="Arial" w:eastAsia="Arial" w:hAnsi="Arial"/>
          <w:sz w:val="16"/>
          <w:szCs w:val="16"/>
          <w:u w:val="single" w:color="auto"/>
          <w:color w:val="auto"/>
        </w:rPr>
        <w:t>Director Compensation Policy</w:t>
      </w:r>
      <w:r>
        <w:rPr>
          <w:rFonts w:ascii="Arial" w:cs="Arial" w:eastAsia="Arial" w:hAnsi="Arial"/>
          <w:sz w:val="16"/>
          <w:szCs w:val="16"/>
          <w:color w:val="auto"/>
        </w:rPr>
        <w:t>”) and subject to applicable law. The Administrator will have full power and authority to supervise the administration and interpret the provisions of the Plan and to authorize and supervise any crediting of Deferred Stock or issuance or payment of Common Stock hereunder. Any determination or action of the Administrator in connection with the interpretation or administration of the Plan will be final, conclusive and binding on all parties. The Administrator (and each member thereof) will not be liable for any determination made, or any decision or action taken, with respect to the Plan.</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Each member of the Board who is eligible to receive compensation under the Director Compensation Policy (each a “</w:t>
      </w:r>
      <w:r>
        <w:rPr>
          <w:rFonts w:ascii="Arial" w:cs="Arial" w:eastAsia="Arial" w:hAnsi="Arial"/>
          <w:sz w:val="16"/>
          <w:szCs w:val="16"/>
          <w:u w:val="single" w:color="auto"/>
          <w:color w:val="auto"/>
        </w:rPr>
        <w:t>Non-Employee</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shall be eligible to receive Deferred Stock in accordance with the Plan. Each such eligible Non-Employee Director who elects to participate in the Plan will be referred to herein as a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7" w:lineRule="exact"/>
        <w:rPr>
          <w:rFonts w:ascii="Arial" w:cs="Arial" w:eastAsia="Arial" w:hAnsi="Arial"/>
          <w:sz w:val="16"/>
          <w:szCs w:val="16"/>
          <w:color w:val="auto"/>
        </w:rPr>
      </w:pPr>
    </w:p>
    <w:p>
      <w:pPr>
        <w:ind w:right="220" w:firstLine="464"/>
        <w:spacing w:after="0" w:line="291" w:lineRule="auto"/>
        <w:tabs>
          <w:tab w:leader="none" w:pos="632"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Generally</w:t>
      </w:r>
      <w:r>
        <w:rPr>
          <w:rFonts w:ascii="Arial" w:cs="Arial" w:eastAsia="Arial" w:hAnsi="Arial"/>
          <w:sz w:val="16"/>
          <w:szCs w:val="16"/>
          <w:color w:val="auto"/>
        </w:rPr>
        <w:t>. The amount and kind of compensation paid to each Participant for services as a Non-Employee Director (the “</w:t>
      </w:r>
      <w:r>
        <w:rPr>
          <w:rFonts w:ascii="Arial" w:cs="Arial" w:eastAsia="Arial" w:hAnsi="Arial"/>
          <w:sz w:val="16"/>
          <w:szCs w:val="16"/>
          <w:u w:val="single" w:color="auto"/>
          <w:color w:val="auto"/>
        </w:rPr>
        <w:t>Director Compensation</w:t>
      </w:r>
      <w:r>
        <w:rPr>
          <w:rFonts w:ascii="Arial" w:cs="Arial" w:eastAsia="Arial" w:hAnsi="Arial"/>
          <w:sz w:val="16"/>
          <w:szCs w:val="16"/>
          <w:color w:val="auto"/>
        </w:rPr>
        <w:t>”) and the amount and kind of compensation eligible for a deferral election will be determined from time to time in accordance with the Director Compensation Policy, as such policy may be amended by the Board from time to time. In the event of any conflict between the terms of this Plan and the Director Compensation Policy, the terms of the Director Compensation Policy shall control except to the extent otherwise required to comply with Section 409A of the Code. Notwithstanding any provision of the Plan to the contrary, a Non-Employee Director shall be permitted to make a Deferral Election with respect to Director Compensation only to the extent permitted by the Director Compensation Policy.</w:t>
      </w:r>
    </w:p>
    <w:p>
      <w:pPr>
        <w:spacing w:after="0" w:line="160" w:lineRule="exact"/>
        <w:rPr>
          <w:rFonts w:ascii="Arial" w:cs="Arial" w:eastAsia="Arial" w:hAnsi="Arial"/>
          <w:sz w:val="16"/>
          <w:szCs w:val="16"/>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59" w:lineRule="auto"/>
        <w:tabs>
          <w:tab w:leader="none" w:pos="1148" w:val="left"/>
        </w:tabs>
        <w:numPr>
          <w:ilvl w:val="3"/>
          <w:numId w:val="17"/>
        </w:numPr>
        <w:rPr>
          <w:rFonts w:ascii="Arial" w:cs="Arial" w:eastAsia="Arial" w:hAnsi="Arial"/>
          <w:sz w:val="18"/>
          <w:szCs w:val="18"/>
          <w:color w:val="auto"/>
        </w:rPr>
      </w:pPr>
      <w:r>
        <w:rPr>
          <w:rFonts w:ascii="Arial" w:cs="Arial" w:eastAsia="Arial" w:hAnsi="Arial"/>
          <w:sz w:val="18"/>
          <w:szCs w:val="18"/>
          <w:color w:val="auto"/>
        </w:rPr>
        <w:t>To the extent permitted by the Director Compensation Policy or as otherwise permitted by the Board, a Non-Employee Director may make an irrevocable deferral election (a “</w:t>
      </w:r>
      <w:r>
        <w:rPr>
          <w:rFonts w:ascii="Arial" w:cs="Arial" w:eastAsia="Arial" w:hAnsi="Arial"/>
          <w:sz w:val="18"/>
          <w:szCs w:val="18"/>
          <w:u w:val="single" w:color="auto"/>
          <w:color w:val="auto"/>
        </w:rPr>
        <w:t>Deferral Election</w:t>
      </w:r>
      <w:r>
        <w:rPr>
          <w:rFonts w:ascii="Arial" w:cs="Arial" w:eastAsia="Arial" w:hAnsi="Arial"/>
          <w:sz w:val="18"/>
          <w:szCs w:val="18"/>
          <w:color w:val="auto"/>
        </w:rPr>
        <w:t>”) to defer payment of all or a portion of his or her Director Compensation in accordance with the terms of the Plan.</w:t>
      </w:r>
    </w:p>
    <w:p>
      <w:pPr>
        <w:spacing w:after="0" w:line="140" w:lineRule="exact"/>
        <w:rPr>
          <w:rFonts w:ascii="Arial" w:cs="Arial" w:eastAsia="Arial" w:hAnsi="Arial"/>
          <w:sz w:val="18"/>
          <w:szCs w:val="18"/>
          <w:color w:val="auto"/>
        </w:rPr>
      </w:pPr>
    </w:p>
    <w:p>
      <w:pPr>
        <w:ind w:right="40" w:firstLine="921"/>
        <w:spacing w:after="0" w:line="256" w:lineRule="auto"/>
        <w:tabs>
          <w:tab w:leader="none" w:pos="1162" w:val="left"/>
        </w:tabs>
        <w:numPr>
          <w:ilvl w:val="3"/>
          <w:numId w:val="17"/>
        </w:numPr>
        <w:rPr>
          <w:rFonts w:ascii="Arial" w:cs="Arial" w:eastAsia="Arial" w:hAnsi="Arial"/>
          <w:sz w:val="18"/>
          <w:szCs w:val="18"/>
          <w:color w:val="auto"/>
        </w:rPr>
      </w:pPr>
      <w:r>
        <w:rPr>
          <w:rFonts w:ascii="Arial" w:cs="Arial" w:eastAsia="Arial" w:hAnsi="Arial"/>
          <w:sz w:val="18"/>
          <w:szCs w:val="18"/>
          <w:color w:val="auto"/>
        </w:rPr>
        <w:t>In order to make a Deferral Election pursuant to Section 5(a) of the Plan, a Non-Employee Director must deliver to the Company a written notice in a form prescribed by the Company (the “</w:t>
      </w:r>
      <w:r>
        <w:rPr>
          <w:rFonts w:ascii="Arial" w:cs="Arial" w:eastAsia="Arial" w:hAnsi="Arial"/>
          <w:sz w:val="18"/>
          <w:szCs w:val="18"/>
          <w:u w:val="single" w:color="auto"/>
          <w:color w:val="auto"/>
        </w:rPr>
        <w:t>Deferral Election Form</w:t>
      </w:r>
      <w:r>
        <w:rPr>
          <w:rFonts w:ascii="Arial" w:cs="Arial" w:eastAsia="Arial" w:hAnsi="Arial"/>
          <w:sz w:val="18"/>
          <w:szCs w:val="18"/>
          <w:color w:val="auto"/>
        </w:rPr>
        <w:t>”) setting forth and clearly identifying the Director Compensation subject to the Deferral Election and the percentage of such Director Compensation that the Non-Employee Director elects to be deferred and paid in Deferred Stock in accordance with the Plan.</w:t>
      </w:r>
    </w:p>
    <w:p>
      <w:pPr>
        <w:spacing w:after="0" w:line="143" w:lineRule="exact"/>
        <w:rPr>
          <w:rFonts w:ascii="Arial" w:cs="Arial" w:eastAsia="Arial" w:hAnsi="Arial"/>
          <w:sz w:val="18"/>
          <w:szCs w:val="18"/>
          <w:color w:val="auto"/>
        </w:rPr>
      </w:pPr>
    </w:p>
    <w:p>
      <w:pPr>
        <w:ind w:right="20" w:firstLine="921"/>
        <w:spacing w:after="0" w:line="294" w:lineRule="auto"/>
        <w:tabs>
          <w:tab w:leader="none" w:pos="1152" w:val="left"/>
        </w:tabs>
        <w:numPr>
          <w:ilvl w:val="3"/>
          <w:numId w:val="17"/>
        </w:numPr>
        <w:rPr>
          <w:rFonts w:ascii="Arial" w:cs="Arial" w:eastAsia="Arial" w:hAnsi="Arial"/>
          <w:sz w:val="16"/>
          <w:szCs w:val="16"/>
          <w:color w:val="auto"/>
        </w:rPr>
      </w:pPr>
      <w:r>
        <w:rPr>
          <w:rFonts w:ascii="Arial" w:cs="Arial" w:eastAsia="Arial" w:hAnsi="Arial"/>
          <w:sz w:val="16"/>
          <w:szCs w:val="16"/>
          <w:color w:val="auto"/>
        </w:rPr>
        <w:t>The Deferral Election Form must be delivered no later than (and shall be irrevocable as of) the last business day of the calendar year prior to the year for which such Director Compensation is to be paid (the “</w:t>
      </w:r>
      <w:r>
        <w:rPr>
          <w:rFonts w:ascii="Arial" w:cs="Arial" w:eastAsia="Arial" w:hAnsi="Arial"/>
          <w:sz w:val="16"/>
          <w:szCs w:val="16"/>
          <w:u w:val="single" w:color="auto"/>
          <w:color w:val="auto"/>
        </w:rPr>
        <w:t>Service Year</w:t>
      </w:r>
      <w:r>
        <w:rPr>
          <w:rFonts w:ascii="Arial" w:cs="Arial" w:eastAsia="Arial" w:hAnsi="Arial"/>
          <w:sz w:val="16"/>
          <w:szCs w:val="16"/>
          <w:color w:val="auto"/>
        </w:rPr>
        <w:t>”) and will be effective with respect to Director Compensation earned for such Service Year, provided that an eligible Director who is initially elected to the Board may deliver the Deferral Election Form within 30 days of the date on which such Director becomes a Director, and such Deferral Election Form will be irrevocable as of the close of business on the date it is delivered and will be effective with respect to Director Compensation earned after the date it is delivered for the remainder of the Service Year in which such Director becomes a Director.</w:t>
      </w:r>
      <w:r>
        <w:rPr>
          <w:rFonts w:ascii="Arial" w:cs="Arial" w:eastAsia="Arial" w:hAnsi="Arial"/>
          <w:sz w:val="10"/>
          <w:szCs w:val="10"/>
          <w:color w:val="auto"/>
        </w:rPr>
        <w:t>1</w:t>
      </w:r>
    </w:p>
    <w:p>
      <w:pPr>
        <w:spacing w:after="0" w:line="81" w:lineRule="exact"/>
        <w:rPr>
          <w:rFonts w:ascii="Arial" w:cs="Arial" w:eastAsia="Arial" w:hAnsi="Arial"/>
          <w:sz w:val="16"/>
          <w:szCs w:val="16"/>
          <w:color w:val="auto"/>
        </w:rPr>
      </w:pPr>
    </w:p>
    <w:p>
      <w:pPr>
        <w:ind w:left="220" w:right="160" w:hanging="216"/>
        <w:spacing w:after="0" w:line="283" w:lineRule="auto"/>
        <w:rPr>
          <w:rFonts w:ascii="Arial" w:cs="Arial" w:eastAsia="Arial" w:hAnsi="Arial"/>
          <w:sz w:val="16"/>
          <w:szCs w:val="16"/>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Note: In order for Director Compensation for newly-elected Directors to be deferred under Section 409A, a Deferral Election Form must be submitted before such person begins service as a Director. If the Deferral Election Form is delivered after the commencement of service as a Director, all Director Compensation for the period before the form is delivered must be paid currently. Because the Director Compensation Policy generally provides for payments to be made up front in a lump sum, elections for first year deferrals generally will need to be made prior to commencement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ind w:left="-454" w:right="40" w:firstLine="921"/>
        <w:spacing w:after="0" w:line="256" w:lineRule="auto"/>
        <w:tabs>
          <w:tab w:leader="none" w:pos="708"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Plan, the “</w:t>
      </w:r>
      <w:r>
        <w:rPr>
          <w:rFonts w:ascii="Arial" w:cs="Arial" w:eastAsia="Arial" w:hAnsi="Arial"/>
          <w:sz w:val="18"/>
          <w:szCs w:val="18"/>
          <w:u w:val="single" w:color="auto"/>
          <w:color w:val="auto"/>
        </w:rPr>
        <w:t>Deferred Payment Date</w:t>
      </w:r>
      <w:r>
        <w:rPr>
          <w:rFonts w:ascii="Arial" w:cs="Arial" w:eastAsia="Arial" w:hAnsi="Arial"/>
          <w:sz w:val="18"/>
          <w:szCs w:val="18"/>
          <w:color w:val="auto"/>
        </w:rPr>
        <w:t>” means the earlier of (i) the Participant’s Separation from Service on the Board within the meaning of Treasury Regulation Section 1.409A-1(h)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or (ii) a Change in Control. For the avoidance of doubt, an event or transaction shall only constitute a Change in Control for purposes of this Plan if the event or transaction also constitutes a “change in control event,” as defined in Treasury Regulation §1.409A-3(i)(5).</w:t>
      </w:r>
    </w:p>
    <w:p>
      <w:pPr>
        <w:spacing w:after="0" w:line="143" w:lineRule="exact"/>
        <w:rPr>
          <w:rFonts w:ascii="Arial" w:cs="Arial" w:eastAsia="Arial" w:hAnsi="Arial"/>
          <w:sz w:val="18"/>
          <w:szCs w:val="18"/>
          <w:color w:val="auto"/>
        </w:rPr>
      </w:pPr>
    </w:p>
    <w:p>
      <w:pPr>
        <w:ind w:left="-454" w:firstLine="921"/>
        <w:spacing w:after="0" w:line="298" w:lineRule="auto"/>
        <w:tabs>
          <w:tab w:leader="none" w:pos="698"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Notwithstanding the foregoing, a Participant may revoke or modify a Deferral Election, subject to proof of an “unforeseeable emergency” (within the meaning of Treasury Regulation 1.409A-3(i)(3)), as determined by the Administrator, and any other limitations and restrictions as the Administrator may prescribe in its sole discretion, by delivering a revised Deferral Election Form, which must be approved by the Administrator. If a Participant is allowed to discontinue a deferral election during a calendar year, he or she will not be permitted to elect a new deferral until the next calendar year.</w:t>
      </w:r>
    </w:p>
    <w:p>
      <w:pPr>
        <w:spacing w:after="0" w:line="153" w:lineRule="exact"/>
        <w:rPr>
          <w:rFonts w:ascii="Arial" w:cs="Arial" w:eastAsia="Arial" w:hAnsi="Arial"/>
          <w:sz w:val="16"/>
          <w:szCs w:val="16"/>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Deferred Stock Accounts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54" w:right="120" w:firstLine="921"/>
        <w:spacing w:after="0" w:line="254" w:lineRule="auto"/>
        <w:tabs>
          <w:tab w:leader="none" w:pos="6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 Participant elects to receive Deferred Stock under Section 5 of the Plan, notional shares of Deferred Stock will be credited to a bookkeeping account in the Participant’s name as of the day the Director Compensation to which the Deferred Stock relates would have been paid. The number of notional shares of Deferred Stock credited to a Participant’s account will be as determined by the Director Compensation Policy and such notional shares of Deferred Stock may be subject to vesting and forfeiture as provided in the Director Compensation Policy. Each notional share in a Participant’s bookkeeping account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represent the right to receive one share of Common Stock, or an equivalent amount of cash, at such time as is provided in Section 7 below.</w:t>
      </w:r>
    </w:p>
    <w:p>
      <w:pPr>
        <w:spacing w:after="0" w:line="144" w:lineRule="exact"/>
        <w:rPr>
          <w:rFonts w:ascii="Arial" w:cs="Arial" w:eastAsia="Arial" w:hAnsi="Arial"/>
          <w:sz w:val="18"/>
          <w:szCs w:val="18"/>
          <w:color w:val="auto"/>
        </w:rPr>
      </w:pPr>
    </w:p>
    <w:p>
      <w:pPr>
        <w:ind w:left="-454" w:firstLine="921"/>
        <w:spacing w:after="0" w:line="253"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Participants shall be entitled to Dividend Equivalents with respect to each notional share in the Participant’s Deferred Stock account, such that a Participant’s account will be credited as of the last day of each calendar month with that number of additional notional shares of Deferred Stock equal to the amount of cash dividends paid by the Company during that month on the number of shares of Common Stock equivalent to the number of shares of Deferred Stock in the Participant’s account from time to time during such month divided by the Fair Market Value of one share of Common Stock on the last business day of such calendar month. Such Dividend Equivalents, which will likewise be credited with Dividend Equivalents, will be deferred until the Deferred Payment Date and shall be subject to the same vesting and forfeiture conditions, if any, as applied to the Deferred Stock in respect of which such Dividend Equivalents were credited.</w:t>
      </w:r>
    </w:p>
    <w:p>
      <w:pPr>
        <w:spacing w:after="0" w:line="147" w:lineRule="exact"/>
        <w:rPr>
          <w:rFonts w:ascii="Arial" w:cs="Arial" w:eastAsia="Arial" w:hAnsi="Arial"/>
          <w:sz w:val="18"/>
          <w:szCs w:val="18"/>
          <w:color w:val="auto"/>
        </w:rPr>
      </w:pPr>
    </w:p>
    <w:p>
      <w:pPr>
        <w:ind w:left="-454" w:right="240" w:firstLine="921"/>
        <w:spacing w:after="0" w:line="259" w:lineRule="auto"/>
        <w:tabs>
          <w:tab w:leader="none" w:pos="6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Subject to Section 7(c) of the Plan, Deferred Stock will be subject to a deferral period beginning on the date of crediting to the Participant’s account and ending upon the Deferred Payment Date. Unless otherwise provided by the Administrator, during such deferral period the Participant will have no rights as a Company stockholder with respect to his or her Deferred Stock.</w:t>
      </w:r>
    </w:p>
    <w:p>
      <w:pPr>
        <w:spacing w:after="0" w:line="180"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Delivery of Shares or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54" w:firstLine="921"/>
        <w:spacing w:after="0" w:line="256" w:lineRule="auto"/>
        <w:tabs>
          <w:tab w:leader="none" w:pos="6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Subject to Section 7(c) of the Plan, the number of vested shares in a Participant’s Deferred Stock account as of the Deferred Payment Date will be delivered on or as soon as practicable, but in no event more than 60 days after, the Deferred Payment Date. The Company will make delivery of certificates representing the shares of Common Stock which a Participant is entitled to receive in accordance with the terms of the Plan and the Director Compensation Policy.</w:t>
      </w:r>
    </w:p>
    <w:p>
      <w:pPr>
        <w:spacing w:after="0" w:line="143" w:lineRule="exact"/>
        <w:rPr>
          <w:rFonts w:ascii="Arial" w:cs="Arial" w:eastAsia="Arial" w:hAnsi="Arial"/>
          <w:sz w:val="18"/>
          <w:szCs w:val="18"/>
          <w:color w:val="auto"/>
        </w:rPr>
      </w:pPr>
    </w:p>
    <w:p>
      <w:pPr>
        <w:ind w:left="-454" w:right="280" w:firstLine="921"/>
        <w:spacing w:after="0" w:line="298" w:lineRule="auto"/>
        <w:tabs>
          <w:tab w:leader="none" w:pos="7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Section 7(a) above, at the Company’s option and discretion, in lieu of delivering Common Stock, the Company may pay the Participant an amount of cash (at the time set forth in Section 7(a)) equal to the Fair Market Value of one share of Common Stock as of the day prior to the applicable date of payment, multiplied by the number of notional shares in the Participant’s Deferred Stock account, or a portion thereof, as determined by the Administrator. Any portion of a Participant’s Deferred Stock account not settled in cash shall be settled as provided in Section 7(a).</w:t>
      </w:r>
    </w:p>
    <w:p>
      <w:pPr>
        <w:spacing w:after="0" w:line="112" w:lineRule="exact"/>
        <w:rPr>
          <w:rFonts w:ascii="Arial" w:cs="Arial" w:eastAsia="Arial" w:hAnsi="Arial"/>
          <w:sz w:val="16"/>
          <w:szCs w:val="16"/>
          <w:color w:val="auto"/>
        </w:rPr>
      </w:pPr>
    </w:p>
    <w:p>
      <w:pPr>
        <w:ind w:left="-454" w:right="40" w:firstLine="921"/>
        <w:spacing w:after="0" w:line="318" w:lineRule="auto"/>
        <w:tabs>
          <w:tab w:leader="none" w:pos="698" w:val="left"/>
        </w:tabs>
        <w:numPr>
          <w:ilvl w:val="1"/>
          <w:numId w:val="19"/>
        </w:numPr>
        <w:rPr>
          <w:rFonts w:ascii="Arial" w:cs="Arial" w:eastAsia="Arial" w:hAnsi="Arial"/>
          <w:sz w:val="15"/>
          <w:szCs w:val="15"/>
          <w:color w:val="auto"/>
        </w:rPr>
      </w:pPr>
      <w:r>
        <w:rPr>
          <w:rFonts w:ascii="Arial" w:cs="Arial" w:eastAsia="Arial" w:hAnsi="Arial"/>
          <w:sz w:val="15"/>
          <w:szCs w:val="15"/>
          <w:color w:val="auto"/>
        </w:rPr>
        <w:t>Notwithstanding anything to the contrary in this Plan, if at the time of a Director’s Separation from Service, such Director is a “specified employee” as defined in Section 409A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as reasonably determined by the Company in accordance with Section 409A of the Code, and the deferral of the commencement of any distributions otherwise payable hereunder as a result of such Separation from Service is necessary in order to prevent any accelerated or additional tax under Section 409A of the Code, then the Company will defer any such distributions hereunder (without any reduction in the amounts ultimately distributed or provided to the Director) until the date that is at least six months following the</w:t>
      </w:r>
    </w:p>
    <w:p>
      <w:pPr>
        <w:sectPr>
          <w:pgSz w:w="11900" w:h="16838" w:orient="portrait"/>
          <w:cols w:equalWidth="0" w:num="1">
            <w:col w:w="10946"/>
          </w:cols>
          <w:pgMar w:left="694" w:top="280" w:right="259" w:bottom="1440" w:gutter="0" w:footer="0" w:header="0"/>
        </w:sectPr>
      </w:pPr>
    </w:p>
    <w:bookmarkStart w:id="102" w:name="page103"/>
    <w:bookmarkEnd w:id="10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Separation from Service with the Company (or the earliest date permitted under Section 409A of the Code), whereupon the Company will distribute to the Director a lump-sum amount equal to the cumulative amounts that would have otherwise been previously distributed to the Director under this Plan during the period in which such distributions were deferred.</w:t>
      </w:r>
    </w:p>
    <w:p>
      <w:pPr>
        <w:spacing w:after="0" w:line="18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54" w:lineRule="auto"/>
        <w:tabs>
          <w:tab w:leader="none" w:pos="11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may at any time amend the Plan, provided that to the extent necessary and desirable to comply with any applicable law, regulation or stock exchange rule, the Company will obtain stockholder approval of any Plan amendment in such a manner and to such a degree as required. The Company may terminate the Plan at any time and, in connection with any such termination, may deliver to each Participant the shares of Common Stock credited to his account (or cash), subject to and in accordance with the requirements of Treasury Regulation Section 1.409A-3(j)(4)(ix) (or any successor provision thereto). An amendment or termination of the Plan will not adversely affect the right of a Participant to receive Common Stock issuable or cash payable at the effective date of the amendment or termination.</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Plan is intended to meet the requirements of Section 409A of the Code and will be interpreted and construed in accordance with</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409A of the Code and Department of Treasury Regulations and other interpretive guidance issued thereunder, including without limitation any such regulations or other guidance that may be issued after the effective date of this Plan. Notwithstanding any provision of the Plan or the Director Compensation Policy to the contrary, in the event that following the effective date of this Plan the Administrator determines that any provision of the Plan could otherwise cause any person to be subject to the penalty taxes imposed under Section 409A of the Code, the Administrator may adopt such amendments to the Plan or adopt other policies and procedures (including amendments, policies and procedures with retroactive effect), or take any other actions, that the Administrator determines are necessary or appropriate to comply with the requirements of Section 409A of the Code and related Department of Treasury guidance and thereby avoid the application of any penalty taxes under such Section.</w:t>
      </w:r>
    </w:p>
    <w:p>
      <w:pPr>
        <w:spacing w:after="0" w:line="16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921"/>
        <w:spacing w:after="0" w:line="268"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rights, benefits or interests a Participant may have under this Plan are not assignable or transferable and will not be subject in any manner to alienation, sale or any encumbrances, liens, levies, attachments, pledges or charges of the Participant or his or her creditors.</w:t>
      </w:r>
    </w:p>
    <w:p>
      <w:pPr>
        <w:spacing w:after="0" w:line="13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the extent that the application of any formula described in the Director Compensation Policy does not result in a whole number of shares of Common Stock, the result will be rounded down to the next whole number.</w:t>
      </w:r>
    </w:p>
    <w:p>
      <w:pPr>
        <w:spacing w:after="0" w:line="131" w:lineRule="exact"/>
        <w:rPr>
          <w:rFonts w:ascii="Arial" w:cs="Arial" w:eastAsia="Arial" w:hAnsi="Arial"/>
          <w:sz w:val="18"/>
          <w:szCs w:val="18"/>
          <w:color w:val="auto"/>
        </w:rPr>
      </w:pPr>
    </w:p>
    <w:p>
      <w:pPr>
        <w:ind w:right="60" w:firstLine="921"/>
        <w:spacing w:after="0" w:line="268"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Plan has been adopted under the Equity Plan and shall be subject to all of the terms and conditions of the Equity Plan (and/or such successor plan, as determined by the Administrator).</w:t>
      </w:r>
    </w:p>
    <w:p>
      <w:pPr>
        <w:spacing w:after="0" w:line="131" w:lineRule="exact"/>
        <w:rPr>
          <w:rFonts w:ascii="Arial" w:cs="Arial" w:eastAsia="Arial" w:hAnsi="Arial"/>
          <w:sz w:val="18"/>
          <w:szCs w:val="18"/>
          <w:color w:val="auto"/>
        </w:rPr>
      </w:pPr>
    </w:p>
    <w:p>
      <w:pPr>
        <w:ind w:right="560" w:firstLine="921"/>
        <w:spacing w:after="0" w:line="268" w:lineRule="auto"/>
        <w:tabs>
          <w:tab w:leader="none" w:pos="11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adoption and maintenance of this Plan will not be deemed to be a contract between the Company and a Participant to retain his or her position as a Director.</w:t>
      </w:r>
    </w:p>
    <w:p>
      <w:pPr>
        <w:spacing w:after="0" w:line="50"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400"/>
          </w:cols>
          <w:pgMar w:left="240" w:top="280"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STOCK OPTION AGREEMENT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Amendment (this “Amendment”) to that certain Stock Option Agreement (the “Agreement”) by and between Allison Transmission Holdings, Inc. (the “Company”) and the individual to whom this Amendment is delivered (the “Optionee”) is effective as of December 21, 2012. All Capitalized terms used in this Amendment but not defined herein shall have the meaning assigned to such terms in the Agreement.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previously granted the Optionee a stock option under the Company’s Equity Incentive Plan (the “Plan”) to purchase shares of the Company’s Common Stock (“Common Stock”) pursuant to the Agreement (the “Option”).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Option is subject to expiration provisions as set forth in the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Administrator has deemed it advisable and in the best interests of the Company to adjust such expiration terms of the Option as set forth herein;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Committee has the right to amend the Option without the consent of the Optionee under Section 3.5 of the Agreement, provided that the amendment does not materially alter or impair any rights or obligations under the Option;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Administrator has determined that this Amendment does not materially alter or impair any rights or obligations under the Option and desires to amend the Agreement as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Agreement is hereby amended as follows:</w:t>
      </w:r>
    </w:p>
    <w:p>
      <w:pPr>
        <w:spacing w:after="0" w:line="90"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The Amendment</w:t>
      </w:r>
      <w:r>
        <w:rPr>
          <w:rFonts w:ascii="Arial" w:cs="Arial" w:eastAsia="Arial" w:hAnsi="Arial"/>
          <w:sz w:val="18"/>
          <w:szCs w:val="18"/>
          <w:color w:val="auto"/>
        </w:rPr>
        <w:t>. Section 2.6(a) of the Agreement is deleted and replaced in its entirety with the following:</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The Option may not be exercised to any extent by anyone after the first to occur of the following events: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Final Expiration Date;</w:t>
      </w:r>
    </w:p>
    <w:p>
      <w:pPr>
        <w:spacing w:after="0" w:line="90" w:lineRule="exact"/>
        <w:rPr>
          <w:rFonts w:ascii="Arial" w:cs="Arial" w:eastAsia="Arial" w:hAnsi="Arial"/>
          <w:sz w:val="18"/>
          <w:szCs w:val="18"/>
          <w:color w:val="auto"/>
        </w:rPr>
      </w:pPr>
    </w:p>
    <w:p>
      <w:pPr>
        <w:ind w:left="460" w:right="140" w:firstLine="443"/>
        <w:spacing w:after="0" w:line="332" w:lineRule="auto"/>
        <w:tabs>
          <w:tab w:leader="none" w:pos="11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in the event of a Termination of Service for any reason other than Cause, death, Disability or Retirement ninety (90) days following the date of the Optionee’s Termination of Service;</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date of the Optionee’s Termination of Service for Cause;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for such longer period of time as the Administrator may otherwise approve, twelve (12) months following the Optionee’s Termination of Service by reason of the Optionee’s death or Disability; or</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thirty-six (36) months following the Optionee’s Retirement, where “</w:t>
      </w:r>
      <w:r>
        <w:rPr>
          <w:rFonts w:ascii="Arial" w:cs="Arial" w:eastAsia="Arial" w:hAnsi="Arial"/>
          <w:sz w:val="16"/>
          <w:szCs w:val="16"/>
          <w:u w:val="single" w:color="auto"/>
          <w:color w:val="auto"/>
        </w:rPr>
        <w:t>Retirement</w:t>
      </w:r>
      <w:r>
        <w:rPr>
          <w:rFonts w:ascii="Arial" w:cs="Arial" w:eastAsia="Arial" w:hAnsi="Arial"/>
          <w:sz w:val="16"/>
          <w:szCs w:val="16"/>
          <w:color w:val="auto"/>
        </w:rPr>
        <w:t>” means, for purposes of this Agreement, Optionee’s voluntary Termination of Service after attaining age 65.</w:t>
      </w:r>
    </w:p>
    <w:p>
      <w:pPr>
        <w:spacing w:after="0" w:line="85" w:lineRule="exact"/>
        <w:rPr>
          <w:rFonts w:ascii="Arial" w:cs="Arial" w:eastAsia="Arial" w:hAnsi="Arial"/>
          <w:sz w:val="16"/>
          <w:szCs w:val="16"/>
          <w:color w:val="auto"/>
        </w:rPr>
      </w:pPr>
    </w:p>
    <w:p>
      <w:pPr>
        <w:ind w:right="40" w:firstLine="464"/>
        <w:spacing w:after="0" w:line="268"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set forth in this Amendment, the Agreement shall remain unchanged and shall continue in full force and effect according to its terms.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the laws of the State of Delaware without reference to principles of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64"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DRIVING INTEGRITY WORLDWIDE</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i w:val="1"/>
          <w:iCs w:val="1"/>
          <w:color w:val="auto"/>
        </w:rPr>
        <w:t>Code of Business Conduct</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Adopted by the Board of Directors</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on March 14, 2012</w:t>
      </w:r>
    </w:p>
    <w:p>
      <w:pPr>
        <w:sectPr>
          <w:pgSz w:w="11900" w:h="16838" w:orient="portrait"/>
          <w:cols w:equalWidth="0" w:num="1">
            <w:col w:w="10220"/>
          </w:cols>
          <w:pgMar w:left="1440" w:top="125" w:right="239" w:bottom="1440" w:gutter="0" w:footer="0" w:header="0"/>
        </w:sectPr>
      </w:pPr>
    </w:p>
    <w:bookmarkStart w:id="105" w:name="page106"/>
    <w:bookmarkEnd w:id="10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of Business Conduct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Allison Code of Business Conduct (“Code”) entitled, “Driving Integrity Worldwide” is a central guide and reference for Allison employees in support of day-to-day decision making. It has been developed to clarify Allison’s mission, values and principles and linking them with standards of professional conduct. As a reference, it can be used to locate relevant documents, services and other resources related to ethics and compliance within Allison. The Code is also a tool to encourage discussions of ethics and help how Allison employees deal with ethical dilemmas, prejudices and gray areas that are encountered in everyday work. This Code was designed to complement relevant standards, policies and rules, not to substitute for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Provisions:</w:t>
      </w:r>
    </w:p>
    <w:p>
      <w:pPr>
        <w:spacing w:after="0" w:line="9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Respect and comply with all laws, rules, and regulations of the cities, states, and countries in which Allison operates.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Avoid situations which result in a conflict of interest and do not use or share insider information for trading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 not take advantage of business opportunities for personal gain that are discovered through the use of Allison property, information or position.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Outperform the competition but do it fairly and honestly.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contributions by Allison are prohibited without proper approval; political contributions by individuals are not prohibited.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discriminate or harass, promote a safe working workplace, and take care of the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Keep accurate business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 confidentiality of proprietary information entrusted to you by Allison.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Allison company assets properly and responsibly.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provide anything of value to anyone to obtain or retain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Respect and comply with ITAR, export control, and other international trade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Only the board of directors has the authority to waive any provision of the Code.</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unethical behavior or breach of law to leadership or via the Care Line. Allison’s commitment to reporting employees is that employees can make such reports without fear of retaliation.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improperly influence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Securities and Exchange Commission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Since employees cannot anticipate every situation that will arise, it is important that employees follow the Allison compliance procedures outlined in the Code.</w:t>
      </w:r>
    </w:p>
    <w:p>
      <w:pPr>
        <w:sectPr>
          <w:pgSz w:w="11900" w:h="16838" w:orient="portrait"/>
          <w:cols w:equalWidth="0" w:num="1">
            <w:col w:w="11320"/>
          </w:cols>
          <w:pgMar w:left="240" w:top="27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Allison Team Members: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a global business, our reputation is an extremely important asset. At Allison, we realize our reputation is based on everything that we do, and all of us have a shared responsibility to maintain the highest standard of integrity.</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reputation and our integrity determine how we are viewed by our most valued stakeholders — our workforce, customers, shareholders, business partners, government agencies and the communities where we live and work. They also shape the way we feel about ourselves and serve as a reminder of the commitment we’ve made to those who have entrusted us to conduct all of our business dealings at the highest level of integrity.</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also fully realize our reputation must go beyond the quality of our products and services. It must be built upon the conduct of each Allison employee and those who represent us — not only in words, but more importantly, in our deeds. Our Allison Business Code of Conduct – “Driving Integrity Worldwide” should be evident on a day-to-day basis in the way we perform our duties and how we interact with others. For Allison and its global operations, it clearly is the only acceptable way to do business.</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To make sure we’re conducting our business with integrity every day, each of us at Allison needs to be constantly aware of the situations that challenge us to exercise good judgment. If you are faced with an ethical dilemma it is important that you quickly raise this matter with your leadership, a member of Allison’s management team, our Chief Compliance Officer or via the Allison Care Line. It is of the utmost importance that we all ensure we are acting lawfully and responsibly. Each of us needs a clear understanding of Allison’s core values and the laws that are pertinent to the work we do and the decisions we make.</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Code of Conduct, you will find guidelines for employee conduct that reflect Allison’s core values. Of course, it is not possible to provide specific guidance for every situation an individual may encounter. Allison entrusts its employees to embrace its values and policies, carefully assessing each situation and seeking guidance from our leaders when you are unsure about the appropriate course of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doing your part to make sure Allison will continue to be viewed as a global symbol of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603375" cy="4629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ectPr>
          <w:pgSz w:w="11900" w:h="16838" w:orient="portrait"/>
          <w:cols w:equalWidth="0" w:num="1">
            <w:col w:w="11380"/>
          </w:cols>
          <w:pgMar w:left="240" w:top="415" w:right="27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DRIVING INTEGRITY WORLDWIDE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Code of Business Conduct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19"/>
                <w:szCs w:val="19"/>
                <w:color w:val="auto"/>
              </w:rPr>
            </w:pPr>
          </w:p>
        </w:tc>
      </w:tr>
      <w:tr>
        <w:trPr>
          <w:trHeight w:val="406"/>
        </w:trPr>
        <w:tc>
          <w:tcPr>
            <w:tcW w:w="8700" w:type="dxa"/>
            <w:vAlign w:val="bottom"/>
          </w:tcPr>
          <w:p>
            <w:pPr>
              <w:spacing w:after="0"/>
              <w:rPr>
                <w:sz w:val="20"/>
                <w:szCs w:val="20"/>
                <w:color w:val="auto"/>
              </w:rPr>
            </w:pPr>
            <w:r>
              <w:rPr>
                <w:rFonts w:ascii="Arial" w:cs="Arial" w:eastAsia="Arial" w:hAnsi="Arial"/>
                <w:sz w:val="18"/>
                <w:szCs w:val="18"/>
                <w:b w:val="1"/>
                <w:bCs w:val="1"/>
                <w:color w:val="auto"/>
              </w:rPr>
              <w:t>Introduction</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 COMPLIANCE WITH LAWS, RULES AND REGULATIONS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2. CONFLICTS OF INTEREST</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3. INSIDER TRADING</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4. CORPORATE OPPORTUNITIES</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5. COMPETITION AND FAIR DEALING</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6. POLITICAL CONTRIBUTIONS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7. DISCRIMINATION AND HARASSMENT</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8. HEALTH AND SAFETY</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9. ENVIRONMENTAL</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10. RECORD-KEEPING, FINANCIAL CONTROLS AND DISCLOSURES</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11. 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12. PROTECTION AND PROPER USE OF ALLISON ASSETS</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13. PAYMENTS TO GOVERNMENT PERSONNEL</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14. TRADE ISSUES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15. WAIVERS OF THE CODE</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16. REPORTING ANY ILLEGAL OR UNETHICAL BEHAVIOR</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17. IMPROPER INFLUENCE ON CONDUCT OF AUDITORS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18. FINANCIAL REPORTING</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19. COMPLIANCE PROCEDURES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20. ANNUAL ACKNOWLEDGEMENT</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320"/>
          </w:cols>
          <w:pgMar w:left="240" w:top="49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Introduction</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Allison Code of Business Conduct (the “Code”) sets out basic principles to guide all employees, directors, and officers of Allison Transmission, Inc., including all Allison affiliates, subsidiaries and majority-owned or controlled joint ventures (“Allison”). All of our employees and officers must conduct themselves accordingly and seek to avoid even the appearance of improper behavior. The Code should also be provided to and followed by Allison’s agents and representatives. In addition, a number of underlying Allison policies and procedures provide more detailed guidance on how to specifically comply with the principles set out in this Code and you need to know and follow those policies that apply to your Allison work.</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 law conflicts with a policy in this code, you must comply with the law. Alternatively, if a local custom or policy conflicts with this code, you must comply with the code. If you have any questions about these conflicts, you should ask your supervisor how to handle the situation, contact the Chief Compliance Officer, or follow the procedures set forth in Section 19 of the Code. Employees, directors and officers are responsible for understanding the legal and policy requirements that apply to their jobs and reporting any suspected violations of law, this code, or Allison policy.</w:t>
      </w:r>
    </w:p>
    <w:p>
      <w:pPr>
        <w:spacing w:after="0" w:line="11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Those who violate the standards in this code will be subject to disciplinary action, including possible dismissal. Furthermore, violations of this code may also be violations of the law and may result in civil or criminal penalties for you, your supervisors and/or Allison. If you are in a situation which you believe may violate or lead to a violation of this Code, follow the procedures set out in Section 19 of this Code.</w:t>
      </w:r>
    </w:p>
    <w:p>
      <w:pPr>
        <w:spacing w:after="0" w:line="25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RULES AND REGULATIONS</w:t>
      </w:r>
    </w:p>
    <w:p>
      <w:pPr>
        <w:spacing w:after="0" w:line="96"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Obeying the law, both in letter and in spirit, is the foundation on which Allison’s ethical standards are built. All employees, directors, and officers must respect and obey the laws, rules, and regulations of the cities, states, and countries in which we operate. Although employees, directors, and officers are not expected to know the details of each of these laws, rules and regulations, it is important to know enough to determine when to seek advice from supervisors, managers or other appropriate personnel.</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96"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 “conflict of interest” exists when a person’s private interest interferes in any way, or even appears to interfere, with the interests of Allison. A conflict situation can arise when an employee or officer takes actions or has interests that may make it difficult to perform his or her Allison work objectively and effectively. Conflicts of interest may also arise when an employee or officer (or a member of his or her family) receives improper personal benefits as a result of his or her position at Allison. Loans to, or guarantees of obligations to, employees, directors, and officers and their family members by Allison may create conflicts of interest and in certain instances are prohibited by law.</w:t>
      </w:r>
    </w:p>
    <w:p>
      <w:pPr>
        <w:spacing w:after="0" w:line="115"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It is a conflict of interest for an Allison employee, director or officer to work for a competitor, customer or supplier. You should avoid any direct or indirect business connection with our customers, suppliers or competitors; except as required on our behalf.</w:t>
      </w:r>
    </w:p>
    <w:p>
      <w:pPr>
        <w:spacing w:after="0" w:line="131"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Conflicts of interest are prohibited as a matter of Allison policy, except as approved by the board of directors. Conflicts of interest may not always be clear-cut, so if you have a question, you should consult with your supervisor or follow the procedures set out in Section 19. Any employee or officer who becomes aware of a conflict or potential conflict should bring it to the attention of a supervisor, manager, or other appropriate personnel or consult the procedures provided in Section 19 of this Code.</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All non-public information about Allison should be considered confidential information. Employees, directors, and officers who have access to confidential information about Allison are not permitted to use or share that information for trading purposes in Allison securities or for any other purpose except for the conduct of Allison’s business. To use non-public information for personal financial benefit or to “tip” others who might make an investment decision on the basis of this information is not only unethical, but also illegal. If you have any questions, please consult Allison’s Insider Trading Policy.</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OPPORTUNITIES</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Employees, directors and officers are prohibited from taking opportunities that are discovered through the use of corporate property, information or position for themselves without the consent of the board of directors. No employee, director, or officer may use corporate property, information or position for personal gain and no employee, director, or officer may compete with Allison directly or indirectly. Employees and officers owe a duty to Allison to advance Allison’s interests when the opportunity to do so arises.</w:t>
      </w:r>
    </w:p>
    <w:p>
      <w:pPr>
        <w:sectPr>
          <w:pgSz w:w="11900" w:h="16838" w:orient="portrait"/>
          <w:cols w:equalWidth="0" w:num="1">
            <w:col w:w="11420"/>
          </w:cols>
          <w:pgMar w:left="240" w:top="409" w:right="239" w:bottom="1440" w:gutter="0" w:footer="0" w:header="0"/>
        </w:sectPr>
      </w:pPr>
    </w:p>
    <w:bookmarkStart w:id="109" w:name="page110"/>
    <w:bookmarkEnd w:id="109"/>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COMPETITION AND FAIR DEALING</w:t>
      </w:r>
    </w:p>
    <w:p>
      <w:pPr>
        <w:spacing w:after="0" w:line="96" w:lineRule="exact"/>
        <w:rPr>
          <w:rFonts w:ascii="Arial" w:cs="Arial" w:eastAsia="Arial" w:hAnsi="Arial"/>
          <w:sz w:val="18"/>
          <w:szCs w:val="18"/>
          <w:b w:val="1"/>
          <w:bCs w:val="1"/>
          <w:color w:val="auto"/>
        </w:rPr>
      </w:pPr>
    </w:p>
    <w:p>
      <w:pPr>
        <w:ind w:left="452"/>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We seek to outperform our competition fairly and honestly. We seek competitive advantages through superior performance and quality, but never through unethical or illegal business practices. Stealing proprietary information, possessing trade secret information that was obtained without the owner’s consent, or inducing such disclosures by past or present employees of other companies is prohibited. Each employee, director, and officer should endeavor to respect the rights of and deal fairly with Allison’s customers, suppliers, competitors and employees. No employee, director, or officer should take unfair advantage of anyone through manipulation, concealment, abuse of privileged information, misrepresentation of material facts, or any other illegal trade practice.</w:t>
      </w:r>
    </w:p>
    <w:p>
      <w:pPr>
        <w:spacing w:after="0" w:line="18"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No employee, director, or officer is permitted to engage in price fixing, bid rigging, allocation of markets or customers, or similar illegal activities.</w:t>
      </w:r>
    </w:p>
    <w:p>
      <w:pPr>
        <w:spacing w:after="0" w:line="113"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To maintain Allison’s valuable reputation, compliance with our quality processes and safety requirements is essential. All inspection and testing documents must be handled in accordance with all applicable specifications and requirements.</w:t>
      </w:r>
    </w:p>
    <w:p>
      <w:pPr>
        <w:spacing w:after="0" w:line="50" w:lineRule="exact"/>
        <w:rPr>
          <w:rFonts w:ascii="Arial" w:cs="Arial" w:eastAsia="Arial" w:hAnsi="Arial"/>
          <w:sz w:val="18"/>
          <w:szCs w:val="18"/>
          <w:b w:val="1"/>
          <w:bCs w:val="1"/>
          <w:color w:val="auto"/>
        </w:rPr>
      </w:pPr>
    </w:p>
    <w:p>
      <w:pPr>
        <w:ind w:left="452" w:right="4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purpose of business entertainment and gifts in a commercial setting is to create goodwill and sound working relationships, not to gain unfair advantage with customers. You cannot buy the business. No gift or entertainment should ever be offered, given, provided or accepted by any Allison employee, director or officer, family member of an employee or officer, or agent unless it: (1) is not a cash gift, (2) is consistent with customary business practices,</w:t>
      </w:r>
    </w:p>
    <w:p>
      <w:pPr>
        <w:spacing w:after="0" w:line="1"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 is reasonable in value, (4) cannot be construed as a bribe or payoff and (5) does not violate any laws, regulations or applicable policies of the other party’s organization, (6) does not violate any Allison policies on gifts and entertainment. Please discuss with your supervisor any gifts or proposed gifts that you are not certain are appropriate.</w:t>
      </w:r>
    </w:p>
    <w:p>
      <w:pPr>
        <w:spacing w:after="0" w:line="259"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POLITICAL CONTRIBUTIONS</w:t>
      </w:r>
    </w:p>
    <w:p>
      <w:pPr>
        <w:spacing w:after="0" w:line="96"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approved in advance by the general counsel, Allison prohibits political contributions (directly or through trade associations) by Allison. This includes: (a) any contributions of Allison funds or other assets for political purposes; (b) encouraging individual employees to make any such contribution; or (c) reimbursing an employee for any contribution.</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Individual employees are free to make personal political contributions as they see fit.</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DISCRIMINATION AND HARASSMENT</w:t>
      </w:r>
    </w:p>
    <w:p>
      <w:pPr>
        <w:spacing w:after="0" w:line="96" w:lineRule="exact"/>
        <w:rPr>
          <w:rFonts w:ascii="Arial" w:cs="Arial" w:eastAsia="Arial" w:hAnsi="Arial"/>
          <w:sz w:val="18"/>
          <w:szCs w:val="18"/>
          <w:b w:val="1"/>
          <w:bCs w:val="1"/>
          <w:color w:val="auto"/>
        </w:rPr>
      </w:pP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diversity of Allison’s employees is a tremendous asset. We are firmly committed to providing equal opportunity in all aspects of employment and will not tolerate any illegal discrimination or harassment based on race, color, religion, sex, national origin or any other protected class. For further information, consult the appropriate Allison policy.</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HEALTH AND SAFETY</w:t>
      </w:r>
    </w:p>
    <w:p>
      <w:pPr>
        <w:spacing w:after="0" w:line="96" w:lineRule="exact"/>
        <w:rPr>
          <w:rFonts w:ascii="Arial" w:cs="Arial" w:eastAsia="Arial" w:hAnsi="Arial"/>
          <w:sz w:val="18"/>
          <w:szCs w:val="18"/>
          <w:b w:val="1"/>
          <w:bCs w:val="1"/>
          <w:color w:val="auto"/>
        </w:rPr>
      </w:pPr>
    </w:p>
    <w:p>
      <w:pPr>
        <w:ind w:left="452"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Allison strives to provide each employee, director, and officer with a safe and healthy work environment. Each employee, director and officer has the responsibility for maintaining a safe and healthy workplace for all employees, directors, and officers by following environmental, safety, and health rules and practices and by reporting accidents, injuries and unsafe equipment, practices or conditions. Violence and threatening behavior are not permitted.</w:t>
      </w:r>
    </w:p>
    <w:p>
      <w:pPr>
        <w:spacing w:after="0" w:line="25" w:lineRule="exact"/>
        <w:rPr>
          <w:rFonts w:ascii="Arial" w:cs="Arial" w:eastAsia="Arial" w:hAnsi="Arial"/>
          <w:sz w:val="18"/>
          <w:szCs w:val="18"/>
          <w:b w:val="1"/>
          <w:bCs w:val="1"/>
          <w:color w:val="auto"/>
        </w:rPr>
      </w:pPr>
    </w:p>
    <w:p>
      <w:pPr>
        <w:ind w:left="452"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Employees, directors, and officers are expected to perform their Allison related work in a safe manner, free of the influences of alcohol, illegal drugs or controlled substances. The use of illegal drugs in the workplace will not be tolerated.</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w:t>
      </w:r>
    </w:p>
    <w:p>
      <w:pPr>
        <w:spacing w:after="0" w:line="96" w:lineRule="exact"/>
        <w:rPr>
          <w:rFonts w:ascii="Arial" w:cs="Arial" w:eastAsia="Arial" w:hAnsi="Arial"/>
          <w:sz w:val="18"/>
          <w:szCs w:val="18"/>
          <w:b w:val="1"/>
          <w:bCs w:val="1"/>
          <w:color w:val="auto"/>
        </w:rPr>
      </w:pPr>
    </w:p>
    <w:p>
      <w:pPr>
        <w:ind w:left="452" w:right="7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Allison expects its employees, directors, and officers to follow all applicable environmental laws and regulations. If you are uncertain about your responsibility or obligation, you should check with your supervisor, unit manager or the appropriate Allison policy for guidance.</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RECORD-KEEPING, FINANCIAL CONTROLS AND DISCLOSURES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Allison requires honest, accurate and timely recording and reporting of information in order to make responsible business decisions.</w:t>
      </w:r>
    </w:p>
    <w:p>
      <w:pPr>
        <w:spacing w:after="0" w:line="90"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All business expense accounts must be documented and recorded accurately in a timely manner. If you are not sure whether a certain expense is legitimate, ask your controller. Policy guidelines are available from your controller.</w:t>
      </w:r>
    </w:p>
    <w:p>
      <w:pPr>
        <w:sectPr>
          <w:pgSz w:w="11900" w:h="16838" w:orient="portrait"/>
          <w:cols w:equalWidth="0" w:num="1">
            <w:col w:w="11412"/>
          </w:cols>
          <w:pgMar w:left="248" w:top="274" w:right="2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All of Allison’s books, records, accounts and financial statements must be maintained in reasonable detail; must appropriately reflect Allison’s transactions; must be promptly disclosed in accordance with any applicable laws or regulations; and must conform both to applicable legal requirements and to Allison’s system of internal controls.</w:t>
      </w:r>
    </w:p>
    <w:p>
      <w:pPr>
        <w:spacing w:after="0" w:line="5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Business records and communications often become public and we should avoid exaggeration, derogatory remarks, guesswork or inappropriate characterizations of people and companies that may be misunderstood. This applies equally to e-mail, internal memos and formal reports. Records should always be retained or destroyed according to Allison’s record retention policies. In accordance with those policies, in the event of litigation or governmental investigation, please consult the appropriate Allison policy.</w:t>
      </w:r>
    </w:p>
    <w:p>
      <w:pPr>
        <w:sectPr>
          <w:pgSz w:w="11900" w:h="16838" w:orient="portrait"/>
          <w:cols w:equalWidth="0" w:num="1">
            <w:col w:w="10960"/>
          </w:cols>
          <w:pgMar w:left="700" w:top="131" w:right="239" w:bottom="1440" w:gutter="0" w:footer="0" w:header="0"/>
        </w:sectPr>
      </w:pPr>
    </w:p>
    <w:bookmarkStart w:id="111" w:name="page112"/>
    <w:bookmarkEnd w:id="111"/>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96" w:lineRule="exact"/>
        <w:rPr>
          <w:rFonts w:ascii="Arial" w:cs="Arial" w:eastAsia="Arial" w:hAnsi="Arial"/>
          <w:sz w:val="18"/>
          <w:szCs w:val="18"/>
          <w:b w:val="1"/>
          <w:bCs w:val="1"/>
          <w:color w:val="auto"/>
        </w:rPr>
      </w:pPr>
    </w:p>
    <w:p>
      <w:pPr>
        <w:ind w:left="452"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Employees, directors, and officers must maintain the confidentiality of proprietary information entrusted to them by Allison or its customers or suppliers, except when disclosure is authorized in writing by the appropriate Allison official or required by laws or regulations. Proprietary information includes all non-public information that might be of use to competitors or harmful to Allison or its customers or suppliers if disclosed. It includes information that suppliers and customers have entrusted to us. The obligation to preserve proprietary information continues even after employment ends.</w:t>
      </w:r>
    </w:p>
    <w:p>
      <w:pPr>
        <w:spacing w:after="0" w:line="228"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AND PROPER USE OF ALLISON ASSETS</w:t>
      </w:r>
    </w:p>
    <w:p>
      <w:pPr>
        <w:spacing w:after="0" w:line="96" w:lineRule="exact"/>
        <w:rPr>
          <w:rFonts w:ascii="Arial" w:cs="Arial" w:eastAsia="Arial" w:hAnsi="Arial"/>
          <w:sz w:val="18"/>
          <w:szCs w:val="18"/>
          <w:b w:val="1"/>
          <w:bCs w:val="1"/>
          <w:color w:val="auto"/>
        </w:rPr>
      </w:pPr>
    </w:p>
    <w:p>
      <w:pPr>
        <w:ind w:left="45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employees, directors, and officers should protect Allison’s assets and ensure their efficient use. Theft, carelessness and waste have a direct impact on Allison’s profitability. All Allison assets are to be used for legitimate Allison purposes. Any suspected incident of fraud or theft should be immediately reported for investigation. Allison assets should not be used for non-Allison business.</w:t>
      </w:r>
    </w:p>
    <w:p>
      <w:pPr>
        <w:spacing w:after="0" w:line="59" w:lineRule="exact"/>
        <w:rPr>
          <w:rFonts w:ascii="Arial" w:cs="Arial" w:eastAsia="Arial" w:hAnsi="Arial"/>
          <w:sz w:val="18"/>
          <w:szCs w:val="18"/>
          <w:b w:val="1"/>
          <w:bCs w:val="1"/>
          <w:color w:val="auto"/>
        </w:rPr>
      </w:pPr>
    </w:p>
    <w:p>
      <w:pPr>
        <w:ind w:left="452"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obligation of employees, directors, and officers to protect Allison’s assets includes the Allison’s proprietary information. Proprietary information includes intellectual property such as trade secrets, patents, trademarks and copyrights, as well as business, marketing and service plans, engineering and manufacturing ideas, designs, databases, records, salary information, and any unpublished financial data and reports. Unauthorized use or distribution of this information is a violation of Allison policy. It could also be illegal and result in civil or criminal penalties.</w:t>
      </w:r>
    </w:p>
    <w:p>
      <w:pPr>
        <w:spacing w:after="0" w:line="228"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CORRUPTION AND PAYMENTS TO GOVERNMENT PERSONNEL</w:t>
      </w:r>
    </w:p>
    <w:p>
      <w:pPr>
        <w:spacing w:after="0" w:line="96" w:lineRule="exact"/>
        <w:rPr>
          <w:rFonts w:ascii="Arial" w:cs="Arial" w:eastAsia="Arial" w:hAnsi="Arial"/>
          <w:sz w:val="18"/>
          <w:szCs w:val="18"/>
          <w:b w:val="1"/>
          <w:bCs w:val="1"/>
          <w:color w:val="auto"/>
        </w:rPr>
      </w:pPr>
    </w:p>
    <w:p>
      <w:pPr>
        <w:ind w:left="452"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U.S. Foreign Corrupt Practices Act (FCPA) prohibits giving anything of value (directly or indirectly) to officials of foreign governments or foreign political candidates in order to obtain or retain business. Allison’s Anticorruption Policy goes further, and prohibits such payments to anyone, anywhere. While the FCPA does, in certain limited circumstances, allow nominal “facilitating payments” to be made, any such payment is strictly prohibited by the Allison Anticorruption Policy.</w:t>
      </w:r>
    </w:p>
    <w:p>
      <w:pPr>
        <w:spacing w:after="0" w:line="62" w:lineRule="exact"/>
        <w:rPr>
          <w:rFonts w:ascii="Arial" w:cs="Arial" w:eastAsia="Arial" w:hAnsi="Arial"/>
          <w:sz w:val="18"/>
          <w:szCs w:val="18"/>
          <w:b w:val="1"/>
          <w:bCs w:val="1"/>
          <w:color w:val="auto"/>
        </w:rPr>
      </w:pPr>
    </w:p>
    <w:p>
      <w:pPr>
        <w:ind w:left="452"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addition, the U.S. government has a number of laws and regulations regarding business gratuities, which may be accepted by U.S. government personnel. The promise, offer or delivery to an official or employee of the U.S. government of a gift, favor or other gratuity in violation of these rules would not only violate Allison policy but will also commit a civil or criminal offense. State and local governments, as well as foreign governments, often have similar rules. It is critically important that you are familiar with Allison’s Anticorruption Policy, Allison’s policies on gifts, travel and entertainment and the laws on these topics wherever you are doing business.</w:t>
      </w:r>
    </w:p>
    <w:p>
      <w:pPr>
        <w:spacing w:after="0" w:line="231"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TRADE ISSUES</w:t>
      </w:r>
    </w:p>
    <w:p>
      <w:pPr>
        <w:spacing w:after="0" w:line="96" w:lineRule="exact"/>
        <w:rPr>
          <w:rFonts w:ascii="Arial" w:cs="Arial" w:eastAsia="Arial" w:hAnsi="Arial"/>
          <w:sz w:val="18"/>
          <w:szCs w:val="18"/>
          <w:b w:val="1"/>
          <w:bCs w:val="1"/>
          <w:color w:val="auto"/>
        </w:rPr>
      </w:pPr>
    </w:p>
    <w:p>
      <w:pPr>
        <w:ind w:left="452" w:right="3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From time to time, the United States, foreign governments, and the United Nations have imposed boycotts and trading sanctions against various governments and regions, which must be obeyed. Advice regarding the current status of these matters must be obtained from the export control officer.</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WAIVERS OF THE CODE</w:t>
      </w:r>
    </w:p>
    <w:p>
      <w:pPr>
        <w:spacing w:after="0" w:line="96" w:lineRule="exact"/>
        <w:rPr>
          <w:rFonts w:ascii="Arial" w:cs="Arial" w:eastAsia="Arial" w:hAnsi="Arial"/>
          <w:sz w:val="18"/>
          <w:szCs w:val="18"/>
          <w:b w:val="1"/>
          <w:bCs w:val="1"/>
          <w:color w:val="auto"/>
        </w:rPr>
      </w:pPr>
    </w:p>
    <w:p>
      <w:pPr>
        <w:ind w:left="452"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Any waiver of this Code for executive officers or directors may be made only by the board of directors and will be promptly disclosed as required by law or regulation.</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ANY ILLEGAL OR UNETHICAL BEHAVIOR</w:t>
      </w:r>
    </w:p>
    <w:p>
      <w:pPr>
        <w:spacing w:after="0" w:line="96" w:lineRule="exact"/>
        <w:rPr>
          <w:rFonts w:ascii="Arial" w:cs="Arial" w:eastAsia="Arial" w:hAnsi="Arial"/>
          <w:sz w:val="18"/>
          <w:szCs w:val="18"/>
          <w:b w:val="1"/>
          <w:bCs w:val="1"/>
          <w:color w:val="auto"/>
        </w:rPr>
      </w:pPr>
    </w:p>
    <w:p>
      <w:pPr>
        <w:ind w:left="452" w:right="2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Employees are encouraged to talk to supervisors, managers or other appropriate personnel about observed behavior that they believe may be illegal or a violation of this Code or Allison policy or when in doubt about the best course of action in a particular situation. It is the policy of Allison not to allow retaliation for reports made in good faith by employees of misconduct by others. Employees are expected to cooperate in internal investigations of misconduct.</w:t>
      </w:r>
    </w:p>
    <w:p>
      <w:pPr>
        <w:spacing w:after="0" w:line="258" w:lineRule="exact"/>
        <w:rPr>
          <w:rFonts w:ascii="Arial" w:cs="Arial" w:eastAsia="Arial" w:hAnsi="Arial"/>
          <w:sz w:val="18"/>
          <w:szCs w:val="18"/>
          <w:b w:val="1"/>
          <w:bCs w:val="1"/>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IMPROPER INFLUENCE ON CONDUCT OF AUDITORS</w:t>
      </w:r>
    </w:p>
    <w:p>
      <w:pPr>
        <w:spacing w:after="0" w:line="96"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It is prohibited to directly or indirectly take any action to coerce, manipulate, mislead or fraudulently influence Allison’s independent auditors for the purpose of rendering the financial statements of Allison materially misleading. Prohibited actions include, but are not limited to, those actions taken to coerce, manipulate, mislead or fraudulently influence an auditor: (1) to issue or reissue a report on Allison’s financial statements that is not warranted in the circumstances (due to material violations of generally accepted accounting principles, generally accepted auditing standards, or other professional or regulatory standards); (2) not to perform an audit, review or other procedures required by generally accepted auditing standards or other professional standards; (3) not to withdraw an issued report; or (4) not to communicate matters to Allison’s audit committee.</w:t>
      </w:r>
    </w:p>
    <w:p>
      <w:pPr>
        <w:sectPr>
          <w:pgSz w:w="11900" w:h="16838" w:orient="portrait"/>
          <w:cols w:equalWidth="0" w:num="1">
            <w:col w:w="11392"/>
          </w:cols>
          <w:pgMar w:left="248" w:top="274" w:right="259" w:bottom="1440" w:gutter="0" w:footer="0" w:header="0"/>
        </w:sectPr>
      </w:pPr>
    </w:p>
    <w:bookmarkStart w:id="112" w:name="page113"/>
    <w:bookmarkEnd w:id="112"/>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REPORTING</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public company, it is necessary that Allison’s filings with the U.S. Securities and Exchange Commission be accurate and timely. Allison expects employees, directors and officers to take this responsibility very seriously and provide prompt and accurate answers to inquiries related to Allison’s public disclosure requirements</w:t>
      </w:r>
    </w:p>
    <w:p>
      <w:pPr>
        <w:spacing w:after="0" w:line="59"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Allison’s policy is to comply with all financial reporting and accounting regulations applicable to Allison. If any employee or officer has concerns or complaints regarding accounting or auditing matters of Allison, then he or she is encouraged to submit those concerns by one of the methods described in Section 19.</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PROCEDURES</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must all work to ensure prompt and consistent action against violations of this Code. However, in some situations it is difficult to know right from wrong. Since we cannot anticipate every situation that will arise, it is important that we have a way to approach a new question or problem. These are the steps to keep in mind:</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Make sure you have all the facts. In order to reach the right solutions, we must be as fully informed as possible.</w:t>
      </w:r>
    </w:p>
    <w:p>
      <w:pPr>
        <w:spacing w:after="0" w:line="90" w:lineRule="exact"/>
        <w:rPr>
          <w:rFonts w:ascii="Arial" w:cs="Arial" w:eastAsia="Arial" w:hAnsi="Arial"/>
          <w:sz w:val="18"/>
          <w:szCs w:val="18"/>
          <w:color w:val="auto"/>
        </w:rPr>
      </w:pPr>
    </w:p>
    <w:p>
      <w:pPr>
        <w:ind w:left="900" w:right="60" w:hanging="446"/>
        <w:spacing w:after="0" w:line="357" w:lineRule="auto"/>
        <w:tabs>
          <w:tab w:leader="none" w:pos="9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Ask yourself: What specifically am I being asked to do? Does it seem unethical or improper? This will enable you to focus on the specific question you are faced with and the alternatives you have. Use your judgment and common sense; if something seems unethical or improper, it probably is.</w:t>
      </w:r>
    </w:p>
    <w:p>
      <w:pPr>
        <w:jc w:val="both"/>
        <w:ind w:left="900" w:right="80" w:hanging="446"/>
        <w:spacing w:after="0" w:line="306"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Discuss the problem with your supervisor. This is the basic guidance for all situations. In many cases, your supervisor will be more knowledgeable about the question and will appreciate being brought into the decision-making process. Remember that it is your supervisor’s responsibility to help solve problems. If you are uncomfortable discussing the problem with your supervisor, you can talk to anyone in management at Allison.</w:t>
      </w:r>
    </w:p>
    <w:p>
      <w:pPr>
        <w:spacing w:after="0" w:line="25" w:lineRule="exact"/>
        <w:rPr>
          <w:rFonts w:ascii="Arial" w:cs="Arial" w:eastAsia="Arial" w:hAnsi="Arial"/>
          <w:sz w:val="16"/>
          <w:szCs w:val="16"/>
          <w:color w:val="auto"/>
        </w:rPr>
      </w:pPr>
    </w:p>
    <w:p>
      <w:pPr>
        <w:ind w:left="900" w:right="120" w:hanging="446"/>
        <w:spacing w:after="0" w:line="33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Seek help from Allison resources. In a case where it may not be appropriate to discuss an issue with your supervisor or local management, call the Allison Care Line, the Chief Compliance Officer, General Counsel or the Audit Committee of the board of directors.</w:t>
      </w:r>
    </w:p>
    <w:p>
      <w:pPr>
        <w:spacing w:after="0" w:line="4" w:lineRule="exact"/>
        <w:rPr>
          <w:sz w:val="20"/>
          <w:szCs w:val="20"/>
          <w:color w:val="auto"/>
        </w:rPr>
      </w:pPr>
    </w:p>
    <w:p>
      <w:pPr>
        <w:ind w:left="920" w:right="260"/>
        <w:spacing w:after="0" w:line="332" w:lineRule="auto"/>
        <w:rPr>
          <w:sz w:val="20"/>
          <w:szCs w:val="20"/>
          <w:color w:val="auto"/>
        </w:rPr>
      </w:pPr>
      <w:r>
        <w:rPr>
          <w:rFonts w:ascii="Arial" w:cs="Arial" w:eastAsia="Arial" w:hAnsi="Arial"/>
          <w:sz w:val="16"/>
          <w:szCs w:val="16"/>
          <w:color w:val="auto"/>
        </w:rPr>
        <w:t>Anonymous reports can be made via email to aticare@wackenhut.g4s.com, through the internet to http://aticare.safe2say.info/, or for calls originating in the United States or Canada 1-866-296-8176; for calls originating from foreign countries please check your local Allison intranet.</w:t>
      </w:r>
    </w:p>
    <w:p>
      <w:pPr>
        <w:spacing w:after="0" w:line="4" w:lineRule="exact"/>
        <w:rPr>
          <w:sz w:val="20"/>
          <w:szCs w:val="20"/>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may report violations in confidence and without fear of retaliation. Allison does not permit retaliation of any kind against employees or officers for good faith reports of suspected violations.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Always ask first, act later: If you are unsure of what to do in any situation, seek guidance before you act.</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employees, directors, and officers are subject to Allison’s Code, which describes procedures for the internal reporting of violations of the Code. All employees and officers must comply with those reporting requirements and promote compliance with them by others. Failure to adhere to this Code by any employee, director, or officer will result in disciplinary action up to and including termination.</w:t>
      </w:r>
    </w:p>
    <w:p>
      <w:pPr>
        <w:spacing w:after="0" w:line="2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ANNUAL ACKNOWLEDGEMENT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help ensure compliance with this Code, Allison requires that all employees, directors, and officers review the Code and acknowledge their understanding and adherence in writing on an annual basis.</w:t>
      </w:r>
    </w:p>
    <w:p>
      <w:pPr>
        <w:sectPr>
          <w:pgSz w:w="11900" w:h="16838" w:orient="portrait"/>
          <w:cols w:equalWidth="0" w:num="1">
            <w:col w:w="11300"/>
          </w:cols>
          <w:pgMar w:left="240" w:top="274"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20" w:type="dxa"/>
            <w:vAlign w:val="bottom"/>
          </w:tcPr>
          <w:p>
            <w:pPr>
              <w:ind w:left="920"/>
              <w:spacing w:after="0"/>
              <w:rPr>
                <w:sz w:val="20"/>
                <w:szCs w:val="20"/>
                <w:color w:val="auto"/>
              </w:rPr>
            </w:pPr>
            <w:r>
              <w:rPr>
                <w:rFonts w:ascii="Arial" w:cs="Arial" w:eastAsia="Arial" w:hAnsi="Arial"/>
                <w:sz w:val="18"/>
                <w:szCs w:val="18"/>
                <w:b w:val="1"/>
                <w:bCs w:val="1"/>
                <w:color w:val="auto"/>
                <w:w w:val="87"/>
              </w:rPr>
              <w:t>Exhibit 21.1</w:t>
            </w:r>
          </w:p>
        </w:tc>
      </w:tr>
      <w:tr>
        <w:trPr>
          <w:trHeight w:val="378"/>
        </w:trPr>
        <w:tc>
          <w:tcPr>
            <w:tcW w:w="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460" w:type="dxa"/>
            <w:vAlign w:val="bottom"/>
            <w:gridSpan w:val="2"/>
          </w:tcPr>
          <w:p>
            <w:pPr>
              <w:ind w:left="40"/>
              <w:spacing w:after="0"/>
              <w:rPr>
                <w:sz w:val="20"/>
                <w:szCs w:val="20"/>
                <w:color w:val="auto"/>
              </w:rPr>
            </w:pPr>
            <w:r>
              <w:rPr>
                <w:rFonts w:ascii="Arial" w:cs="Arial" w:eastAsia="Arial" w:hAnsi="Arial"/>
                <w:sz w:val="18"/>
                <w:szCs w:val="18"/>
                <w:b w:val="1"/>
                <w:bCs w:val="1"/>
                <w:color w:val="auto"/>
              </w:rPr>
              <w:t>List of Subsidiaries</w:t>
            </w:r>
          </w:p>
        </w:tc>
      </w:tr>
      <w:tr>
        <w:trPr>
          <w:trHeight w:val="340"/>
        </w:trPr>
        <w:tc>
          <w:tcPr>
            <w:tcW w:w="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State or Country of</w:t>
            </w:r>
          </w:p>
        </w:tc>
      </w:tr>
      <w:tr>
        <w:trPr>
          <w:trHeight w:val="168"/>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46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Organization</w:t>
            </w:r>
          </w:p>
        </w:tc>
      </w:tr>
      <w:tr>
        <w:trPr>
          <w:trHeight w:val="309"/>
        </w:trPr>
        <w:tc>
          <w:tcPr>
            <w:tcW w:w="4960" w:type="dxa"/>
            <w:vAlign w:val="bottom"/>
            <w:gridSpan w:val="2"/>
          </w:tcPr>
          <w:p>
            <w:pPr>
              <w:spacing w:after="0"/>
              <w:rPr>
                <w:sz w:val="20"/>
                <w:szCs w:val="20"/>
                <w:color w:val="auto"/>
              </w:rPr>
            </w:pPr>
            <w:r>
              <w:rPr>
                <w:rFonts w:ascii="Arial" w:cs="Arial" w:eastAsia="Arial" w:hAnsi="Arial"/>
                <w:sz w:val="18"/>
                <w:szCs w:val="18"/>
                <w:color w:val="auto"/>
                <w:w w:val="88"/>
              </w:rPr>
              <w:t>Allison Brasil Indústria e Comércio de Sistemas de Transmissão Ltda.</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(Shanghai) Co., Ltd.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w w:val="97"/>
              </w:rPr>
              <w:t>Allison Transmission (Shanghai) Co., Ltd., Beijing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Argentina S.R.L.</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Canada ULC</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Alberta, Canada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China Holdings Limited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Hong Kong, China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 Austrian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 French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 German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 Italian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w w:val="94"/>
              </w:rPr>
              <w:t>Allison Transmission Europe B.V., Russian Representative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3"/>
              </w:rPr>
              <w:t>Russia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Europe B.V., Swedish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2"/>
              </w:rPr>
              <w:t>Sweden</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w w:val="95"/>
              </w:rPr>
              <w:t>Allison Transmission Europe B.V., United Kingdom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Allison Transmission Europe B.V., Turkish Representative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Turkey</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w w:val="98"/>
              </w:rPr>
              <w:t>Allison Transmission Europe B.V., South African Branch Office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South Africa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Hungary KFT</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Hungary</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India Private Limited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Middle East FZE</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United Arab Emirates</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Japan Co., Ltd.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Korea Co., Ltd.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Korea</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México, S. de R.L. de C.V.</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Singapore Pte. Ltd.</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Singapore</w:t>
            </w: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Allison Transmission, Inc.</w:t>
            </w:r>
          </w:p>
        </w:tc>
        <w:tc>
          <w:tcPr>
            <w:tcW w:w="46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333-180285) of Allison Transmission Holdings Inc. of our report dated February 28, 2013 relating to the financial statements and financial statement schedule, which appears in this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Lawrence E. Dewey</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President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David S. Graziosi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Annual Report of Allison Transmission Holdings, Inc. (the “Company”) on Form 10-K for the fiscal year ended December 31, 2012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emdash "/>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6">
    <w:nsid w:val="8EDBDAB"/>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4"/>
    </w:lvl>
  </w:abstractNum>
  <w:abstractNum w:abstractNumId="18">
    <w:nsid w:val="4353D0CD"/>
    <w:multiLevelType w:val="hybridMultilevel"/>
    <w:lvl w:ilvl="0">
      <w:lvlJc w:val="left"/>
      <w:lvlText w:val="%1."/>
      <w:numFmt w:val="decimal"/>
      <w:start w:val="6"/>
    </w:lvl>
    <w:lvl w:ilvl="1">
      <w:lvlJc w:val="left"/>
      <w:lvlText w:val="(%2)"/>
      <w:numFmt w:val="lowerLetter"/>
      <w:start w:val="1"/>
    </w:lvl>
  </w:abstractNum>
  <w:abstractNum w:abstractNumId="19">
    <w:nsid w:val="B03E0C6"/>
    <w:multiLevelType w:val="hybridMultilevel"/>
    <w:lvl w:ilvl="0">
      <w:lvlJc w:val="left"/>
      <w:lvlText w:val="%1."/>
      <w:numFmt w:val="decimal"/>
      <w:start w:val="8"/>
    </w:lvl>
    <w:lvl w:ilvl="1">
      <w:lvlJc w:val="left"/>
      <w:lvlText w:val="(%2)"/>
      <w:numFmt w:val="lowerLetter"/>
      <w:start w:val="1"/>
    </w:lvl>
  </w:abstractNum>
  <w:abstractNum w:abstractNumId="20">
    <w:nsid w:val="189A769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1">
    <w:nsid w:val="54E49EB4"/>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decimal"/>
      <w:start w:val="11"/>
    </w:lvl>
  </w:abstractNum>
  <w:abstractNum w:abstractNumId="26">
    <w:nsid w:val="3A95F874"/>
    <w:multiLevelType w:val="hybridMultilevel"/>
    <w:lvl w:ilvl="0">
      <w:lvlJc w:val="left"/>
      <w:lvlText w:val="%1."/>
      <w:numFmt w:val="decimal"/>
      <w:start w:val="18"/>
    </w:lvl>
    <w:lvl w:ilvl="1">
      <w:lvlJc w:val="left"/>
      <w:lvlText w:val="(%2)"/>
      <w:numFmt w:val="lowerLetter"/>
      <w:start w:val="1"/>
    </w:lvl>
  </w:abstractNum>
  <w:abstractNum w:abstractNumId="27">
    <w:nsid w:val="8138641"/>
    <w:multiLevelType w:val="hybridMultilevel"/>
    <w:lvl w:ilvl="0">
      <w:lvlJc w:val="left"/>
      <w:lvlText w:val="(%1)"/>
      <w:numFmt w:val="lowerLetter"/>
      <w:start w:val="5"/>
    </w:lvl>
  </w:abstractNum>
  <w:abstractNum w:abstractNumId="28">
    <w:nsid w:val="1E7FF521"/>
    <w:multiLevelType w:val="hybridMultilevel"/>
    <w:lvl w:ilvl="0">
      <w:lvlJc w:val="left"/>
      <w:lvlText w:val="%1."/>
      <w:numFmt w:val="decimal"/>
      <w:start w:val="20"/>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2019-12-07T17:19:16Z</dcterms:created>
  <dcterms:modified xsi:type="dcterms:W3CDTF">2019-12-07T17:19:16Z</dcterms:modified>
</cp:coreProperties>
</file>