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1640" w:type="dxa"/>
        <w:tblCellMar>
          <w:top w:w="0" w:type="dxa"/>
          <w:left w:w="0" w:type="dxa"/>
          <w:bottom w:w="0" w:type="dxa"/>
          <w:right w:w="0" w:type="dxa"/>
        </w:tblCellMar>
      </w:tblPr>
      <w:tr>
        <w:trPr>
          <w:trHeight w:val="212"/>
        </w:trPr>
        <w:tc>
          <w:tcPr>
            <w:tcW w:w="5980" w:type="dxa"/>
            <w:vAlign w:val="bottom"/>
          </w:tcPr>
          <w:p>
            <w:pPr>
              <w:jc w:val="center"/>
              <w:ind w:right="3459"/>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5980" w:type="dxa"/>
            <w:vAlign w:val="bottom"/>
          </w:tcPr>
          <w:p>
            <w:pPr>
              <w:jc w:val="center"/>
              <w:ind w:right="34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7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tcPr>
          <w:p>
            <w:pPr>
              <w:jc w:val="center"/>
              <w:ind w:right="3459"/>
              <w:spacing w:after="0"/>
              <w:rPr>
                <w:sz w:val="20"/>
                <w:szCs w:val="20"/>
                <w:color w:val="auto"/>
              </w:rPr>
            </w:pPr>
            <w:r>
              <w:rPr>
                <w:rFonts w:ascii="Arial" w:cs="Arial" w:eastAsia="Arial" w:hAnsi="Arial"/>
                <w:sz w:val="14"/>
                <w:szCs w:val="14"/>
                <w:b w:val="1"/>
                <w:bCs w:val="1"/>
                <w:color w:val="auto"/>
                <w:w w:val="94"/>
              </w:rPr>
              <w:t>incorporation or organization)</w:t>
            </w:r>
          </w:p>
        </w:tc>
        <w:tc>
          <w:tcPr>
            <w:tcW w:w="172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5980" w:type="dxa"/>
            <w:vAlign w:val="bottom"/>
          </w:tcPr>
          <w:p>
            <w:pPr>
              <w:jc w:val="center"/>
              <w:ind w:right="3439"/>
              <w:spacing w:after="0"/>
              <w:rPr>
                <w:sz w:val="20"/>
                <w:szCs w:val="20"/>
                <w:color w:val="auto"/>
              </w:rPr>
            </w:pPr>
            <w:r>
              <w:rPr>
                <w:rFonts w:ascii="Arial" w:cs="Arial" w:eastAsia="Arial" w:hAnsi="Arial"/>
                <w:sz w:val="18"/>
                <w:szCs w:val="18"/>
                <w:b w:val="1"/>
                <w:bCs w:val="1"/>
                <w:color w:val="auto"/>
                <w:w w:val="91"/>
              </w:rPr>
              <w:t>One Allison Way</w:t>
            </w:r>
          </w:p>
        </w:tc>
        <w:tc>
          <w:tcPr>
            <w:tcW w:w="1720" w:type="dxa"/>
            <w:vAlign w:val="bottom"/>
          </w:tcPr>
          <w:p>
            <w:pPr>
              <w:spacing w:after="0"/>
              <w:rPr>
                <w:sz w:val="24"/>
                <w:szCs w:val="24"/>
                <w:color w:val="auto"/>
              </w:rPr>
            </w:pPr>
          </w:p>
        </w:tc>
      </w:tr>
      <w:tr>
        <w:trPr>
          <w:trHeight w:val="225"/>
        </w:trPr>
        <w:tc>
          <w:tcPr>
            <w:tcW w:w="5980" w:type="dxa"/>
            <w:vAlign w:val="bottom"/>
          </w:tcPr>
          <w:p>
            <w:pPr>
              <w:jc w:val="center"/>
              <w:ind w:right="3459"/>
              <w:spacing w:after="0"/>
              <w:rPr>
                <w:sz w:val="20"/>
                <w:szCs w:val="20"/>
                <w:color w:val="auto"/>
              </w:rPr>
            </w:pPr>
            <w:r>
              <w:rPr>
                <w:rFonts w:ascii="Arial" w:cs="Arial" w:eastAsia="Arial" w:hAnsi="Arial"/>
                <w:sz w:val="18"/>
                <w:szCs w:val="18"/>
                <w:b w:val="1"/>
                <w:bCs w:val="1"/>
                <w:color w:val="auto"/>
                <w:w w:val="93"/>
              </w:rPr>
              <w:t>Indianapolis, IN</w:t>
            </w:r>
          </w:p>
        </w:tc>
        <w:tc>
          <w:tcPr>
            <w:tcW w:w="1720" w:type="dxa"/>
            <w:vAlign w:val="bottom"/>
          </w:tcPr>
          <w:p>
            <w:pPr>
              <w:jc w:val="right"/>
              <w:ind w:right="421"/>
              <w:spacing w:after="0"/>
              <w:rPr>
                <w:sz w:val="20"/>
                <w:szCs w:val="20"/>
                <w:color w:val="auto"/>
              </w:rPr>
            </w:pPr>
            <w:r>
              <w:rPr>
                <w:rFonts w:ascii="Arial" w:cs="Arial" w:eastAsia="Arial" w:hAnsi="Arial"/>
                <w:sz w:val="18"/>
                <w:szCs w:val="18"/>
                <w:b w:val="1"/>
                <w:bCs w:val="1"/>
                <w:color w:val="auto"/>
              </w:rPr>
              <w:t>46222</w:t>
            </w:r>
          </w:p>
        </w:tc>
      </w:tr>
      <w:tr>
        <w:trPr>
          <w:trHeight w:val="186"/>
        </w:trPr>
        <w:tc>
          <w:tcPr>
            <w:tcW w:w="5980" w:type="dxa"/>
            <w:vAlign w:val="bottom"/>
          </w:tcPr>
          <w:p>
            <w:pPr>
              <w:jc w:val="center"/>
              <w:ind w:right="34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72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5980" w:type="dxa"/>
            <w:vAlign w:val="bottom"/>
          </w:tcPr>
          <w:p>
            <w:pPr>
              <w:jc w:val="right"/>
              <w:ind w:right="1259"/>
              <w:spacing w:after="0"/>
              <w:rPr>
                <w:sz w:val="20"/>
                <w:szCs w:val="20"/>
                <w:color w:val="auto"/>
              </w:rPr>
            </w:pPr>
            <w:r>
              <w:rPr>
                <w:rFonts w:ascii="Arial" w:cs="Arial" w:eastAsia="Arial" w:hAnsi="Arial"/>
                <w:sz w:val="18"/>
                <w:szCs w:val="18"/>
                <w:b w:val="1"/>
                <w:bCs w:val="1"/>
                <w:color w:val="auto"/>
              </w:rPr>
              <w:t>(317) 242-5000</w:t>
            </w:r>
          </w:p>
        </w:tc>
        <w:tc>
          <w:tcPr>
            <w:tcW w:w="1720" w:type="dxa"/>
            <w:vAlign w:val="bottom"/>
          </w:tcPr>
          <w:p>
            <w:pPr>
              <w:spacing w:after="0"/>
              <w:rPr>
                <w:sz w:val="24"/>
                <w:szCs w:val="24"/>
                <w:color w:val="auto"/>
              </w:rPr>
            </w:pPr>
          </w:p>
        </w:tc>
      </w:tr>
      <w:tr>
        <w:trPr>
          <w:trHeight w:val="186"/>
        </w:trPr>
        <w:tc>
          <w:tcPr>
            <w:tcW w:w="5980" w:type="dxa"/>
            <w:vAlign w:val="bottom"/>
          </w:tcPr>
          <w:p>
            <w:pPr>
              <w:jc w:val="center"/>
              <w:ind w:left="20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20" w:type="dxa"/>
            <w:vAlign w:val="bottom"/>
          </w:tcPr>
          <w:p>
            <w:pPr>
              <w:spacing w:after="0"/>
              <w:rPr>
                <w:sz w:val="16"/>
                <w:szCs w:val="16"/>
                <w:color w:val="auto"/>
              </w:rPr>
            </w:pPr>
          </w:p>
        </w:tc>
      </w:tr>
    </w:tbl>
    <w:p>
      <w:pPr>
        <w:spacing w:after="0" w:line="1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1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4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October 13, 2015, there were 171,031,830 shares of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 w:type="dxa"/>
            <w:vAlign w:val="bottom"/>
            <w:vMerge w:val="restart"/>
          </w:tcPr>
          <w:p>
            <w:pPr>
              <w:spacing w:after="0"/>
              <w:rPr>
                <w:sz w:val="20"/>
                <w:szCs w:val="20"/>
                <w:color w:val="auto"/>
              </w:rPr>
            </w:pPr>
            <w:r>
              <w:rPr>
                <w:rFonts w:ascii="Arial" w:cs="Arial" w:eastAsia="Arial" w:hAnsi="Arial"/>
                <w:sz w:val="18"/>
                <w:szCs w:val="18"/>
                <w:color w:val="auto"/>
                <w:w w:val="90"/>
              </w:rPr>
              <w:t>Item 1.</w:t>
            </w:r>
          </w:p>
        </w:tc>
        <w:tc>
          <w:tcPr>
            <w:tcW w:w="280" w:type="dxa"/>
            <w:vAlign w:val="bottom"/>
            <w:gridSpan w:val="2"/>
            <w:vMerge w:val="restart"/>
          </w:tcPr>
          <w:p>
            <w:pPr>
              <w:spacing w:after="0"/>
              <w:rPr>
                <w:sz w:val="14"/>
                <w:szCs w:val="14"/>
                <w:color w:val="auto"/>
              </w:rPr>
            </w:pPr>
          </w:p>
        </w:tc>
        <w:tc>
          <w:tcPr>
            <w:tcW w:w="1014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5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140" w:type="dxa"/>
            <w:vAlign w:val="bottom"/>
            <w:gridSpan w:val="16"/>
            <w:vMerge w:val="continue"/>
          </w:tcPr>
          <w:p>
            <w:pPr>
              <w:spacing w:after="0"/>
              <w:rPr>
                <w:sz w:val="13"/>
                <w:szCs w:val="13"/>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7"/>
        </w:trPr>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6-20</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2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21-34</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28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35-36</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8"/>
          </w:tcPr>
          <w:p>
            <w:pPr>
              <w:ind w:left="260"/>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1.</w:t>
            </w:r>
          </w:p>
        </w:tc>
        <w:tc>
          <w:tcPr>
            <w:tcW w:w="280" w:type="dxa"/>
            <w:vAlign w:val="bottom"/>
            <w:gridSpan w:val="2"/>
          </w:tcPr>
          <w:p>
            <w:pPr>
              <w:spacing w:after="0"/>
              <w:rPr>
                <w:sz w:val="24"/>
                <w:szCs w:val="24"/>
                <w:color w:val="auto"/>
              </w:rPr>
            </w:pPr>
          </w:p>
        </w:tc>
        <w:tc>
          <w:tcPr>
            <w:tcW w:w="354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2760" w:type="dxa"/>
            <w:vAlign w:val="bottom"/>
            <w:tcBorders>
              <w:top w:val="single" w:sz="8" w:color="0000EE"/>
            </w:tcBorders>
            <w:gridSpan w:val="5"/>
          </w:tcPr>
          <w:p>
            <w:pPr>
              <w:spacing w:after="0"/>
              <w:rPr>
                <w:sz w:val="24"/>
                <w:szCs w:val="24"/>
                <w:color w:val="auto"/>
              </w:rPr>
            </w:pPr>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14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Item 6.</w:t>
            </w:r>
          </w:p>
        </w:tc>
        <w:tc>
          <w:tcPr>
            <w:tcW w:w="2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Exhibits</w:t>
              </w:r>
            </w:hyperlink>
          </w:p>
        </w:tc>
        <w:tc>
          <w:tcPr>
            <w:tcW w:w="3740" w:type="dxa"/>
            <w:vAlign w:val="bottom"/>
            <w:tcBorders>
              <w:top w:val="single" w:sz="8" w:color="0000EE"/>
            </w:tcBorders>
            <w:gridSpan w:val="9"/>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93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4"/>
          </w:tcPr>
          <w:p>
            <w:pPr>
              <w:ind w:left="48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0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Allison Transmission Holdings,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0" w:type="dxa"/>
            <w:vAlign w:val="bottom"/>
          </w:tcPr>
          <w:p>
            <w:pPr>
              <w:jc w:val="center"/>
              <w:ind w:left="14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(unaudited, dollars in millions, except share data)</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receivable — net of allowance for doubtful accounts of $0.5 and $0.3, respectively</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223.9</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155.3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88.2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479.1</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1,439.1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64.4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4,566.7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Product warranty liability</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316.0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56.9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54.0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2,386.4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287.2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3,352.2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O)</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$0.01 par value, 1,880,000,000 shares authorized, 171,029,830 shares issued and outstanding and</w:t>
            </w:r>
          </w:p>
        </w:tc>
        <w:tc>
          <w:tcPr>
            <w:tcW w:w="18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179,488,247 shares issued and outstanding, respectively</w:t>
            </w:r>
          </w:p>
        </w:tc>
        <w:tc>
          <w:tcPr>
            <w:tcW w:w="18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Paid in 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1,688.5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(422.4)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(53.4)</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4,566.7</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5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6"/>
          </w:tcPr>
          <w:p>
            <w:pPr>
              <w:jc w:val="right"/>
              <w:ind w:right="44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50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1,507.6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256.9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294.0</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796.0</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8"/>
              </w:rPr>
              <w:t>236.1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259.3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711.6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235.6</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Environmental remediation</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Loss associated with impairment of long-lived assets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147.3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(33.8)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(94.2)</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Premiums and expenses on tender offer and redemption of long-term debt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269.1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(99.8)</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net of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9"/>
        </w:trPr>
        <w:tc>
          <w:tcPr>
            <w:tcW w:w="9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tcPr>
          <w:p>
            <w:pPr>
              <w:jc w:val="right"/>
              <w:ind w:right="46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9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Premiums and expenses on tender offer and redemption of long-term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Unrealized loss (gain) on derivatives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Other assets and liabilities</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of long-lived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Investments in technology-related initiatives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Collateral for interest rate derivatives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9740" w:type="dxa"/>
            <w:vAlign w:val="bottom"/>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and redemption of long-term debt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(491.2)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Issuance of long-term debt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(296.3)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(249.8)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(110.2)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Debt financing fees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9740" w:type="dxa"/>
            <w:vAlign w:val="bottom"/>
            <w:vMerge w:val="restart"/>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(485.2)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(357.6)</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40" w:type="dxa"/>
            <w:vAlign w:val="bottom"/>
          </w:tcPr>
          <w:p>
            <w:pPr>
              <w:ind w:left="72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(114.6)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3"/>
        </w:trPr>
        <w:tc>
          <w:tcPr>
            <w:tcW w:w="97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7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condensed consolidated financial statements as of and for the three and nine months ended September 30, 2015 and 2014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statements of the results for the periods presented. The condensed consolidated financial statements herein consist of all wholly-owned domestic and foreign subsidiaries with all significant intercompany transactions eliminated.</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2014 as filed with the Securities and Exchange Commission (“SEC”) on February 20, 2015. Certain immaterial reclassifications have been made in the condensed consolidated financial statements of prior periods to conform to the current period presentation. These reclassifications have no impact on previously reported net income, total stockholders’ equity or cash flows. The interim period financial results for the three and nine month periods presented are not necessarily indicative of results to be expected for any other interim period or for the entire year.</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July 2015, the Financial Accounting Standards Board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is effective for public entities for interim and annual reporting periods beginning after December 15, 2016, but can be early-adopted. Management is assessing the potential impact of the adoption of this guidance on the Company’s consolidated financial statements.</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April 2015, the FASB issued authoritative accounting guidance to simplify the presentation of the debt issuance costs. The guidance requires that the debt issuance costs be presented in the balance sheet as a direct deduction from the carrying amount of debt liability, consistent with debt discounts or premiums. The debt issuance costs related to line-of-credit arrangements can still be deferred and presented as an asset and subsequently amortized ratably over the term of the line-of-credit arrangement, regardless of whether there are any outstanding borrowings on the line-of-credit arrangement. The recognition and measurement guidance for debt issuance costs are not affected. The guidance is effective for public entities for interim and annual reporting periods beginning after December 15, 2015, but can be early-adopted. As of September 30, 2015, the Company has determined that approximately $29.9 million of debt issuance costs, net of accumulated amortization, could be presented in the balance sheet as a direct deduction from the carrying amount of the debt liability under the guidance.</w:t>
      </w:r>
    </w:p>
    <w:p>
      <w:pPr>
        <w:spacing w:after="0" w:line="19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interim and annual reporting periods beginning after December 15, 2016, but can be early-adopted. While the adoption of this guidance is not expected to have an effect on the Company’s consolidated financial statements, it could affect the disclosure applied under these circumstances in the future.</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improved disclosures regarding the nature, timing, amount and uncertainty of revenue that is recognized. As originally proposed, the guidance was effective prospectively for interim and annual reporting periods beginning after December 15, 2016. On April 1, 2015, the FASB proposed a one-year deferral of the effective date. Under the proposal, the guidance would be effective on a retrospective or modified retrospective basis for public entities for interim and annual reporting periods beginning after December 15, 2017. The proposal also would permit both public and nonpublic entities to adopt the guidance as early as periods beginning after December 15, 2016. Early adoption prior to that date would not be permitted. In July 2015, the FASB proposed deferral was approved. Management is assessing the potential impact of the adoption of this guidance on the Company’s consolidated financial statements as well as considering the method of adoption.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700" w:type="dxa"/>
            <w:vAlign w:val="bottom"/>
            <w:gridSpan w:val="3"/>
          </w:tcPr>
          <w:p>
            <w:pPr>
              <w:ind w:left="1820"/>
              <w:spacing w:after="0"/>
              <w:rPr>
                <w:sz w:val="20"/>
                <w:szCs w:val="20"/>
                <w:color w:val="auto"/>
              </w:rPr>
            </w:pPr>
            <w:r>
              <w:rPr>
                <w:rFonts w:ascii="Arial" w:cs="Arial" w:eastAsia="Arial" w:hAnsi="Arial"/>
                <w:sz w:val="14"/>
                <w:szCs w:val="14"/>
                <w:b w:val="1"/>
                <w:bCs w:val="1"/>
                <w:color w:val="auto"/>
                <w:w w:val="89"/>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8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 in progress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Finished goods</w:t>
            </w:r>
          </w:p>
        </w:tc>
        <w:tc>
          <w:tcPr>
            <w:tcW w:w="1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2020" w:type="dxa"/>
            <w:vAlign w:val="bottom"/>
            <w:gridSpan w:val="2"/>
            <w:shd w:val="clear" w:color="auto" w:fill="CCEEFF"/>
          </w:tcPr>
          <w:p>
            <w:pPr>
              <w:ind w:left="182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K, “Other Current Liabilities” for more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As of September 30, 2015 and December 31, 2014, the carrying amount of the Company’s Goodwill was $1,941.0 million. The following presents a summary of other intangible assets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September 30, 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December 31, 2014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380" w:type="dxa"/>
            <w:vAlign w:val="bottom"/>
          </w:tcPr>
          <w:p>
            <w:pPr>
              <w:spacing w:after="0"/>
              <w:rPr>
                <w:sz w:val="10"/>
                <w:szCs w:val="10"/>
                <w:color w:val="auto"/>
              </w:rPr>
            </w:pPr>
          </w:p>
        </w:tc>
        <w:tc>
          <w:tcPr>
            <w:tcW w:w="76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3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2"/>
              </w:rPr>
              <w:t>assets, gross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assets, net</w:t>
            </w:r>
          </w:p>
        </w:tc>
        <w:tc>
          <w:tcPr>
            <w:tcW w:w="1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2"/>
              </w:rPr>
              <w:t>assets, net</w:t>
            </w: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870.0</w:t>
            </w:r>
          </w:p>
        </w:tc>
        <w:tc>
          <w:tcPr>
            <w:tcW w:w="4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1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870.0</w:t>
            </w:r>
          </w:p>
        </w:tc>
        <w:tc>
          <w:tcPr>
            <w:tcW w:w="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(464.7)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367.1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2,551.0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(1,111.9</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1,439.1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2,551.0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(1,039.0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1,512.0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of September 30, 2015 and December 31, 2014, the net carrying value of our Goodwill and other intangibles was $3,380.1 million and $3,453.0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2015 and December 31, 2014, the Company did not have any Level 3 financial assets or liabilities.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18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9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2015 and December 31, 2014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Using</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gridSpan w:val="4"/>
          </w:tcPr>
          <w:p>
            <w:pPr>
              <w:jc w:val="center"/>
              <w:ind w:left="57"/>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20" w:type="dxa"/>
            <w:vAlign w:val="bottom"/>
            <w:gridSpan w:val="5"/>
            <w:vMerge w:val="restart"/>
          </w:tcPr>
          <w:p>
            <w:pPr>
              <w:jc w:val="center"/>
              <w:ind w:right="400"/>
              <w:spacing w:after="0"/>
              <w:rPr>
                <w:sz w:val="20"/>
                <w:szCs w:val="20"/>
                <w:color w:val="auto"/>
              </w:rPr>
            </w:pPr>
            <w:r>
              <w:rPr>
                <w:rFonts w:ascii="Arial" w:cs="Arial" w:eastAsia="Arial" w:hAnsi="Arial"/>
                <w:sz w:val="14"/>
                <w:szCs w:val="14"/>
                <w:b w:val="1"/>
                <w:bCs w:val="1"/>
                <w:color w:val="auto"/>
                <w:w w:val="93"/>
              </w:rPr>
              <w:t>Significant Other</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jc w:val="center"/>
              <w:ind w:left="57"/>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center"/>
              <w:ind w:left="57"/>
              <w:spacing w:after="0"/>
              <w:rPr>
                <w:sz w:val="20"/>
                <w:szCs w:val="20"/>
                <w:color w:val="auto"/>
              </w:rPr>
            </w:pPr>
            <w:r>
              <w:rPr>
                <w:rFonts w:ascii="Arial" w:cs="Arial" w:eastAsia="Arial" w:hAnsi="Arial"/>
                <w:sz w:val="14"/>
                <w:szCs w:val="14"/>
                <w:b w:val="1"/>
                <w:bCs w:val="1"/>
                <w:color w:val="auto"/>
                <w:w w:val="90"/>
              </w:rPr>
              <w:t>Assets (Level 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Observable Inputs (Level 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7"/>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0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(33.0)</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63.6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38"/>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560" w:type="dxa"/>
            <w:vAlign w:val="bottom"/>
            <w:gridSpan w:val="3"/>
          </w:tcPr>
          <w:p>
            <w:pPr>
              <w:ind w:left="680"/>
              <w:spacing w:after="0"/>
              <w:rPr>
                <w:sz w:val="20"/>
                <w:szCs w:val="20"/>
                <w:color w:val="auto"/>
              </w:rPr>
            </w:pPr>
            <w:r>
              <w:rPr>
                <w:rFonts w:ascii="Arial" w:cs="Arial" w:eastAsia="Arial" w:hAnsi="Arial"/>
                <w:sz w:val="14"/>
                <w:szCs w:val="14"/>
                <w:b w:val="1"/>
                <w:bCs w:val="1"/>
                <w:color w:val="auto"/>
                <w:w w:val="89"/>
              </w:rPr>
              <w:t>September 30,</w:t>
            </w:r>
          </w:p>
        </w:tc>
        <w:tc>
          <w:tcPr>
            <w:tcW w:w="166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88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189.0</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2,220.0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2,409.0</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w:t>
            </w:r>
          </w:p>
        </w:tc>
        <w:tc>
          <w:tcPr>
            <w:tcW w:w="100" w:type="dxa"/>
            <w:vAlign w:val="bottom"/>
            <w:shd w:val="clear" w:color="auto" w:fill="CCEEFF"/>
          </w:tcPr>
          <w:p>
            <w:pPr>
              <w:spacing w:after="0"/>
              <w:rPr>
                <w:sz w:val="18"/>
                <w:szCs w:val="18"/>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2,386.4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2,502.6</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2015, the Company had $189.0 million of indebtedness associated with Allison Transmission, Inc.’s (“ATI”), the Company’s wholly-owned subsidiary, Senior Secured Credit Facility Term B-2 Loan due 2017 (“Term B-2 Loan”) and $2,220.0 million of indebtedness associated with ATI’s Senior Secured Credit Facility Term B-3 Loan due 2019 (“Term B-3 Loan”) (together the Term B-2 Loan, Term B-3 Loan and revolving credit facility defined as the “Senior Secured Credit Facility”).</w:t>
      </w:r>
    </w:p>
    <w:p>
      <w:pPr>
        <w:spacing w:after="0" w:line="18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September 30, 2015 was $2,408.7 million. The fair value is based on quoted Level 2 market prices of the Company’s debt as of September 30, 2015.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March 18, 2015, ATI commenced a cash tender offer to purchase its outstanding 7.125% senior cash pay notes due May 2019 (“7.125% Senior Notes”). In connection with the cash tender offer, ATI solicited consents to enter into a supplemental indenture to eliminate substantially all of the restrictive covenants, certain events of default and related provisions contained in the indenture dated as of May 6, 2011 (the “Indenture”) governing the 7.125% Senior Notes. On March 31, 2015, ATI received valid consents from holders with an aggregate principal amount of $420.9 million of the 7.125% Senior Notes. Accordingly, ATI entered into a first supplemental indenture to the Indenture contingent on the execution of an amendment with the term loan lenders under its Senior Secured Credit Facility.</w:t>
      </w:r>
    </w:p>
    <w:p>
      <w:pPr>
        <w:spacing w:after="0" w:line="193"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On April 7, 2015, ATI entered into an amendment with the term loan lenders under its Senior Secured Credit Facility to add up to an additional $470.0 million of Term B-3 Loan commitments and incur term loans in an aggregate principal amount of $470.0 million. The amendment also, among other things,</w:t>
      </w:r>
    </w:p>
    <w:p>
      <w:pPr>
        <w:ind w:firstLine="8"/>
        <w:spacing w:after="0" w:line="287" w:lineRule="auto"/>
        <w:tabs>
          <w:tab w:leader="none" w:pos="215"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permits prepayment, repurchase or redemption of Allison’s 7.125% Senior Notes with the proceeds of the financing and (ii) resets the period for which a prepayment premium of 1.00% will apply in the event of a repricing transaction to the six-month anniversary of the closing date of the financing. With the exception of the items noted above, the terms (including maturity and pricing) of the financing are materially the same as the terms of the existing Term B-3 Loan outstanding. As a result of the newly structured Senior Secured Credit Facility, ATI recorded approximately $7.7 million as deferred financing fees in the Condensed Consolidated Balance Sheets. Immediately following the financing, ATI purchased $420.9 million of the tendered 7.125% Senior Notes using the proceeds from the financing in a cash payment equal to $1,042 per $1,000 aggregate principal amount of the 7.125% Senior Notes plus accrued and unpaid interest. Upon the payment, the supplemental indenture to the Indenture became operative. The purchase resulted in a loss (the premium between the purchase price of the notes and the face value of such notes) of $22.7 million including deferred financing fees written off.</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May 2015, ATI redeemed the remaining $50.4 million of its outstanding 7.125% Senior Notes, at the redemption price equal to 103.563% of the principal amount plus any accrued and unpaid interest, using the remaining proceeds from the financing and cash on hand, resulting in a loss (the premium between the purchase price of the notes and the face value of such notes) of $2.4 million including deferred financing fees written off.</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September 30, 2015, is at the Company’s option, either (a) 2.75% over the LIBOR or (b) 1.75% over the greater of the prime lending rate provided by the British Banking Association or the federal funds effective rate published by the Federal Reserve Bank of New York plus 0.50%. Interest on the Term B-3 Loan, as of September 30, 2015, is equal to the LIBOR (which may not be less than 1.00%) plus 2.50% based on the Company’s total leverage ratio. As of September 30, 2015, these rates were approximately 2.95% and 3.50% on the Term B-2 Loan and Term B-3 Loan, respectively, and the weighted average rate on the Senior Secured Credit Facility was approximately 3.46%.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For the three months and nine months ended September 30, 2015, the Company made principal payments of $0.0 million and $94.6 million on the Term B-2 loan, respectively, resulting in a total loss of $0.2 million associated with the write off of related deferred debt issuance costs. The minimum required quarterly principal payment on the Term B-3 Loan is $5.6 million and remains through its maturity date of 2019. As of September 30, 2015, there had been no payments required for certain net cash proceeds of non-ordinary course asset sales and casualty and condemnation events. The remaining principal balance on each loan is due upon maturity.</w:t>
      </w:r>
    </w:p>
    <w:p>
      <w:pPr>
        <w:spacing w:after="0" w:line="16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Senior Secured Credit Facility also provides for a revolving credit facility of $465.0 million, net of an allowance for up to $75.0 million in outstanding letters of credit commitments. As of September 30, 2015, the Company had $455.3 million available under the revolving credit facility, net of $9.7 million in letters of credit. Revolving credit borrowings bear interest at a variable base rate plus an applicable margin based on the Company’s total leverage ratio. As of September 30, 2015, this rate would have been approximately 1.63%. In addition, there is an annual commitment fee, based on the Company’s total leverage ratio, which as of September 30, 2015, was equal to 0.25% of the average unused revolving credit borrowings available under the Senior Secured Credit Facility. Revolving credit borrowings are payable at the option of the Company throughout the term of the Senior Secured Credit Facility with the balance due in January 2019. The revolving portion of the Senior Secured Credit Facility requires the Company to maintain a specified maximum total senior secured leverage ratio of 5.50x when revolving loan commitments remain outstanding at the end of a fiscal quarter. In March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September 30, 2015, the Company had no revolving loans outstanding; however, the Company would have been in compliance with the maximum total senior secured leverage ratio, achieving a 3.08x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September 30, 2015, the total leverage ratio was 3.08x.</w:t>
      </w:r>
    </w:p>
    <w:p>
      <w:pPr>
        <w:spacing w:after="0" w:line="17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September 30, 2015, the Company is in compliance with all covenants under the Senior Secured Credit Facility.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September 30, 2015 and December 31, 2014 follows (dollars in millions):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9"/>
              </w:rPr>
              <w:t>September 30, 2015</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3.44%</w:t>
            </w:r>
          </w:p>
        </w:tc>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2.25% Interest Rate Swap X,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500" w:type="dxa"/>
            <w:vAlign w:val="bottom"/>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750.0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73"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summarizes the outstanding foreign currency forward contracts as of September 30, 2015 and December 31, 2014 (amounts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6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0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color w:val="auto"/>
              </w:rPr>
              <w:t>Notional</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Japanese Yen (JPY)</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¥ 300.0</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¥ 300.0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outstanding commodity swaps as of September 30, 2015 and December 31, 2014 (dollars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3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Quantity</w:t>
            </w:r>
          </w:p>
        </w:tc>
        <w:tc>
          <w:tcPr>
            <w:tcW w:w="280" w:type="dxa"/>
            <w:vAlign w:val="bottom"/>
            <w:vMerge w:val="restart"/>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vMerge w:val="restart"/>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20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Aluminum</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5,000 metric tons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6,200 metric tons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Natural Gas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100,000 MMBtu</w:t>
            </w:r>
          </w:p>
        </w:tc>
        <w:tc>
          <w:tcPr>
            <w:tcW w:w="24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60,000 MMBtu</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w w:val="91"/>
              </w:rPr>
              <w:t>September 30, 2015</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December 31, 2014</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320" w:type="dxa"/>
            <w:vAlign w:val="bottom"/>
            <w:gridSpan w:val="2"/>
          </w:tcPr>
          <w:p>
            <w:pPr>
              <w:spacing w:after="0"/>
              <w:rPr>
                <w:sz w:val="12"/>
                <w:szCs w:val="12"/>
                <w:color w:val="auto"/>
              </w:rPr>
            </w:pPr>
          </w:p>
        </w:tc>
        <w:tc>
          <w:tcPr>
            <w:tcW w:w="1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Balance Sheet Location</w:t>
            </w:r>
          </w:p>
        </w:tc>
        <w:tc>
          <w:tcPr>
            <w:tcW w:w="2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0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5020" w:type="dxa"/>
            <w:vAlign w:val="bottom"/>
          </w:tcPr>
          <w:p>
            <w:pPr>
              <w:ind w:left="360"/>
              <w:spacing w:after="0" w:line="198" w:lineRule="exact"/>
              <w:rPr>
                <w:sz w:val="20"/>
                <w:szCs w:val="20"/>
                <w:color w:val="auto"/>
              </w:rPr>
            </w:pPr>
            <w:r>
              <w:rPr>
                <w:rFonts w:ascii="Arial" w:cs="Arial" w:eastAsia="Arial" w:hAnsi="Arial"/>
                <w:sz w:val="18"/>
                <w:szCs w:val="18"/>
                <w:color w:val="auto"/>
              </w:rPr>
              <w:t>Foreign currency contracts</w:t>
            </w:r>
          </w:p>
        </w:tc>
        <w:tc>
          <w:tcPr>
            <w:tcW w:w="2880" w:type="dxa"/>
            <w:vAlign w:val="bottom"/>
            <w:gridSpan w:val="3"/>
          </w:tcPr>
          <w:p>
            <w:pPr>
              <w:ind w:left="1000"/>
              <w:spacing w:after="0" w:line="198" w:lineRule="exact"/>
              <w:rPr>
                <w:sz w:val="20"/>
                <w:szCs w:val="20"/>
                <w:color w:val="auto"/>
              </w:rPr>
            </w:pPr>
            <w:r>
              <w:rPr>
                <w:rFonts w:ascii="Arial" w:cs="Arial" w:eastAsia="Arial" w:hAnsi="Arial"/>
                <w:sz w:val="18"/>
                <w:szCs w:val="18"/>
                <w:b w:val="1"/>
                <w:bCs w:val="1"/>
                <w:color w:val="auto"/>
              </w:rPr>
              <w:t>Other current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Arial" w:cs="Arial" w:eastAsia="Arial" w:hAnsi="Arial"/>
                <w:sz w:val="18"/>
                <w:szCs w:val="18"/>
                <w:color w:val="auto"/>
              </w:rPr>
              <w:t>Other current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020" w:type="dxa"/>
            <w:vAlign w:val="bottom"/>
          </w:tcPr>
          <w:p>
            <w:pPr>
              <w:spacing w:after="0"/>
              <w:rPr>
                <w:sz w:val="21"/>
                <w:szCs w:val="21"/>
                <w:color w:val="auto"/>
              </w:rPr>
            </w:pPr>
          </w:p>
        </w:tc>
        <w:tc>
          <w:tcPr>
            <w:tcW w:w="2880" w:type="dxa"/>
            <w:vAlign w:val="bottom"/>
            <w:gridSpan w:val="3"/>
          </w:tcPr>
          <w:p>
            <w:pPr>
              <w:ind w:left="10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21"/>
                <w:szCs w:val="21"/>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liabilities</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198"/>
        </w:trPr>
        <w:tc>
          <w:tcPr>
            <w:tcW w:w="502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rPr>
              <w:t>Commodity contracts</w:t>
            </w:r>
          </w:p>
        </w:tc>
        <w:tc>
          <w:tcPr>
            <w:tcW w:w="2880" w:type="dxa"/>
            <w:vAlign w:val="bottom"/>
            <w:gridSpan w:val="3"/>
            <w:shd w:val="clear" w:color="auto" w:fill="CCEEFF"/>
          </w:tcPr>
          <w:p>
            <w:pPr>
              <w:ind w:left="1000"/>
              <w:spacing w:after="0" w:line="198" w:lineRule="exact"/>
              <w:rPr>
                <w:sz w:val="20"/>
                <w:szCs w:val="20"/>
                <w:color w:val="auto"/>
              </w:rPr>
            </w:pPr>
            <w:r>
              <w:rPr>
                <w:rFonts w:ascii="Arial" w:cs="Arial" w:eastAsia="Arial" w:hAnsi="Arial"/>
                <w:sz w:val="18"/>
                <w:szCs w:val="18"/>
                <w:b w:val="1"/>
                <w:bCs w:val="1"/>
                <w:color w:val="auto"/>
              </w:rPr>
              <w:t>Other non-current</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2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10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5020" w:type="dxa"/>
            <w:vAlign w:val="bottom"/>
          </w:tcPr>
          <w:p>
            <w:pPr>
              <w:spacing w:after="0"/>
              <w:rPr>
                <w:sz w:val="17"/>
                <w:szCs w:val="17"/>
                <w:color w:val="auto"/>
              </w:rPr>
            </w:pPr>
          </w:p>
        </w:tc>
        <w:tc>
          <w:tcPr>
            <w:tcW w:w="2880" w:type="dxa"/>
            <w:vAlign w:val="bottom"/>
            <w:gridSpan w:val="3"/>
          </w:tcPr>
          <w:p>
            <w:pPr>
              <w:ind w:left="1000"/>
              <w:spacing w:after="0" w:line="198" w:lineRule="exact"/>
              <w:rPr>
                <w:sz w:val="20"/>
                <w:szCs w:val="20"/>
                <w:color w:val="auto"/>
              </w:rPr>
            </w:pPr>
            <w:r>
              <w:rPr>
                <w:rFonts w:ascii="Arial" w:cs="Arial" w:eastAsia="Arial" w:hAnsi="Arial"/>
                <w:sz w:val="18"/>
                <w:szCs w:val="18"/>
                <w:b w:val="1"/>
                <w:bCs w:val="1"/>
                <w:color w:val="auto"/>
              </w:rPr>
              <w:t>Other current and</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Arial" w:cs="Arial" w:eastAsia="Arial" w:hAnsi="Arial"/>
                <w:sz w:val="18"/>
                <w:szCs w:val="18"/>
                <w:color w:val="auto"/>
              </w:rPr>
              <w:t>Other current and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20" w:type="dxa"/>
            <w:vAlign w:val="bottom"/>
          </w:tcPr>
          <w:p>
            <w:pPr>
              <w:spacing w:after="0"/>
              <w:rPr>
                <w:sz w:val="20"/>
                <w:szCs w:val="20"/>
                <w:color w:val="auto"/>
              </w:rPr>
            </w:pPr>
          </w:p>
        </w:tc>
        <w:tc>
          <w:tcPr>
            <w:tcW w:w="2880" w:type="dxa"/>
            <w:vAlign w:val="bottom"/>
            <w:gridSpan w:val="3"/>
          </w:tcPr>
          <w:p>
            <w:pPr>
              <w:ind w:left="1000"/>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tcPr>
          <w:p>
            <w:pPr>
              <w:spacing w:after="0"/>
              <w:rPr>
                <w:sz w:val="20"/>
                <w:szCs w:val="20"/>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(1.4)</w:t>
            </w:r>
          </w:p>
        </w:tc>
        <w:tc>
          <w:tcPr>
            <w:tcW w:w="1560" w:type="dxa"/>
            <w:vAlign w:val="bottom"/>
          </w:tcPr>
          <w:p>
            <w:pPr>
              <w:spacing w:after="0"/>
              <w:rPr>
                <w:sz w:val="20"/>
                <w:szCs w:val="20"/>
                <w:color w:val="auto"/>
              </w:rPr>
            </w:pPr>
            <w:r>
              <w:rPr>
                <w:rFonts w:ascii="Arial" w:cs="Arial" w:eastAsia="Arial" w:hAnsi="Arial"/>
                <w:sz w:val="18"/>
                <w:szCs w:val="18"/>
                <w:color w:val="auto"/>
                <w:w w:val="93"/>
              </w:rPr>
              <w:t>non-current liabilities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198"/>
        </w:trPr>
        <w:tc>
          <w:tcPr>
            <w:tcW w:w="502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rPr>
              <w:t>Interest rate contracts</w:t>
            </w:r>
          </w:p>
        </w:tc>
        <w:tc>
          <w:tcPr>
            <w:tcW w:w="2880" w:type="dxa"/>
            <w:vAlign w:val="bottom"/>
            <w:gridSpan w:val="3"/>
            <w:shd w:val="clear" w:color="auto" w:fill="CCEEFF"/>
          </w:tcPr>
          <w:p>
            <w:pPr>
              <w:ind w:left="1000"/>
              <w:spacing w:after="0" w:line="198" w:lineRule="exact"/>
              <w:rPr>
                <w:sz w:val="20"/>
                <w:szCs w:val="20"/>
                <w:color w:val="auto"/>
              </w:rPr>
            </w:pPr>
            <w:r>
              <w:rPr>
                <w:rFonts w:ascii="Arial" w:cs="Arial" w:eastAsia="Arial" w:hAnsi="Arial"/>
                <w:sz w:val="18"/>
                <w:szCs w:val="18"/>
                <w:b w:val="1"/>
                <w:bCs w:val="1"/>
                <w:color w:val="auto"/>
              </w:rPr>
              <w:t>Other current and</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Other non-</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02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1000"/>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(31.6)</w:t>
            </w: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September 30, 2015, the amounts recorded to Other current and non-current liabilities for commodity contracts were ($1.0) million and ($0.4) million, respectively. The amounts recorded to Other current and non-current liabilities for interest rate contracts were ($1.8) million and ($29.8) million, respectively.</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As of December 31, 2014, the amounts recorded to Other current and non-current liabilities for commodity contracts were ($0.6) million and ($0.1) million, respectively.</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impact on the Company’s Condensed Consolidated Statements of Comprehensive Income related to foreign currency and commodity contracts can be found in NOTE J, and the following tabular disclosure describes the location and impact on the Company’s results of operations related to unrealized (loss) gain on interest rate derivatives (dollars in millions):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Pr>
          <w:p>
            <w:pPr>
              <w:spacing w:after="0"/>
              <w:rPr>
                <w:sz w:val="14"/>
                <w:szCs w:val="14"/>
                <w:color w:val="auto"/>
              </w:rPr>
            </w:pPr>
          </w:p>
        </w:tc>
        <w:tc>
          <w:tcPr>
            <w:tcW w:w="17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r>
      <w:tr>
        <w:trPr>
          <w:trHeight w:val="149"/>
        </w:trPr>
        <w:tc>
          <w:tcPr>
            <w:tcW w:w="3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2"/>
                <w:szCs w:val="12"/>
                <w:color w:val="auto"/>
              </w:rPr>
            </w:pPr>
          </w:p>
        </w:tc>
        <w:tc>
          <w:tcPr>
            <w:tcW w:w="17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680" w:type="dxa"/>
            <w:vAlign w:val="bottom"/>
          </w:tcPr>
          <w:p>
            <w:pPr>
              <w:spacing w:after="0"/>
              <w:rPr>
                <w:sz w:val="14"/>
                <w:szCs w:val="14"/>
                <w:color w:val="auto"/>
              </w:rPr>
            </w:pPr>
          </w:p>
        </w:tc>
        <w:tc>
          <w:tcPr>
            <w:tcW w:w="16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2014</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0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Interest Expense</w:t>
            </w:r>
          </w:p>
        </w:tc>
        <w:tc>
          <w:tcPr>
            <w:tcW w:w="1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 (10.0)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(17.2)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11.1</w:t>
            </w:r>
          </w:p>
        </w:tc>
        <w:tc>
          <w:tcPr>
            <w:tcW w:w="100" w:type="dxa"/>
            <w:vAlign w:val="bottom"/>
          </w:tcPr>
          <w:p>
            <w:pPr>
              <w:spacing w:after="0"/>
              <w:rPr>
                <w:sz w:val="20"/>
                <w:szCs w:val="20"/>
                <w:color w:val="auto"/>
              </w:rPr>
            </w:pPr>
          </w:p>
        </w:tc>
      </w:tr>
      <w:tr>
        <w:trPr>
          <w:trHeight w:val="346"/>
        </w:trPr>
        <w:tc>
          <w:tcPr>
            <w:tcW w:w="3680" w:type="dxa"/>
            <w:vAlign w:val="bottom"/>
          </w:tcPr>
          <w:p>
            <w:pPr>
              <w:spacing w:after="0"/>
              <w:rPr>
                <w:sz w:val="24"/>
                <w:szCs w:val="24"/>
                <w:color w:val="auto"/>
              </w:rPr>
            </w:pPr>
          </w:p>
        </w:tc>
        <w:tc>
          <w:tcPr>
            <w:tcW w:w="1060" w:type="dxa"/>
            <w:vAlign w:val="bottom"/>
          </w:tcPr>
          <w:p>
            <w:pPr>
              <w:jc w:val="right"/>
              <w:ind w:right="236"/>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7"/>
              </w:rPr>
              <w:t>Three months ended</w:t>
            </w:r>
          </w:p>
        </w:tc>
        <w:tc>
          <w:tcPr>
            <w:tcW w:w="120" w:type="dxa"/>
            <w:vAlign w:val="bottom"/>
          </w:tcPr>
          <w:p>
            <w:pPr>
              <w:spacing w:after="0"/>
              <w:rPr>
                <w:sz w:val="14"/>
                <w:szCs w:val="14"/>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Nine months ended</w:t>
            </w: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6"/>
          </w:tcPr>
          <w:p>
            <w:pPr>
              <w:jc w:val="right"/>
              <w:ind w:right="920"/>
              <w:spacing w:after="0" w:line="149"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66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6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(24.0)</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16.2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81.9</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firstLine="456"/>
        <w:spacing w:after="0" w:line="308" w:lineRule="auto"/>
        <w:rPr>
          <w:sz w:val="20"/>
          <w:szCs w:val="20"/>
          <w:color w:val="auto"/>
        </w:rPr>
      </w:pPr>
      <w:r>
        <w:rPr>
          <w:rFonts w:ascii="Arial" w:cs="Arial" w:eastAsia="Arial" w:hAnsi="Arial"/>
          <w:sz w:val="17"/>
          <w:szCs w:val="17"/>
          <w:color w:val="auto"/>
        </w:rPr>
        <w:t>As of September 30, 2015, the current and non-current product warranty liabilities were $25.0 million and $56.9 million, respectively. As of September 30, 2014, the current and non-current product warranty liabilities were $23.2 million and $62.2 million, respectively.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third quarter of 2015, the Company recorded approximately $10.8 million of net adjustments to the product warranty liabilities associated with specific field action programs. As a result of the uncertainty surrounding the nature and frequency of specific field action programs, these liabilities will change as additional field information becomes available.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As of September 30, 2015, the current and non-current deferred revenue for Extended Transmission Coverage (“ETC”) were $22.5 million and $54.0 million, respectively. As of September 30, 2014, the current and non-current deferred revenue for ETC were $20.1 million and $47.9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6"/>
          </w:tcPr>
          <w:p>
            <w:pPr>
              <w:jc w:val="right"/>
              <w:ind w:right="5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r>
      <w:tr>
        <w:trPr>
          <w:trHeight w:val="223"/>
        </w:trPr>
        <w:tc>
          <w:tcPr>
            <w:tcW w:w="46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Deferred revenue recorded in current liabilities related to unearned net sales for defense contracts as of September 30, 2015 and 2014 was approximately $0.0 million and $1.1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EXPENSE,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consists of the following (dollars in millions):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7"/>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720"/>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5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2015</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on intercompany foreign exchange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Unrealized (loss) gain on derivative contracts (see NOTE G)</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G)</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(Loss) gain on foreign exchange</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Grant program income</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Gain on negotiation of commercial agreement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Impairment loss on investments in technology-related initiatives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on repayments and redemptions of long-term debt</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60" w:type="dxa"/>
            <w:vAlign w:val="bottom"/>
            <w:vMerge w:val="restart"/>
          </w:tcPr>
          <w:p>
            <w:pPr>
              <w:jc w:val="right"/>
              <w:ind w:right="1030"/>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6"/>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8"/>
          </w:tcPr>
          <w:p>
            <w:pPr>
              <w:ind w:left="180"/>
              <w:spacing w:after="0" w:line="149"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4"/>
          </w:tcPr>
          <w:p>
            <w:pPr>
              <w:ind w:left="42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30.8</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Sales allowances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Vendor buyback obligation</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13.2</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Taxes payable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16.2</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11.4</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60" w:type="dxa"/>
            <w:vAlign w:val="bottom"/>
          </w:tcPr>
          <w:p>
            <w:pPr>
              <w:ind w:left="36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105.0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L. EMPLOYEE BENEFIT PLANS</w:t>
            </w: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4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gridSpan w:val="5"/>
          </w:tcPr>
          <w:p>
            <w:pPr>
              <w:ind w:left="460"/>
              <w:spacing w:after="0"/>
              <w:rPr>
                <w:sz w:val="20"/>
                <w:szCs w:val="20"/>
                <w:color w:val="auto"/>
              </w:rPr>
            </w:pPr>
            <w:r>
              <w:rPr>
                <w:rFonts w:ascii="Arial" w:cs="Arial" w:eastAsia="Arial" w:hAnsi="Arial"/>
                <w:sz w:val="18"/>
                <w:szCs w:val="18"/>
                <w:color w:val="auto"/>
                <w:w w:val="93"/>
              </w:rPr>
              <w:t>Components of net periodic benefit cost consist of the following (dollars in millions):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tcPr>
          <w:p>
            <w:pPr>
              <w:jc w:val="center"/>
              <w:ind w:left="238"/>
              <w:spacing w:after="0"/>
              <w:rPr>
                <w:sz w:val="20"/>
                <w:szCs w:val="20"/>
                <w:color w:val="auto"/>
              </w:rPr>
            </w:pPr>
            <w:r>
              <w:rPr>
                <w:rFonts w:ascii="Arial" w:cs="Arial" w:eastAsia="Arial" w:hAnsi="Arial"/>
                <w:sz w:val="14"/>
                <w:szCs w:val="14"/>
                <w:b w:val="1"/>
                <w:bCs w:val="1"/>
                <w:color w:val="auto"/>
                <w:w w:val="87"/>
              </w:rPr>
              <w:t>Pension Plans</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6"/>
          </w:tcPr>
          <w:p>
            <w:pPr>
              <w:jc w:val="center"/>
              <w:ind w:right="11"/>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620" w:type="dxa"/>
            <w:vAlign w:val="bottom"/>
            <w:gridSpan w:val="2"/>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7"/>
          </w:tcPr>
          <w:p>
            <w:pPr>
              <w:jc w:val="center"/>
              <w:ind w:right="233"/>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jc w:val="center"/>
              <w:ind w:left="23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6"/>
          </w:tcPr>
          <w:p>
            <w:pPr>
              <w:jc w:val="center"/>
              <w:ind w:left="116"/>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Pr>
          <w:p>
            <w:pPr>
              <w:spacing w:after="0"/>
              <w:rPr>
                <w:sz w:val="18"/>
                <w:szCs w:val="18"/>
                <w:color w:val="auto"/>
              </w:rPr>
            </w:pP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0.5</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Gain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0.9</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5"/>
          </w:tcPr>
          <w:p>
            <w:pPr>
              <w:jc w:val="center"/>
              <w:ind w:left="238"/>
              <w:spacing w:after="0"/>
              <w:rPr>
                <w:sz w:val="20"/>
                <w:szCs w:val="20"/>
                <w:color w:val="auto"/>
              </w:rPr>
            </w:pPr>
            <w:r>
              <w:rPr>
                <w:rFonts w:ascii="Arial" w:cs="Arial" w:eastAsia="Arial" w:hAnsi="Arial"/>
                <w:sz w:val="14"/>
                <w:szCs w:val="14"/>
                <w:b w:val="1"/>
                <w:bCs w:val="1"/>
                <w:color w:val="auto"/>
                <w:w w:val="87"/>
              </w:rPr>
              <w:t>Pension Plans</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6"/>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620" w:type="dxa"/>
            <w:vAlign w:val="bottom"/>
            <w:gridSpan w:val="2"/>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7"/>
          </w:tcPr>
          <w:p>
            <w:pPr>
              <w:jc w:val="center"/>
              <w:ind w:right="233"/>
              <w:spacing w:after="0" w:line="119" w:lineRule="exact"/>
              <w:rPr>
                <w:sz w:val="20"/>
                <w:szCs w:val="20"/>
                <w:color w:val="auto"/>
              </w:rPr>
            </w:pPr>
            <w:r>
              <w:rPr>
                <w:rFonts w:ascii="Arial" w:cs="Arial" w:eastAsia="Arial" w:hAnsi="Arial"/>
                <w:sz w:val="13"/>
                <w:szCs w:val="13"/>
                <w:b w:val="1"/>
                <w:bCs w:val="1"/>
                <w:color w:val="auto"/>
                <w:w w:val="97"/>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jc w:val="center"/>
              <w:ind w:left="238"/>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4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6"/>
          </w:tcPr>
          <w:p>
            <w:pPr>
              <w:jc w:val="center"/>
              <w:ind w:left="116"/>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w:t>
            </w: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w:t>
            </w: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Gain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920" w:type="dxa"/>
            <w:vAlign w:val="bottom"/>
            <w:vMerge w:val="restart"/>
          </w:tcPr>
          <w:p>
            <w:pPr>
              <w:jc w:val="right"/>
              <w:ind w:right="67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INCOME TAXES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the three and nine months ended September 30, 2015, the Company recorded total tax expense of $27.3 million and $99.8 million, respectively. The effective tax rate for the three and nine months ended September 30, 2015 was 37.0% and 37.1%, respectively. For the three and nine months ended September 30, 2014, the Company recorded total tax expense of $47.5 million and $112.2 million, respectively. The effective tax rate for the three and nine months ended September 30, 2014 was 40.8% and 38.6%, respectively. The change in effective tax rates was driven by the change in discrete activity.</w:t>
      </w:r>
    </w:p>
    <w:p>
      <w:pPr>
        <w:spacing w:after="0" w:line="154"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8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accordance with the FASB’s authoritative guidance on accounting for uncertainty in income taxes, the Company has recorded a liability of $2.3 million for unrecognized tax benefits related to a 2010 Research &amp; Development Credit as of September 30, 2015 and December 31, 2014. The accounting guidance prescribes a recognition threshold and measurement attributes for the financial statement recognition and measurement of a tax position taken or expected to be taken in a tax return. For the year ended December 31, 2014, the return will remain subject to examination by the various taxing authorities for the duration of the applicable statute of limitations (generally three years from the later of the date of filing or the due date of the return).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reconcile changes in Accumulated other comprehensive loss (“AOCL”) by component (net of tax, dollars in millions):</w:t>
      </w:r>
    </w:p>
    <w:p>
      <w:pPr>
        <w:sectPr>
          <w:pgSz w:w="11900" w:h="16838" w:orient="portrait"/>
          <w:cols w:equalWidth="0" w:num="1">
            <w:col w:w="10960"/>
          </w:cols>
          <w:pgMar w:left="24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June 30, 2014</w:t>
      </w:r>
    </w:p>
    <w:p>
      <w:pPr>
        <w:spacing w:after="0" w:line="50" w:lineRule="exact"/>
        <w:rPr>
          <w:sz w:val="20"/>
          <w:szCs w:val="20"/>
          <w:color w:val="auto"/>
        </w:rPr>
      </w:pPr>
    </w:p>
    <w:p>
      <w:pPr>
        <w:ind w:left="820" w:right="800"/>
        <w:spacing w:after="0" w:line="263"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Defined</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Foreign</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benefit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sale securities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8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-574040</wp:posOffset>
            </wp:positionV>
            <wp:extent cx="666369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-273685</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200" w:space="720"/>
            <w:col w:w="5040"/>
          </w:cols>
          <w:pgMar w:left="240" w:top="459" w:right="6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(0.9)</w:t>
            </w:r>
          </w:p>
        </w:tc>
        <w:tc>
          <w:tcPr>
            <w:tcW w:w="56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(0.7)</w:t>
            </w:r>
          </w:p>
        </w:tc>
        <w:tc>
          <w:tcPr>
            <w:tcW w:w="60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(6.6)</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AOCL as of September 30, 2014</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AOCL as of June 30, 2015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(0.2)</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(0.6)</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AOCL as of September 30, 2015</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(53.4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459"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December 31, 2013</w:t>
      </w:r>
    </w:p>
    <w:p>
      <w:pPr>
        <w:spacing w:after="0" w:line="50" w:lineRule="exact"/>
        <w:rPr>
          <w:sz w:val="20"/>
          <w:szCs w:val="20"/>
          <w:color w:val="auto"/>
        </w:rPr>
      </w:pPr>
    </w:p>
    <w:p>
      <w:pPr>
        <w:ind w:left="820" w:right="800"/>
        <w:spacing w:after="0" w:line="263"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ind w:left="1880"/>
        <w:spacing w:after="0"/>
        <w:rPr>
          <w:sz w:val="20"/>
          <w:szCs w:val="20"/>
          <w:color w:val="auto"/>
        </w:rPr>
      </w:pPr>
      <w:r>
        <w:rPr>
          <w:rFonts w:ascii="Arial" w:cs="Arial" w:eastAsia="Arial" w:hAnsi="Arial"/>
          <w:sz w:val="14"/>
          <w:szCs w:val="14"/>
          <w:b w:val="1"/>
          <w:bCs w:val="1"/>
          <w:color w:val="auto"/>
        </w:rPr>
        <w:t>Nine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2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Defined</w:t>
            </w: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Foreign</w:t>
            </w:r>
          </w:p>
        </w:tc>
        <w:tc>
          <w:tcPr>
            <w:tcW w:w="2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benefit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sale securities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8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-574040</wp:posOffset>
            </wp:positionV>
            <wp:extent cx="666369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-3462020</wp:posOffset>
            </wp:positionH>
            <wp:positionV relativeFrom="paragraph">
              <wp:posOffset>-273685</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200" w:space="720"/>
            <w:col w:w="5040"/>
          </w:cols>
          <w:pgMar w:left="240" w:top="459" w:right="69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(1.4)</w:t>
            </w:r>
          </w:p>
        </w:tc>
        <w:tc>
          <w:tcPr>
            <w:tcW w:w="56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(3.0)</w:t>
            </w:r>
          </w:p>
        </w:tc>
        <w:tc>
          <w:tcPr>
            <w:tcW w:w="3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AOCL as of September 30, 2014</w:t>
            </w:r>
          </w:p>
        </w:tc>
        <w:tc>
          <w:tcPr>
            <w:tcW w:w="9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AOCL as of December 31, 2014</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340"/>
              <w:spacing w:after="0"/>
              <w:rPr>
                <w:sz w:val="20"/>
                <w:szCs w:val="20"/>
                <w:color w:val="auto"/>
              </w:rPr>
            </w:pPr>
            <w:r>
              <w:rPr>
                <w:rFonts w:ascii="Arial" w:cs="Arial" w:eastAsia="Arial" w:hAnsi="Arial"/>
                <w:sz w:val="18"/>
                <w:szCs w:val="18"/>
                <w:color w:val="auto"/>
              </w:rPr>
              <w:t>Other comprehensive loss before reclassification</w:t>
            </w:r>
          </w:p>
        </w:tc>
        <w:tc>
          <w:tcPr>
            <w:tcW w:w="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w:t>
            </w: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(13.9)</w:t>
            </w: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AOCL as of September 30, 2015</w:t>
            </w:r>
          </w:p>
        </w:tc>
        <w:tc>
          <w:tcPr>
            <w:tcW w:w="9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(53.4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40" w:type="dxa"/>
            <w:vAlign w:val="bottom"/>
            <w:vMerge w:val="restart"/>
          </w:tcPr>
          <w:p>
            <w:pPr>
              <w:jc w:val="right"/>
              <w:ind w:right="3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tables show the location in the Condensed Consolidated Statements of Comprehensive Income affected by reclassifications from AOCL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w w:val="96"/>
              </w:rPr>
              <w:t>Amounts reclassified from AOCL</w:t>
            </w: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Borders>
              <w:top w:val="single" w:sz="8" w:color="auto"/>
            </w:tcBorders>
            <w:gridSpan w:val="4"/>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4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ended</w:t>
            </w: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 Consolidated</w:t>
            </w:r>
          </w:p>
        </w:tc>
        <w:tc>
          <w:tcPr>
            <w:tcW w:w="0" w:type="dxa"/>
            <w:vAlign w:val="bottom"/>
          </w:tcPr>
          <w:p>
            <w:pPr>
              <w:spacing w:after="0"/>
              <w:rPr>
                <w:sz w:val="1"/>
                <w:szCs w:val="1"/>
                <w:color w:val="auto"/>
              </w:rPr>
            </w:pPr>
          </w:p>
        </w:tc>
      </w:tr>
      <w:tr>
        <w:trPr>
          <w:trHeight w:val="144"/>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2"/>
                <w:szCs w:val="12"/>
                <w:color w:val="auto"/>
              </w:rPr>
            </w:pPr>
          </w:p>
        </w:tc>
        <w:tc>
          <w:tcPr>
            <w:tcW w:w="160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September 30,</w:t>
            </w:r>
          </w:p>
        </w:tc>
        <w:tc>
          <w:tcPr>
            <w:tcW w:w="1640" w:type="dxa"/>
            <w:vAlign w:val="bottom"/>
            <w:gridSpan w:val="3"/>
          </w:tcPr>
          <w:p>
            <w:pPr>
              <w:jc w:val="center"/>
              <w:ind w:right="7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w:t>
            </w:r>
          </w:p>
        </w:tc>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0.8</w:t>
            </w:r>
          </w:p>
        </w:tc>
        <w:tc>
          <w:tcPr>
            <w:tcW w:w="6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0.8</w:t>
            </w:r>
          </w:p>
        </w:tc>
        <w:tc>
          <w:tcPr>
            <w:tcW w:w="316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0.1</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0.0</w:t>
            </w:r>
          </w:p>
        </w:tc>
        <w:tc>
          <w:tcPr>
            <w:tcW w:w="3160" w:type="dxa"/>
            <w:vAlign w:val="bottom"/>
          </w:tcPr>
          <w:p>
            <w:pPr>
              <w:spacing w:after="0"/>
              <w:rPr>
                <w:sz w:val="20"/>
                <w:szCs w:val="20"/>
                <w:color w:val="auto"/>
              </w:rPr>
            </w:pPr>
            <w:r>
              <w:rPr>
                <w:rFonts w:ascii="Arial" w:cs="Arial" w:eastAsia="Arial" w:hAnsi="Arial"/>
                <w:sz w:val="18"/>
                <w:szCs w:val="18"/>
                <w:color w:val="auto"/>
                <w:w w:val="95"/>
              </w:rPr>
              <w:t>Engineering – research and development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0.0</w:t>
            </w:r>
          </w:p>
        </w:tc>
        <w:tc>
          <w:tcPr>
            <w:tcW w:w="3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Engineering – research and development</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w w:val="96"/>
              </w:rPr>
              <w:t>Amounts reclassified from AOCL</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0" w:type="dxa"/>
            <w:vAlign w:val="bottom"/>
            <w:tcBorders>
              <w:top w:val="single" w:sz="8" w:color="auto"/>
            </w:tcBorders>
            <w:gridSpan w:val="4"/>
          </w:tcPr>
          <w:p>
            <w:pPr>
              <w:jc w:val="center"/>
              <w:ind w:right="740"/>
              <w:spacing w:after="0" w:line="119" w:lineRule="exact"/>
              <w:rPr>
                <w:sz w:val="20"/>
                <w:szCs w:val="20"/>
                <w:color w:val="auto"/>
              </w:rPr>
            </w:pPr>
            <w:r>
              <w:rPr>
                <w:rFonts w:ascii="Arial" w:cs="Arial" w:eastAsia="Arial" w:hAnsi="Arial"/>
                <w:sz w:val="13"/>
                <w:szCs w:val="13"/>
                <w:b w:val="1"/>
                <w:bCs w:val="1"/>
                <w:color w:val="auto"/>
                <w:w w:val="99"/>
              </w:rPr>
              <w:t>Nine months</w:t>
            </w: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Nine months</w:t>
            </w:r>
          </w:p>
        </w:tc>
        <w:tc>
          <w:tcPr>
            <w:tcW w:w="7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4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ended</w:t>
            </w: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 Consolidated</w:t>
            </w:r>
          </w:p>
        </w:tc>
        <w:tc>
          <w:tcPr>
            <w:tcW w:w="0" w:type="dxa"/>
            <w:vAlign w:val="bottom"/>
          </w:tcPr>
          <w:p>
            <w:pPr>
              <w:spacing w:after="0"/>
              <w:rPr>
                <w:sz w:val="1"/>
                <w:szCs w:val="1"/>
                <w:color w:val="auto"/>
              </w:rPr>
            </w:pPr>
          </w:p>
        </w:tc>
      </w:tr>
      <w:tr>
        <w:trPr>
          <w:trHeight w:val="144"/>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20" w:type="dxa"/>
            <w:vAlign w:val="bottom"/>
          </w:tcPr>
          <w:p>
            <w:pPr>
              <w:spacing w:after="0"/>
              <w:rPr>
                <w:sz w:val="12"/>
                <w:szCs w:val="12"/>
                <w:color w:val="auto"/>
              </w:rPr>
            </w:pPr>
          </w:p>
        </w:tc>
        <w:tc>
          <w:tcPr>
            <w:tcW w:w="160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rPr>
              <w:t>September 30,</w:t>
            </w:r>
          </w:p>
        </w:tc>
        <w:tc>
          <w:tcPr>
            <w:tcW w:w="1640" w:type="dxa"/>
            <w:vAlign w:val="bottom"/>
            <w:gridSpan w:val="3"/>
          </w:tcPr>
          <w:p>
            <w:pPr>
              <w:jc w:val="center"/>
              <w:ind w:right="72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3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w:t>
            </w:r>
          </w:p>
        </w:tc>
        <w:tc>
          <w:tcPr>
            <w:tcW w:w="2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Prior service cost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68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2.4</w:t>
            </w:r>
          </w:p>
        </w:tc>
        <w:tc>
          <w:tcPr>
            <w:tcW w:w="316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0.2</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0.0</w:t>
            </w:r>
          </w:p>
        </w:tc>
        <w:tc>
          <w:tcPr>
            <w:tcW w:w="3160" w:type="dxa"/>
            <w:vAlign w:val="bottom"/>
          </w:tcPr>
          <w:p>
            <w:pPr>
              <w:spacing w:after="0"/>
              <w:rPr>
                <w:sz w:val="20"/>
                <w:szCs w:val="20"/>
                <w:color w:val="auto"/>
              </w:rPr>
            </w:pPr>
            <w:r>
              <w:rPr>
                <w:rFonts w:ascii="Arial" w:cs="Arial" w:eastAsia="Arial" w:hAnsi="Arial"/>
                <w:sz w:val="18"/>
                <w:szCs w:val="18"/>
                <w:color w:val="auto"/>
                <w:w w:val="95"/>
              </w:rPr>
              <w:t>Engineering – research and development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0.0</w:t>
            </w:r>
          </w:p>
        </w:tc>
        <w:tc>
          <w:tcPr>
            <w:tcW w:w="31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5"/>
              </w:rPr>
              <w:t>Engineering – research and development</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36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L for additional details.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asset purchase agreement with General Motors Corporation (“Old GM”), Old GM agreed to indemnify the Company against certain environmental liabilities, including pre-acquisition offsite waste disposal from the Company’s facilities, former facilities associated with the business and any properties or facilities relating to the business that Old GM retained. While the Company is responsible for environmental liabilities that arise due to post-acquisition activities, General Motors Company (“GM”), as successor to Old GM’s obligations, has continued to perform remedial activities at the Company’s Indianapolis, Indiana manufacturing facilities relating to historical soil and groundwater contamination at the facilities. GM’s activities are referred to as the “Corrective Action” plan, pursuant to the asset purchase agreement, whereby it retained responsibility for completing all obligations covered by a voluntary Corrective Action Agreement that Old GM entered with the U.S. Environmental Protection Agency (“EPA”).</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the third quarter of 2015, the EPA determined that GM’s remedial activities were complete and that the migration of any contamination is under control, resulting in the Company assuming responsibility for operating, monitoring and maintaining the ongoing Corrective Action activities through an agreed order of consent (“AOC”) with the EPA.</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a result of the AOC, the Company has determined that appropriate liabilities for the operating, monitoring and maintaining the ongoing remedial activities can be reasonably estimated. As of September 30, 2015, the Company recorded approximately $14.0 million for the estimated undiscounted liabilities to be paid out over the next 30 years, including approximately $0.5 million recorded to Other current liabilities and approximately $13.5 million to Other non-current liabilities. The recorded liabilities will be adjusted periodically as remediation efforts progress or as additional technical, regulatory or legal information becomes available. The Company expects to fund the expenditures for these activities from operating cash flow.</w:t>
      </w:r>
    </w:p>
    <w:p>
      <w:pPr>
        <w:spacing w:after="0" w:line="15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With the AOC, financial assurance is required by the EPA to complete the operation, monitoring and maintenance activities in the event we fail to do so. This financial assurance can take a variety of forms including, but not limited to meeting certain financial metrics, providing a letter of credit, or securing a bond or an insurance policy. The amount and method by which the Company will be required to fulfill is expected to be determined by early 2016.</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It is the Company’s policy to record liabilities for environmental matters when remedial efforts are probable and the costs can be reasonably estimated.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other environmental matters, please refer to Part I, Item 1 and Item 1A in our 2014 Annual Report on Form 10-K.</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CERTAIN RELATIONSHIPS AND RELATED PARTY TRANSACTIONS</w:t>
      </w:r>
    </w:p>
    <w:p>
      <w:pPr>
        <w:spacing w:after="0" w:line="12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In May 2015, the Company redeemed $100,000 and $450,000 of 7.125% Senior Notes held by Lawrence E. Dewey, our Chairman, President and Chief Executive Officer, and David S. Graziosi, our Executive Vice President, Chief Financial Officer and Treasurer, respectively, at the specified redemption price in the governing indenture equal to 103.563% of the principal amount plus any accrued and unpaid interest. Refer to NOTE F for additional details.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As of September 30, 2015, 0.7 million of outstanding stock options were not included in the diluted EPS computation because they were anti-dilutive.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Three months ended</w:t>
            </w: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1300" w:type="dxa"/>
            <w:vAlign w:val="bottom"/>
            <w:gridSpan w:val="5"/>
          </w:tcPr>
          <w:p>
            <w:pPr>
              <w:jc w:val="right"/>
              <w:ind w:right="3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169.3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178.8</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177.5</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175.0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180.9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179.0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repurchases are subject to market conditions and corporate needs. This stock repurchase program may be extended, modified, suspended or discontinued at any time at the Board’s discretion. During the three months and nine months ended September 30, 2015, the Company repurchased approximately $172.2 million and $296.3 million, respectively, of its common stock under the repurchase program. All of the repurchase transactions during the third quarter of 2015 were settled in cash during the same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expect our full year 2015 net sales to decrease year-over-year principally due to increased demand in the North America On-Highway end market being more than offset by the elevated level of uncertainty and dearth of near-term visibility in the global Off-Highway and Service Parts, Support Equipment and Other end markets, previously considered reductions in U.S. defense spending, continued weakness in the Outside North America On-Highway end market and lower demand for North America Hybrid-Propulsion Systems for Transit Bus due to engine emissions improvements and non-hybrid alternatives. We also expect fourth quarter net sales to be lower than the same period in 2014. The anticipated year-over-year decrease in fourth quarter net sales is expected to occur due to lower demand in the global Off-Highway and Defense end markets.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Third Quarter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Q3 2015</w:t>
            </w:r>
          </w:p>
        </w:tc>
        <w:tc>
          <w:tcPr>
            <w:tcW w:w="12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Q3 2014</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58"/>
        </w:trPr>
        <w:tc>
          <w:tcPr>
            <w:tcW w:w="6200" w:type="dxa"/>
            <w:vAlign w:val="bottom"/>
            <w:gridSpan w:val="2"/>
            <w:vMerge w:val="continue"/>
          </w:tcPr>
          <w:p>
            <w:pPr>
              <w:spacing w:after="0"/>
              <w:rPr>
                <w:sz w:val="13"/>
                <w:szCs w:val="13"/>
                <w:color w:val="auto"/>
              </w:rPr>
            </w:pPr>
          </w:p>
        </w:tc>
        <w:tc>
          <w:tcPr>
            <w:tcW w:w="12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262</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256</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6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North America On-Highway end market net sales were up 2% for the third quarter 2015 compared to the third quarter 2014, principally driven by higher demand for Highway Series models.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North America Hybrid-Propulsion Systems for Transit Bus end market net sales were down 48% for the third quarter 2015 compared to the third quarter 2014, principally driven by lower demand due to engine emissions improvements and non-hybrid alternatives that generally require a fully-automatic transmission (e.g. xNG).</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North America Off-Highway end market net sales were down 60% for the third quarter 2015 compared to the third quarter of 2014, principally driven by lower demand from hydraulic fracturing applications.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Defense end market net sales were down 3% for the third quarter 2015 compared to the third quarter 2014, principally driven by reductions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defense spending to longer term averages experienced during periods without active conflicts.</w:t>
      </w:r>
    </w:p>
    <w:p>
      <w:pPr>
        <w:spacing w:after="0" w:line="21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down 8% for the third quarter 2015 compared to the third quarter 2014, principally driven by lower demand in China partially offset by higher demand in Europe.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78% for the third quarter 2015 compared to the third quarter 2014, principally driven by lower demand in the energy sector.</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Service parts, support equipment and other end market net sales were down 14% for the third quarter 2015 compared to the third quarter 2014, principally driven by lower demand for North America service parts.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nine months ended September 30, 2015, direct material costs were approximately 68%, overhead costs were approximately 25%,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w w:val="93"/>
              </w:rPr>
              <w:t>For the three</w:t>
            </w:r>
          </w:p>
        </w:tc>
        <w:tc>
          <w:tcPr>
            <w:tcW w:w="1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00" w:type="dxa"/>
            <w:vAlign w:val="bottom"/>
          </w:tcPr>
          <w:p>
            <w:pPr>
              <w:spacing w:after="0"/>
              <w:rPr>
                <w:sz w:val="12"/>
                <w:szCs w:val="12"/>
                <w:color w:val="auto"/>
              </w:rPr>
            </w:pPr>
          </w:p>
        </w:tc>
        <w:tc>
          <w:tcPr>
            <w:tcW w:w="196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5"/>
          </w:tcPr>
          <w:p>
            <w:pPr>
              <w:jc w:val="center"/>
              <w:ind w:right="6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3"/>
                <w:szCs w:val="13"/>
                <w:color w:val="auto"/>
              </w:rPr>
            </w:pPr>
          </w:p>
        </w:tc>
        <w:tc>
          <w:tcPr>
            <w:tcW w:w="1960" w:type="dxa"/>
            <w:vAlign w:val="bottom"/>
            <w:gridSpan w:val="6"/>
          </w:tcPr>
          <w:p>
            <w:pPr>
              <w:jc w:val="right"/>
              <w:ind w:right="68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in millions)</w:t>
            </w: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1"/>
              <w:spacing w:after="0"/>
              <w:rPr>
                <w:sz w:val="20"/>
                <w:szCs w:val="20"/>
                <w:color w:val="auto"/>
              </w:rPr>
            </w:pPr>
            <w:r>
              <w:rPr>
                <w:rFonts w:ascii="Arial" w:cs="Arial" w:eastAsia="Arial" w:hAnsi="Arial"/>
                <w:sz w:val="14"/>
                <w:szCs w:val="14"/>
                <w:b w:val="1"/>
                <w:bCs w:val="1"/>
                <w:color w:val="auto"/>
                <w:w w:val="89"/>
              </w:rPr>
              <w:t>2014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169.3</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plus: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33.7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Cash interest expense</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(21.8)</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(34.7)</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Cash income taxes</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24.3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Environmental remediation (a)</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 (b)</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Technology-related investment expense (c)</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 expenses (d)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122.9</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137.5</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370.6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Cash income taxes</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22.4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w w:val="96"/>
              </w:rPr>
              <w:t>Premiums and expenses on tender offer and redemption of long-term debt (e)</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foreign exchange (f)</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Unrealized loss (gain) on commodity hedge contracts (g)</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0.7</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Dual power inverter module units extended coverage (h)</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(0.3)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Restructuring charge (i)</w:t>
            </w:r>
          </w:p>
        </w:tc>
        <w:tc>
          <w:tcPr>
            <w:tcW w:w="8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repayments of long-term debt (j)</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Other (k)</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174.1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549.7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Adjusted EBITDA excluding technology-related license expenses (l)</w:t>
            </w: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8"/>
              </w:rPr>
              <w:t>174.3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201.8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549.9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8"/>
              </w:rPr>
              <w:t>493.0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553.3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6"/>
              </w:rPr>
              <w:t>1,507.6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35.3%</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Adjusted EBITDA margin excluding technology-related licenses expenses (l)</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35.4%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8"/>
              </w:rPr>
              <w:t>156.3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174.0</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390.0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Additions of long-lived assets</w:t>
            </w:r>
          </w:p>
        </w:tc>
        <w:tc>
          <w:tcPr>
            <w:tcW w:w="8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(15.2)</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(14.9)</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 (m)</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Technology-related license expenses (l)</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141.5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440" w:hanging="565"/>
        <w:spacing w:after="0" w:line="269"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environmental remediation expenses for ongoing environmental operating, monitoring and maintenance activities at our Indianapolis, Indiana manufacturing facilities as a result of the U.S. Environmental Protection Agency (“EPA”) determining that we are responsible for future operating, monitoring and maintenance activities, and that General Motors Company’s (“GM”) environmental remediation activities, pursuant the asset purchase agreement, were completed in the third quarter of 2015.</w:t>
      </w:r>
    </w:p>
    <w:p>
      <w:pPr>
        <w:spacing w:after="0" w:line="2" w:lineRule="exact"/>
        <w:rPr>
          <w:rFonts w:ascii="Arial" w:cs="Arial" w:eastAsia="Arial" w:hAnsi="Arial"/>
          <w:sz w:val="17"/>
          <w:szCs w:val="17"/>
          <w:color w:val="auto"/>
        </w:rPr>
      </w:pPr>
    </w:p>
    <w:p>
      <w:pPr>
        <w:ind w:left="1140" w:right="6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the H3000 and H4000 hybrid-propulsion systems.</w:t>
      </w:r>
    </w:p>
    <w:p>
      <w:pPr>
        <w:ind w:left="1140" w:right="20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(recorded in Other expense, net) for investments in co-development agreements to expand our position in transmission technologies.</w:t>
      </w:r>
    </w:p>
    <w:p>
      <w:pPr>
        <w:ind w:left="1140" w:right="16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secondary offerings in September 2014, June 2014, April 2014 and February 2014.</w:t>
      </w:r>
    </w:p>
    <w:p>
      <w:pPr>
        <w:ind w:left="1140" w:right="30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premiums and expenses related to the tender offer and redemption of Allison Transmission, Inc.’s, (“ATI”), our wholly owned subsidiary, 7.125% senior cash pay notes due May 2019 (“7.125% Senior Notes”).</w:t>
      </w:r>
    </w:p>
    <w:p>
      <w:pPr>
        <w:ind w:left="1140" w:right="46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expense, net) on the mark-to-market of our foreign currency hedge contracts and on intercompany financing transactions related to our India facility.</w:t>
      </w: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net) on the mark-to-market of our commodity hedge contracts.</w:t>
      </w:r>
    </w:p>
    <w:p>
      <w:pPr>
        <w:spacing w:after="0" w:line="9" w:lineRule="exact"/>
        <w:rPr>
          <w:rFonts w:ascii="Arial" w:cs="Arial" w:eastAsia="Arial" w:hAnsi="Arial"/>
          <w:sz w:val="18"/>
          <w:szCs w:val="18"/>
          <w:color w:val="auto"/>
        </w:rPr>
      </w:pPr>
    </w:p>
    <w:p>
      <w:pPr>
        <w:ind w:left="1140" w:right="24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1140" w:right="44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Engineering—research and development) related to employee headcount reductions in the second quarter of 2014.</w:t>
      </w: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losses (recorded in Other expense, net) realized on the repayments of ATI’s long-term debt.</w:t>
      </w:r>
    </w:p>
    <w:p>
      <w:pPr>
        <w:spacing w:after="0" w:line="9" w:lineRule="exact"/>
        <w:rPr>
          <w:rFonts w:ascii="Arial" w:cs="Arial" w:eastAsia="Arial" w:hAnsi="Arial"/>
          <w:sz w:val="18"/>
          <w:szCs w:val="18"/>
          <w:color w:val="auto"/>
        </w:rPr>
      </w:pPr>
    </w:p>
    <w:p>
      <w:pPr>
        <w:ind w:left="1140" w:hanging="565"/>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expenses, and Engineering – research and development).</w:t>
      </w: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32" w:lineRule="exact"/>
        <w:rPr>
          <w:rFonts w:ascii="Arial" w:cs="Arial" w:eastAsia="Arial" w:hAnsi="Arial"/>
          <w:sz w:val="16"/>
          <w:szCs w:val="16"/>
          <w:color w:val="auto"/>
        </w:rPr>
      </w:pPr>
    </w:p>
    <w:p>
      <w:pPr>
        <w:ind w:left="1140" w:right="220" w:hanging="565"/>
        <w:spacing w:after="0" w:line="26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September 30, 2015 and 2014</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2015 and 2014.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0"/>
                <w:szCs w:val="10"/>
                <w:color w:val="auto"/>
              </w:rPr>
            </w:pPr>
          </w:p>
        </w:tc>
        <w:tc>
          <w:tcPr>
            <w:tcW w:w="960" w:type="dxa"/>
            <w:vAlign w:val="bottom"/>
            <w:gridSpan w:val="2"/>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2014</w:t>
            </w:r>
          </w:p>
        </w:tc>
        <w:tc>
          <w:tcPr>
            <w:tcW w:w="600" w:type="dxa"/>
            <w:vAlign w:val="bottom"/>
          </w:tcPr>
          <w:p>
            <w:pPr>
              <w:spacing w:after="0"/>
              <w:rPr>
                <w:sz w:val="10"/>
                <w:szCs w:val="10"/>
                <w:color w:val="auto"/>
              </w:rPr>
            </w:pPr>
          </w:p>
        </w:tc>
        <w:tc>
          <w:tcPr>
            <w:tcW w:w="6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3"/>
              </w:rPr>
              <w:t>of net sales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493.0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553.3</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256.9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294.0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236.1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86.6</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23.6</w:t>
            </w:r>
          </w:p>
        </w:tc>
        <w:tc>
          <w:tcPr>
            <w:tcW w:w="14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24.5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14.0</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124.2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112.0</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111.9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147.3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7"/>
              </w:rPr>
              <w:t>(33.7)</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(29.3)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340"/>
              <w:spacing w:after="0" w:line="201" w:lineRule="exact"/>
              <w:rPr>
                <w:sz w:val="20"/>
                <w:szCs w:val="20"/>
                <w:color w:val="auto"/>
              </w:rPr>
            </w:pPr>
            <w:r>
              <w:rPr>
                <w:rFonts w:ascii="Arial" w:cs="Arial" w:eastAsia="Arial" w:hAnsi="Arial"/>
                <w:sz w:val="18"/>
                <w:szCs w:val="18"/>
                <w:color w:val="auto"/>
              </w:rPr>
              <w:t>Premiums and expenses on tender offer and redemption of long-term</w:t>
            </w:r>
          </w:p>
        </w:tc>
        <w:tc>
          <w:tcPr>
            <w:tcW w:w="80" w:type="dxa"/>
            <w:vAlign w:val="bottom"/>
          </w:tcPr>
          <w:p>
            <w:pPr>
              <w:spacing w:after="0"/>
              <w:rPr>
                <w:sz w:val="17"/>
                <w:szCs w:val="17"/>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(0.2)</w:t>
            </w:r>
          </w:p>
        </w:tc>
        <w:tc>
          <w:tcPr>
            <w:tcW w:w="1400" w:type="dxa"/>
            <w:vAlign w:val="bottom"/>
            <w:gridSpan w:val="3"/>
            <w:vMerge w:val="restart"/>
          </w:tcPr>
          <w:p>
            <w:pPr>
              <w:jc w:val="right"/>
              <w:ind w:right="380"/>
              <w:spacing w:after="0"/>
              <w:rPr>
                <w:sz w:val="20"/>
                <w:szCs w:val="20"/>
                <w:color w:val="auto"/>
              </w:rPr>
            </w:pPr>
            <w:r>
              <w:rPr>
                <w:rFonts w:ascii="Arial" w:cs="Arial" w:eastAsia="Arial" w:hAnsi="Arial"/>
                <w:sz w:val="18"/>
                <w:szCs w:val="18"/>
                <w:b w:val="1"/>
                <w:bCs w:val="1"/>
                <w:color w:val="auto"/>
              </w:rPr>
              <w:t>(0)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520"/>
              <w:spacing w:after="0"/>
              <w:rPr>
                <w:sz w:val="20"/>
                <w:szCs w:val="20"/>
                <w:color w:val="auto"/>
              </w:rPr>
            </w:pPr>
            <w:r>
              <w:rPr>
                <w:rFonts w:ascii="Arial" w:cs="Arial" w:eastAsia="Arial" w:hAnsi="Arial"/>
                <w:sz w:val="18"/>
                <w:szCs w:val="18"/>
                <w:color w:val="auto"/>
              </w:rPr>
              <w:t>debt</w:t>
            </w:r>
          </w:p>
        </w:tc>
        <w:tc>
          <w:tcPr>
            <w:tcW w:w="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(38.1)</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(31.0)</w:t>
            </w:r>
          </w:p>
        </w:tc>
        <w:tc>
          <w:tcPr>
            <w:tcW w:w="60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116.3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(27.3)</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(47.5)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Net sales for the quarter ended September 30, 2015 were $493.0 million compared to $553.3 million for the quarter ended September 30, 2014, a decrease of 11%. The decrease was principally driven by a $18.0 million, or 60%, decrease in net sales of North American off-highway products driven by lower demand from hydraulic fracturing applications, a $16.0 million, or 14%, decrease in net sales of parts and other products driven by lower demand for North America service parts, a $14.0 million, or 78%, decrease in net sales of Outside North America off-highway products driven by lower demand from the energy sector, a $11.0 million, or 48%, decrease in net sales of North America hybrid-propulsion systems for transit buses driven by lower demand due to engine emissions improvements and non-hybrid alternatives that generally require a fully-automatic transmission (e.g. xNG), a $6.0 million, or 8%, decrease in net sales of Outside North America on-highway products driven by lower demand in China partially offset by higher demand in Europe and a $1.0 million, or 3%, decrease in net sales of defense products driven by lower U.S. defense spending, partially offset by a $6.0 million, or 2%, increase in net sales of North America on-highway commercial products driven by higher demand from Highway Series models. See “Trends Impacting Our Business” above for additional information on net sales by end markets.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Cost of sales for the quarter ended September 30, 2015 was $256.9 million compared to $294.0 million for the quarter ended September 30, 2014, a decrease of 13%. The decrease was principally driven by approximately $26.0 million of decreased direct material costs commensurate with decreased sales, $3.4 million of lower incentive compensation, $2.0 million of favorable direct material costs, and lower manufacturing cost commensurate with decreased sales and consistent with historical trends and management’s expectations given the respective change in sales volume.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Gross profit for the quarter ended September 30, 2015 was $236.1 million compared to $259.3 million for the quarter ended September 30, 2014, a decrease of 9%. The decrease was principally driven by $35.0 million related to decreased sales volume, partially offset by $5.0 million of price increases on certain products, $2.0 million of favorable material costs and $3.4 million of lower incentive compensation expense. Gross profit as a percent of net sales increased 1%, principally driven by price increases on certain products and favorable material costs.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September 30, 2015 were $86.6 million compared to $87.5 million for the quarter ended September 30, 2014, a decrease of 1%. The decrease was principally driven by $3.4 million of lower incentive compensation expense, $1.3 million of lower stock-based compensation expense and reduced global commercial spending activities, partially offset by $7.0 million of unfavorable product warranty adjustments.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Engineering expenses for the quarter ended September 30, 2015 were $23.6 million compared to $24.5 million for the quarter ended September 30, 2014, a decrease of 4%. The decrease was principally driven by $1.4 million of lower incentive compensation expense, partially offset by $0.2 million of technology-related license expenses to expand our position in transmission technologies.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During the third quarter of 2015, the EPA determined that GM’s environmental remediation activities at our Indianapolis, Indiana manufacturing facilities were complete, resulting in us assuming responsibility for future operating, monitoring and maintenance activities. As of September 30, 2015, we recorded approximately $14.0 million for the related environmental remediation expenses.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Interest expense, net for the quarter ended September 30, 2015 was $33.7 million compared to $29.3 million for the quarter ended September 30, 2014, an increase of 15%. The increase was principally driven by $14.6 million of unfavorable mark-to-market adjustments for our interest rate derivatives and $4.0 million of higher interest expense as a result of the addition of $470.0 million to our Term B-3 Loan in April 2015, partially offset by $8.4 million of lower interest expense as a result of the repurchase and redemption of our 7.125% Senior Notes during the second quarter of 2015, $2.7 million of lower interest expense as a result of the maturity of $950.0 million of interest rate derivatives, $1.6 million of lower interest expense as a result of debt repayments, $1.0 million of lower interest expense as a result of lower interest rates on ATI’s Senior Secured Credit Facility Term B-2 Loan due 2017 (“Term B-2 Loan”) and ATI’s Senior Secured Credit Facility Term B-3 Loan due 2019 (“Term B-3 Loan”) (together, the Term B-2 Loan, Term B-3 Loan and revolving credit facility defined as the “Senior Secured Credit Facility”) and $0.5 million of lower amortization of deferred financing charges.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Other expense, net for the quarter ended September 30, 2015 was $4.2 million compared to $1.7 million for the quarter ended September 30, 2014. The increase in Other expense, net was principally driven by a $2.0 million 2014 gain related to the negotiation of a commercial agreement, $1.2 million of higher foreign exchange losses on intercompany financing, $0.7 million of 2014 Grant Program income, $0.9 million of unrealized losses on derivative contracts and $0.3 million of realized losses on derivative contracts, partially offset by a $2.0 million of 2014 loss on investments in technology-related initiatives, $0.3 million of lower expenses related to debt repayments and $0.3 million of 2014 public offering expenses.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Income tax expense for the quarter ended September 30, 2015 was $27.3 million resulting in an effective tax rate of 37.0% versus an effective tax rate of 40.8% in the quarter ended September 30, 2014. The change in effective tax rate was principally driven by the change in discrete activity.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nine months ended September 30, 2015 and 2014</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2015 and 2014.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9"/>
              </w:rPr>
              <w:t>Nine months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0"/>
                <w:szCs w:val="10"/>
                <w:color w:val="auto"/>
              </w:rPr>
            </w:pPr>
          </w:p>
        </w:tc>
        <w:tc>
          <w:tcPr>
            <w:tcW w:w="6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of net sales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1,507.6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1,583.0</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862.7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235.6</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69.0</w:t>
            </w:r>
          </w:p>
        </w:tc>
        <w:tc>
          <w:tcPr>
            <w:tcW w:w="2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70.2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Environmental remediation</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319.9</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394.3</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(93.7)</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(101.0)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Premiums and expenses on tender offer and redemption of long-term</w:t>
            </w:r>
          </w:p>
        </w:tc>
        <w:tc>
          <w:tcPr>
            <w:tcW w:w="100" w:type="dxa"/>
            <w:vAlign w:val="bottom"/>
            <w:shd w:val="clear" w:color="auto" w:fill="CCEEFF"/>
          </w:tcPr>
          <w:p>
            <w:pPr>
              <w:spacing w:after="0"/>
              <w:rPr>
                <w:sz w:val="17"/>
                <w:szCs w:val="17"/>
                <w:color w:val="auto"/>
              </w:rPr>
            </w:pPr>
          </w:p>
        </w:tc>
        <w:tc>
          <w:tcPr>
            <w:tcW w:w="8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(25.3)</w:t>
            </w:r>
          </w:p>
        </w:tc>
        <w:tc>
          <w:tcPr>
            <w:tcW w:w="1340" w:type="dxa"/>
            <w:vAlign w:val="bottom"/>
            <w:gridSpan w:val="3"/>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1340" w:type="dxa"/>
            <w:vAlign w:val="bottom"/>
            <w:gridSpan w:val="3"/>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(3.6)</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(122.6)</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(99.8)</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169.3</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178.1</w:t>
            </w:r>
          </w:p>
        </w:tc>
        <w:tc>
          <w:tcPr>
            <w:tcW w:w="5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sales for the nine months ended September 30, 2015 were $1,507.6 million compared to $1,583.0 million for the nine months ended September 30, 2014, a decrease of 5%. The decrease was principally driven by a $37.0 million, or 11%, decrease in net sales of parts and other products driven by lower demand for North America service parts, a $35.0 million, or 56%, decrease in net sales of Outside North America off-highway products driven by lower demand from the energy and mining sectors, a $30.0 million, or 25%, decrease in net sales of defense products driven by the recognition of previously deferred revenue in 2014 related to shipment of certain tracked transmissions at the request of the U.S. government and lower U.S. defense spending, a $25.0 million, or 33%, decrease in net sales of North America hybrid-propulsion systems for transit buses driven by lower demand due to engine emissions improvements, a $21.0 million, or 32%, decrease in net sales of North American off-highway products driven by lower demand from hydraulic fracturing applications and a $2.0 million, or 1%, decrease in net sales of Outside North America on-highway products driven by lower demand in China partially offset by higher demand in Europe, partially offset by a $75.0 million, or 10%, increase in net sales of North America on-highway commercial products driven by higher demand from Rugged Duty Series and Highway Series models. See “Trends Impacting Our Business” above for additional information on net sales by end markets.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Cost of sales for the nine months ended September 30, 2015 was $796.0 million compared to $862.7 million for the nine months ended September 30, 2014, a decrease of 8%. The decrease was principally driven by approximately $40.0 million of decreased direct material costs commensurate with decreased sales, $8.0 million of favorable direct material costs, $5.8 million of lower incentive compensation, and lower manufacturing cost commensurate with decreased sales and consistent with historical trends and management’s expectations given the respective change in sales volume.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Gross profit for the nine months ended September 30, 2015 was $711.6 million compared to $720.3 million for the nine months ended September 30, 2014, a decrease of 1%. The decrease was principally driven by $42.0 million related to decreased sales volume, partially offset by $19.0 million of price increases on certain products, $8.0 million of favorable material costs and $5.8 million of lower incentive compensation expense. Gross profit as a percent of net sales increased 1%, principally driven by price increases on certain products and favorable material costs.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Selling, general and administrative expenses for the nine months ended September 30, 2015 were $235.6 million compared to $255.8 million for the nine months ended September 30, 2014, a decrease of 8%. The decrease was principally driven by $7.0 million of lower incentive compensation expense, $3.5 million of lower stock-based compensation expense, $3.0 million of favorable product warranty adjustments and reduced global commercial spending activities.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Engineering expenses for the nine months ended September 30, 2015 were $69.0 million compared to $70.2 million for the nine months ended September 30, 2014, a decrease of 2%. The decrease was principally driven by $3.1 million of lower technology-related license expenses to expand our position in transmission technologies and $3.0 million of lower incentive compensation expense, partially offset by increased product initiatives spending.</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During the third quarter of 2015, the EPA determined that GM’s environmental remediation activities at our Indianapolis, Indiana manufacturing facilities were complete, resulting in us assuming responsibility for future operating, monitoring and maintenance activities. As of September 30, 2015, we recorded approximately $14.0 million for the related environmental remediation expenses.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first quarter of 2015, we recorded a $1.3 million impairment loss associated with the production of the H3000 and H4000 hybrid-propulsion systems. The loss included $1.0 million of accrued expenses and a $0.3 million impairment of long-lived assets.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net for the nine months ended September 30, 2015 was $93.7 million compared to $101.0 million for the nine months ended September 30, 2014, a decrease of 7%. The decrease was principally driven by $18.8 million of lower interest expense as a result of the maturity of $950.0 million of interest rate derivatives, $15.9 million of lower interest expense as a result of the repurchase and redemption of our 7.125% Senior Notes during the second quarter of 2015, $4.5 million of lower interest expense as a result of debt repayments and $2.8 million of lower interest expense as a result of lower interest rates on the Term B-2 Loan and Term B-3 Loan and $1.4 million of lower amortization of deferred financing charges, partially offset by $28.3 million of unfavorable mark-to-market adjustments for our interest rate derivatives and $7.6 million of higher interest expense as a result of the addition of $470.0 million to our Term B-3 Loan in April 2015.</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and redemption of long-term debt</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In April 2015, we completed a cash tender offer to purchase any and all of our outstanding 7.125% Senior Notes. The tender offer resulted in the repurchase of $420.9 million of our 7.125% Senior Notes in April 2015. In May 2015, we redeemed the remaining $50.4 million of our outstanding 7.125% Senior Notes, resulting in premiums and expenses of $25.3 million for the nine months ended September 30, 2015.</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expense, net for the nine months ended September 30, 2015 was $3.6 million compared to 3.0 million for the nine months ended September 30, 2014, an increase of 20%. The increase in Other expense, net was principally driven by $2.1 million of 2014 Grant Program income, a $2.0 million 2014 gain related to the negotiation of a commercial agreement, $2.1 million of unrealized losses on derivative contracts, and $0.7 million of higher miscellaneous expenses, partially offset by a $2.0 million 2014 loss on investments in technology-related initiatives, $1.5 million of lower foreign exchange losses on intercompany financing, $1.4 million of 2014 public offering expenses, $1.3 million of favorable foreign exchange and $0.1 million of lower expenses related to debt repayments.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Income tax expense for the nine months ended September 30, 2015 was $99.8 million resulting in an effective tax rate of 37.1% versus an effective tax rate of 38.6% for the nine months ended September 30, 2014. The change in effective tax rate was principally driven by the change in discrete activity.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$148.4 million and $263.0 million as of September 30, 2015 and December 31, 2014, respectively. Of the available cash and cash equivalents, approximately $72.4 million and $208.0 million were deposited in operating accounts while approximately $76.0 million and $55.0 million were invested in U.S. government backed securities as of September 30, 2015 and December 31, 2014, respectively.</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September 30, 2015, the total of cash and cash equivalents held by foreign subsidiaries was $47.5 million, the majority of which was located in Europe, India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5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cash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liquidity requirements are significant, primarily due to our debt service requirements. In March 2015, we commenced a cash tender offer to purchase our outstanding 7.125% Senior Notes. The total principal amount accepted for purchase in April 2015 was $420.9 million. In April 2015, we also entered into an amendment with the term loan lenders under our Senior Secured Credit Facility to add an additional $470.0 million of term loans under the Term B-3 Loan. A portion of the proceeds from the additional term loans were used to purchase $420.9 million of the tendered 7.125% Senior Notes plus accrued and unpaid interest, applicable premiums and expenses. The purchase resulted in a loss (the premium between the purchase price of the notes and the face value of such notes) of $22.7 million including deferred financing fees written off. In May 2015, we redeemed the remaining $50.4 million of our outstanding 7.125% Senior Notes, at the redemption price equal to 103.563% of the principal amount plus any accrued and unpaid interest, using the remaining proceeds from the additional term loans and cash on hand, resulting in a loss (the premium between the purchase price of the notes and the face value of such notes) of $2.4 million including deferred financing fees written off.</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of September 30, 2015, we had $189.0 million of indebtedness associated with our Term B-2 Loan and $2,220.0 million of indebtedness associated with our Term B-3 Loan.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$5.6 million and $110.2 million on the Senior Secured Credit Facility for the three months and nine months ended September 30, 2015, respectively.</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Senior Secured Credit Facility also provides for $465.0 million, net of an allowance for up to $75.0 million in outstanding letters of credit commitments. As of September 30, 2015, we had $455.3 million available under the revolving credit facility, net of $9.7 million in letters of credit.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September 30, 2015, the total leverage ratio was 3.08x.</w:t>
      </w:r>
    </w:p>
    <w:p>
      <w:pPr>
        <w:spacing w:after="0" w:line="18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maximum total senior secured leverage ratio for the revolving portion of the Senior Secured Credit Facility, the Senior Secured Credit Facility includes, among other things, customary restrictions (subject to certain exceptions) on our ability to incur certain indebtedness or liens, make certain investments, declare or pay certain dividends or repurchase shares of our common stock. As of September 30, 2015, we are in compliance with all covenants under the Senior Secured Credit Facility.</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credit ratings are reviewed regularly by major debt ratings agencies such as Standard and Poor’s, Moody’s Investors Service and Fitch Ratings. In March 2015, Standard and Poor’s raised the corporate rating to ‘BB’ from ‘BB-’ and assigned ‘BB+’ to the incremental Term B-3 loan. Moody’s raised the corporate rating to ‘Ba2’ from ‘Ba3’ and assigned ‘Ba2’ to the incremental Term B-3 loan. Fitch ratings assigned ‘BB’ to the incremental Term B-3 loan and raised the corporate rating to ‘BB+’ from ‘BB’.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October 30, 2014, our Board of Directors authorized us to repurchase up to $500.0 million of our common stock under a stock repurchase program. For the three and nine months ended September 30, 2015, we repurchased approximately $172.2 million and $296.3 million, respectively, of our common stock under the repurchase program. All of the repurchase transactions during the third quarter of 2015 were settled in cash during the same period.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2015 and 2014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Nine months ended</w:t>
            </w:r>
          </w:p>
        </w:tc>
      </w:tr>
      <w:tr>
        <w:trPr>
          <w:trHeight w:val="149"/>
        </w:trPr>
        <w:tc>
          <w:tcPr>
            <w:tcW w:w="49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2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390.0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416.0</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(485.2)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(357.6)</w:t>
            </w:r>
          </w:p>
        </w:tc>
      </w:tr>
    </w:tbl>
    <w:p>
      <w:pPr>
        <w:spacing w:after="0" w:line="2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Operating activities for the nine months ended September 30, 2015 generated $390.0 million of cash compared to $416.0 million for the nine months ended September 30, 2014. The decrease was principally driven by decreased net sales, higher inventories and lower accounts payable commensurate with decreased net sales and lower other liabilities, net, partially offset by lower accounts receivable commensurate with decreased net sales, lower incentive compensation and lower interest expense as a result of debt repayments and refinancing.</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Investing activities for the nine months ended September 30, 2015 used $31.8 million of cash compared to $41.4 million for the nine months ended September 30, 2014. The decrease was principally driven by a decrease of $7.5 million in capital expenditures and $3.9 million of lower investments in technology-related initiatives. The decrease in capital expenditures was principally driven by the timing of spending on productivity and replacement programs, and lower product initiatives spending.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Financing activities for the nine months ended September 30, 2015 used $485.2 million of cash compared to $357.6 million of cash for the nine months ended September 30, 2014. The increase was principally driven by an increase of $46.5 million of repurchases of our common stock, $43.0 million of increased payments related to our long-term debt, $15.3 million of increased dividend payments and $6.7 million of increased debt financing fees associated with our amendment to our Senior Secured Credit Facility in the second quarter of 2015.</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O of our condensed consolidated financial statements included in Part I, Item 1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$6.0 million to $7.0 million per year for each of the prior three fiscal years.</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terms of the U.S. government contracts, there are certain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Assuming our current level of government contracts, a 10% adjustment in our price reduction reserve, would have affected our earnings by approximately $5.0 million to $6.0 million per year for each of the prior three fiscal years.</w:t>
      </w:r>
    </w:p>
    <w:p>
      <w:pPr>
        <w:spacing w:after="0" w:line="188"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Further information is provided in NOTE 2 to the consolidated financial statements in our Annual Report on Form 10-K for the year ended December 31, 2014.</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Goodwill is tested for impairment at the reporting unit level, which is the same as our one operating and reportable segment.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the net assets assigned to the reporting unit exceeds the fair value of the reporting unit, then we must perform Step 2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182"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Our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Goodwill impairment testing for 2014 was performed by assessing certain qualitative trends and factors. These trends and factors were compared to, and based on, the assumptions used in the quantitative assessment performed in 2013. Our 2013 impairment test indicated that our fair value of the reporting unit exceeded its carrying value by approximately 90%, indicating no impairment. After reviewing the various qualitative factors mentioned above, our 2014 annual goodwill impairment test indicated that the fair value of the reporting unit more likely than not exceeded its carrying value, indicating no impairment.</w:t>
      </w:r>
    </w:p>
    <w:p>
      <w:pPr>
        <w:spacing w:after="0" w:line="15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Other intangible assets have both indefinite and finite useful lives. Intangible assets with indefinite useful lives, such as our trade name, are not amortized but are tested annually for impairment. We have elected to perform our annual trade name impairment test on October 31 of every year and follow a similar multi-step impairment test that is performed on goodwill. Events or circumstances that could unfavorably impact the key assumptions include lower net sales driven by market conditions, our inability to execute on marketing programs and/or a delay in introduction of new products, and higher discount rate as a result of market conditions. While unpredictable and inherently uncertain, we believe the forecast estimates are reasonable and incorporate those assumptions that similar market participants would use in their estimates of fair value. Our 2013 trade name impairment test indicated that our fair value of the trade name exceeded the carrying value by approximately 8%, indicating no impairment. After reviewing the various qualitative factors mentioned above, our 2014 trade name impairment test indicated that the fair value of our trade name more likely than not exceeded the respective carrying value, indicating no impairment.</w:t>
      </w:r>
    </w:p>
    <w:p>
      <w:pPr>
        <w:spacing w:after="0" w:line="19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Further information is provided in NOTE 2 and NOTE 5 to the consolidated financial statements in our Annual Report on Form 10-K for the year ended December 31, 2014.</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a result of events and circumstances in the fourth quarter of 2014, we reviewed certain of our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expenses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9 to our consolidated financial statements in our Annual Report on Form 10-K for the year ended December 31, 2014 which contains a summary of the activity in our warranty liability account for 2014 and 2013 including adjustments to pre-existing warranties.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Pension and other post-retirement benefits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2014. The effect of a one percentage point decrease in the assumed discount rate would result in an increase in the December 31, 2014 defined benefit pension plans obligation of approximately $20.0 million. Similarly, a one percentage point decrease in the assumed discount rate would result in an increase in the December 31, 2014 OPEB obligation of approximately $23.7 million.</w:t>
      </w:r>
    </w:p>
    <w:p>
      <w:pPr>
        <w:spacing w:after="0" w:line="18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Further information is provided in NOTE 13 to the consolidated financial statements in our Annual Report on Form 10-K for the year ended December 31, 2014, which contains our review on various actuarial assumptions.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Excluding net operating loss carryforwards, our expected tax payments would have increased by approximately $40.0 million for the year ended December 31, 2014. If we continue to generate taxable income, we expect to utilize the remaining U.S. federal net operating loss carryforwards as early as the first quarter of 2016.</w:t>
      </w:r>
    </w:p>
    <w:p>
      <w:pPr>
        <w:spacing w:after="0" w:line="18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Further information on income taxes is provided in NOTE 15 to the consolidated financial statements in our Annual Report on Form 10-K for the year ended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2015, we redeemed $100,000 and $450,000 of 7.125% Senior Notes held by Lawrence E. Dewey, our Chairman, President and Chief Executive Officer, and David S. Graziosi, our Executive Vice President, Chief Financial Officer and Treasurer, respectively, at the specified redemption price in the governing indenture equal to 103.563% of the principal amount plus any accrued and unpaid interest. Refer to NOTE F in Part I, Item 1 of this Quarterly Report on Form 10-Q for additional details.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risks related to our substantial indebtedness;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repurchase shares of our common stock; and labor strikes, work stoppages or similar labor disputes, which could significantly disrupt our operations or those of our principal customers.</w:t>
      </w:r>
    </w:p>
    <w:p>
      <w:pPr>
        <w:spacing w:after="0" w:line="17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2014 as filed with the Securities and Exchange Commission on February 20, 2015.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$2,864.2 million including $455.3 million under our revolving credit facility, net of $9.7 million of letters of credit. A one-eighth percent change in assumed interest rates for the Senior Secured Credit Facility, if fully drawn, as of September 30, 2015 would have an impact of approximately $0.8 million on interest expense with the 1.00% LIBOR floor in effect on our Term B-3 Loan. Should LIBOR exceed 1.00%, a one-eighth percent change in assumed interest rates for the Senior Secured Credit Facility, if fully drawn, as of September 30, 2015 would have an impact of approximately $3.6 million on interest expense. As of September 30, 2015, we had no outstanding borrowings against the revolving credit facility.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Notional</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460" w:type="dxa"/>
            <w:vAlign w:val="bottom"/>
            <w:vMerge w:val="restart"/>
          </w:tcPr>
          <w:p>
            <w:pPr>
              <w:spacing w:after="0"/>
              <w:rPr>
                <w:sz w:val="12"/>
                <w:szCs w:val="12"/>
                <w:color w:val="auto"/>
              </w:rPr>
            </w:pPr>
          </w:p>
        </w:tc>
        <w:tc>
          <w:tcPr>
            <w:tcW w:w="16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Effective Date</w:t>
            </w:r>
          </w:p>
        </w:tc>
        <w:tc>
          <w:tcPr>
            <w:tcW w:w="2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Fixed Rate</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Barclays</w:t>
            </w:r>
          </w:p>
        </w:tc>
        <w:tc>
          <w:tcPr>
            <w:tcW w:w="460" w:type="dxa"/>
            <w:vAlign w:val="bottom"/>
            <w:vMerge w:val="continue"/>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Aug 2016 - Aug 2019</w:t>
            </w:r>
          </w:p>
        </w:tc>
        <w:tc>
          <w:tcPr>
            <w:tcW w:w="2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Rate Swap M</w:t>
            </w: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JP Morgan</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Bank of America</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Rate Swap O</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Deutsche Bank</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Barclays</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Rate Swap Q</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Barclays</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Deutsche Bank</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Rate Swap S</w:t>
            </w:r>
          </w:p>
        </w:tc>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Deutsche Bank</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Bank of America</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Rate Swap U</w:t>
            </w: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Fifth Third Bank</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5"/>
              </w:rPr>
              <w:t>Fifth Third Bank</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Interest Rate Swap W</w:t>
            </w: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Fifth Third Bank</w:t>
            </w: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7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Huntington Bank</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Aug 2016 - Aug 2019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September 30, 2015, we hold hedging contracts in the Japanese Yen, which are intended to hedge either known or forecasted cash flow payments denominated in the currency. We do not hold financial instruments for trading or speculative purposes.</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$3 million per year. This includes the partial offset of our hedging contracts described above. All other exposure to foreign currencies is considered immaterial.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2015 and 2016, as of September 30, 2015, the hedge contracts cover approximately 29% and 28% of our aluminum requirements, respectively. We do not hold financial instruments for trading or speculative purposes.</w:t>
      </w:r>
    </w:p>
    <w:p>
      <w:pPr>
        <w:spacing w:after="0" w:line="179"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$2 million and $4 million per year, respectively. This includes the partial offset of our hedging contracts described above.</w:t>
      </w:r>
    </w:p>
    <w:p>
      <w:pPr>
        <w:spacing w:after="0" w:line="12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O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2014 as filed with the Securities and Exchange Commission on February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as Part of</w:t>
            </w:r>
          </w:p>
        </w:tc>
        <w:tc>
          <w:tcPr>
            <w:tcW w:w="5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5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5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Announced Plans</w:t>
            </w:r>
          </w:p>
        </w:tc>
        <w:tc>
          <w:tcPr>
            <w:tcW w:w="54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(1)</w:t>
            </w:r>
          </w:p>
        </w:tc>
        <w:tc>
          <w:tcPr>
            <w:tcW w:w="54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2,987,988</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5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2,987,988</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289,057,046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August 2015</w:t>
            </w:r>
          </w:p>
        </w:tc>
        <w:tc>
          <w:tcPr>
            <w:tcW w:w="860" w:type="dxa"/>
            <w:vAlign w:val="bottom"/>
          </w:tcPr>
          <w:p>
            <w:pPr>
              <w:jc w:val="right"/>
              <w:spacing w:after="0"/>
              <w:rPr>
                <w:sz w:val="20"/>
                <w:szCs w:val="20"/>
                <w:color w:val="auto"/>
              </w:rPr>
            </w:pPr>
            <w:r>
              <w:rPr>
                <w:rFonts w:ascii="Arial" w:cs="Arial" w:eastAsia="Arial" w:hAnsi="Arial"/>
                <w:sz w:val="18"/>
                <w:szCs w:val="18"/>
                <w:color w:val="auto"/>
              </w:rPr>
              <w:t>669,562</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28.94</w:t>
            </w:r>
          </w:p>
        </w:tc>
        <w:tc>
          <w:tcPr>
            <w:tcW w:w="1100" w:type="dxa"/>
            <w:vAlign w:val="bottom"/>
          </w:tcPr>
          <w:p>
            <w:pPr>
              <w:jc w:val="right"/>
              <w:spacing w:after="0"/>
              <w:rPr>
                <w:sz w:val="20"/>
                <w:szCs w:val="20"/>
                <w:color w:val="auto"/>
              </w:rPr>
            </w:pPr>
            <w:r>
              <w:rPr>
                <w:rFonts w:ascii="Arial" w:cs="Arial" w:eastAsia="Arial" w:hAnsi="Arial"/>
                <w:sz w:val="18"/>
                <w:szCs w:val="18"/>
                <w:color w:val="auto"/>
              </w:rPr>
              <w:t>669,562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269,679,930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September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2,338,357</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2,338,357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203,773,549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5,995,907</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28.71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5,995,907</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These values reflect repurchases made under the stock repurchase program approved by our Board of Directors on October 30, 2014 authorizing $500 million of repurchases through December 31,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35"/>
        </w:trPr>
        <w:tc>
          <w:tcPr>
            <w:tcW w:w="520" w:type="dxa"/>
            <w:vAlign w:val="bottom"/>
            <w:tcBorders>
              <w:bottom w:val="single" w:sz="8" w:color="auto"/>
            </w:tcBorders>
          </w:tcPr>
          <w:p>
            <w:pPr>
              <w:spacing w:after="0"/>
              <w:rPr>
                <w:sz w:val="11"/>
                <w:szCs w:val="11"/>
                <w:color w:val="auto"/>
              </w:rPr>
            </w:pPr>
          </w:p>
        </w:tc>
        <w:tc>
          <w:tcPr>
            <w:tcW w:w="542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1420" w:type="dxa"/>
            <w:vAlign w:val="bottom"/>
            <w:gridSpan w:val="5"/>
          </w:tcPr>
          <w:p>
            <w:pPr>
              <w:ind w:left="46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369"/>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60" w:type="dxa"/>
            <w:vAlign w:val="bottom"/>
            <w:gridSpan w:val="3"/>
            <w:vMerge w:val="restart"/>
          </w:tcPr>
          <w:p>
            <w:pPr>
              <w:ind w:left="5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0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20" w:type="dxa"/>
            <w:vAlign w:val="bottom"/>
          </w:tcPr>
          <w:p>
            <w:pPr>
              <w:ind w:left="100"/>
              <w:spacing w:after="0"/>
              <w:rPr>
                <w:sz w:val="20"/>
                <w:szCs w:val="20"/>
                <w:color w:val="auto"/>
              </w:rPr>
            </w:pPr>
            <w:r>
              <w:rPr>
                <w:rFonts w:ascii="Arial" w:cs="Arial" w:eastAsia="Arial" w:hAnsi="Arial"/>
                <w:sz w:val="18"/>
                <w:szCs w:val="18"/>
                <w:color w:val="auto"/>
                <w:w w:val="88"/>
              </w:rPr>
              <w:t>10.39</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4"/>
              </w:rPr>
              <w:t>Amendment No. 11 to the Credit Agreement, dated as of April 7, 2015, among Allison Transmission Holdings, Inc., Allison Transmission,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4"/>
              </w:rPr>
              <w:t>Inc., as Borrower, the several banks and other financial institutions or entities from time to time parties thereto as Lenders, Citicorp North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3"/>
              </w:rPr>
              <w:t>America, Inc., as Administrative Agent and the other agents and arrangers parties thereto (incorporated by reference to Exhibit 10.1 to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Registrant’s Current Report on Form 8-K filed April 7, 2015)</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 the Sarbanes-Oxley Act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 the Sarbanes-Oxley Act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of 2002 (filed herewith)</w:t>
            </w:r>
          </w:p>
        </w:tc>
        <w:tc>
          <w:tcPr>
            <w:tcW w:w="0" w:type="dxa"/>
            <w:vAlign w:val="bottom"/>
          </w:tcPr>
          <w:p>
            <w:pPr>
              <w:spacing w:after="0"/>
              <w:rPr>
                <w:sz w:val="1"/>
                <w:szCs w:val="1"/>
                <w:color w:val="auto"/>
              </w:rPr>
            </w:pP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w w:val="96"/>
              </w:rPr>
              <w:t>Certification of Periodic Report by Chief Executive Officer and Chief Financial Officer pursuant to 18 U.S.C. Section 1350, as adopted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pursuant to Section 906 of the Sarbanes-Oxley Act of 2002 (filed herewith)</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560" w:type="dxa"/>
            <w:vAlign w:val="bottom"/>
            <w:gridSpan w:val="3"/>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2015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Date: October 27, 2015</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ALLISON TRANSMISSION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r>
      <w:tr>
        <w:trPr>
          <w:trHeight w:val="209"/>
        </w:trPr>
        <w:tc>
          <w:tcPr>
            <w:tcW w:w="5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Name:  Lawrence E. Dewey</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r>
      <w:tr>
        <w:trPr>
          <w:trHeight w:val="209"/>
        </w:trPr>
        <w:tc>
          <w:tcPr>
            <w:tcW w:w="5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5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w w:val="94"/>
              </w:rPr>
              <w:t>Executive Vice President, Chief Financial Officer and Treasurer</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580" w:type="dxa"/>
            <w:vAlign w:val="bottom"/>
          </w:tcPr>
          <w:p>
            <w:pPr>
              <w:jc w:val="right"/>
              <w:ind w:right="150"/>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2">
            <w:col w:w="4740" w:space="720"/>
            <w:col w:w="5960"/>
          </w:cols>
          <w:pgMar w:left="240" w:top="459"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13a-15I and 15d-15I)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September 30, 2015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30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330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2019-12-29T15:36:15Z</dcterms:created>
  <dcterms:modified xsi:type="dcterms:W3CDTF">2019-12-29T15:36:15Z</dcterms:modified>
</cp:coreProperties>
</file>