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7" w:lineRule="exact"/>
        <w:rPr>
          <w:sz w:val="24"/>
          <w:szCs w:val="24"/>
          <w:color w:val="auto"/>
        </w:rPr>
      </w:pPr>
    </w:p>
    <w:p>
      <w:pPr>
        <w:ind w:left="580" w:right="120" w:hanging="559"/>
        <w:spacing w:after="0" w:line="26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2024</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3" w:lineRule="exact"/>
        <w:rPr>
          <w:sz w:val="24"/>
          <w:szCs w:val="24"/>
          <w:color w:val="auto"/>
        </w:rPr>
      </w:pPr>
    </w:p>
    <w:p>
      <w:pPr>
        <w:ind w:left="580" w:right="140" w:hanging="559"/>
        <w:spacing w:after="0" w:line="26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001-35456</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ALLISON TRANSMISSION HOLDINGS, INC.</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41275</wp:posOffset>
            </wp:positionV>
            <wp:extent cx="1729740"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9740"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4520" w:type="dxa"/>
            <w:vAlign w:val="bottom"/>
          </w:tcPr>
          <w:p>
            <w:pPr>
              <w:jc w:val="center"/>
              <w:ind w:left="1040"/>
              <w:spacing w:after="0"/>
              <w:rPr>
                <w:sz w:val="20"/>
                <w:szCs w:val="20"/>
                <w:color w:val="auto"/>
              </w:rPr>
            </w:pPr>
            <w:r>
              <w:rPr>
                <w:rFonts w:ascii="Arial" w:cs="Arial" w:eastAsia="Arial" w:hAnsi="Arial"/>
                <w:sz w:val="18"/>
                <w:szCs w:val="18"/>
                <w:b w:val="1"/>
                <w:bCs w:val="1"/>
                <w:color w:val="auto"/>
              </w:rPr>
              <w:t>Delaware</w:t>
            </w:r>
          </w:p>
        </w:tc>
        <w:tc>
          <w:tcPr>
            <w:tcW w:w="1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jc w:val="right"/>
              <w:ind w:right="2242"/>
              <w:spacing w:after="0"/>
              <w:rPr>
                <w:sz w:val="20"/>
                <w:szCs w:val="20"/>
                <w:color w:val="auto"/>
              </w:rPr>
            </w:pPr>
            <w:r>
              <w:rPr>
                <w:rFonts w:ascii="Arial" w:cs="Arial" w:eastAsia="Arial" w:hAnsi="Arial"/>
                <w:sz w:val="18"/>
                <w:szCs w:val="18"/>
                <w:b w:val="1"/>
                <w:bCs w:val="1"/>
                <w:color w:val="auto"/>
              </w:rPr>
              <w:t>26-0414014</w:t>
            </w:r>
          </w:p>
        </w:tc>
      </w:tr>
      <w:tr>
        <w:trPr>
          <w:trHeight w:val="248"/>
        </w:trPr>
        <w:tc>
          <w:tcPr>
            <w:tcW w:w="4520" w:type="dxa"/>
            <w:vAlign w:val="bottom"/>
          </w:tcPr>
          <w:p>
            <w:pPr>
              <w:jc w:val="center"/>
              <w:ind w:left="1040"/>
              <w:spacing w:after="0"/>
              <w:rPr>
                <w:sz w:val="20"/>
                <w:szCs w:val="20"/>
                <w:color w:val="auto"/>
              </w:rPr>
            </w:pPr>
            <w:r>
              <w:rPr>
                <w:rFonts w:ascii="Arial" w:cs="Arial" w:eastAsia="Arial" w:hAnsi="Arial"/>
                <w:sz w:val="14"/>
                <w:szCs w:val="14"/>
                <w:color w:val="auto"/>
              </w:rPr>
              <w:t>(State or other jurisdiction of incorporation or</w:t>
            </w:r>
          </w:p>
        </w:tc>
        <w:tc>
          <w:tcPr>
            <w:tcW w:w="1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jc w:val="center"/>
              <w:ind w:right="1742"/>
              <w:spacing w:after="0"/>
              <w:rPr>
                <w:sz w:val="20"/>
                <w:szCs w:val="20"/>
                <w:color w:val="auto"/>
              </w:rPr>
            </w:pPr>
            <w:r>
              <w:rPr>
                <w:rFonts w:ascii="Arial" w:cs="Arial" w:eastAsia="Arial" w:hAnsi="Arial"/>
                <w:sz w:val="14"/>
                <w:szCs w:val="14"/>
                <w:color w:val="auto"/>
              </w:rPr>
              <w:t>(I.R.S. Employer</w:t>
            </w:r>
          </w:p>
        </w:tc>
      </w:tr>
      <w:tr>
        <w:trPr>
          <w:trHeight w:val="204"/>
        </w:trPr>
        <w:tc>
          <w:tcPr>
            <w:tcW w:w="4520" w:type="dxa"/>
            <w:vAlign w:val="bottom"/>
          </w:tcPr>
          <w:p>
            <w:pPr>
              <w:jc w:val="center"/>
              <w:ind w:left="1040"/>
              <w:spacing w:after="0"/>
              <w:rPr>
                <w:sz w:val="20"/>
                <w:szCs w:val="20"/>
                <w:color w:val="auto"/>
              </w:rPr>
            </w:pPr>
            <w:r>
              <w:rPr>
                <w:rFonts w:ascii="Arial" w:cs="Arial" w:eastAsia="Arial" w:hAnsi="Arial"/>
                <w:sz w:val="14"/>
                <w:szCs w:val="14"/>
                <w:color w:val="auto"/>
              </w:rPr>
              <w:t>organization)</w:t>
            </w: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0" w:type="dxa"/>
            <w:vAlign w:val="bottom"/>
          </w:tcPr>
          <w:p>
            <w:pPr>
              <w:jc w:val="center"/>
              <w:ind w:right="1722"/>
              <w:spacing w:after="0"/>
              <w:rPr>
                <w:sz w:val="20"/>
                <w:szCs w:val="20"/>
                <w:color w:val="auto"/>
              </w:rPr>
            </w:pPr>
            <w:r>
              <w:rPr>
                <w:rFonts w:ascii="Arial" w:cs="Arial" w:eastAsia="Arial" w:hAnsi="Arial"/>
                <w:sz w:val="14"/>
                <w:szCs w:val="14"/>
                <w:color w:val="auto"/>
              </w:rPr>
              <w:t>Identification Number)</w:t>
            </w:r>
          </w:p>
        </w:tc>
      </w:tr>
      <w:tr>
        <w:trPr>
          <w:trHeight w:val="398"/>
        </w:trPr>
        <w:tc>
          <w:tcPr>
            <w:tcW w:w="4520" w:type="dxa"/>
            <w:vAlign w:val="bottom"/>
          </w:tcPr>
          <w:p>
            <w:pPr>
              <w:jc w:val="center"/>
              <w:ind w:left="1040"/>
              <w:spacing w:after="0"/>
              <w:rPr>
                <w:sz w:val="20"/>
                <w:szCs w:val="20"/>
                <w:color w:val="auto"/>
              </w:rPr>
            </w:pPr>
            <w:r>
              <w:rPr>
                <w:rFonts w:ascii="Arial" w:cs="Arial" w:eastAsia="Arial" w:hAnsi="Arial"/>
                <w:sz w:val="18"/>
                <w:szCs w:val="18"/>
                <w:b w:val="1"/>
                <w:bCs w:val="1"/>
                <w:color w:val="auto"/>
                <w:w w:val="98"/>
              </w:rPr>
              <w:t>One Allison Way</w:t>
            </w: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4520" w:type="dxa"/>
            <w:vAlign w:val="bottom"/>
          </w:tcPr>
          <w:p>
            <w:pPr>
              <w:jc w:val="center"/>
              <w:ind w:left="1000"/>
              <w:spacing w:after="0"/>
              <w:rPr>
                <w:sz w:val="20"/>
                <w:szCs w:val="20"/>
                <w:color w:val="auto"/>
              </w:rPr>
            </w:pPr>
            <w:r>
              <w:rPr>
                <w:rFonts w:ascii="Arial" w:cs="Arial" w:eastAsia="Arial" w:hAnsi="Arial"/>
                <w:sz w:val="18"/>
                <w:szCs w:val="18"/>
                <w:b w:val="1"/>
                <w:bCs w:val="1"/>
                <w:color w:val="auto"/>
                <w:w w:val="99"/>
              </w:rPr>
              <w:t>Indianapolis, IN</w:t>
            </w: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tcPr>
          <w:p>
            <w:pPr>
              <w:jc w:val="right"/>
              <w:ind w:right="2482"/>
              <w:spacing w:after="0"/>
              <w:rPr>
                <w:sz w:val="20"/>
                <w:szCs w:val="20"/>
                <w:color w:val="auto"/>
              </w:rPr>
            </w:pPr>
            <w:r>
              <w:rPr>
                <w:rFonts w:ascii="Arial" w:cs="Arial" w:eastAsia="Arial" w:hAnsi="Arial"/>
                <w:sz w:val="18"/>
                <w:szCs w:val="18"/>
                <w:b w:val="1"/>
                <w:bCs w:val="1"/>
                <w:color w:val="auto"/>
              </w:rPr>
              <w:t>46222</w:t>
            </w:r>
          </w:p>
        </w:tc>
      </w:tr>
      <w:tr>
        <w:trPr>
          <w:trHeight w:val="250"/>
        </w:trPr>
        <w:tc>
          <w:tcPr>
            <w:tcW w:w="4520" w:type="dxa"/>
            <w:vAlign w:val="bottom"/>
          </w:tcPr>
          <w:p>
            <w:pPr>
              <w:jc w:val="center"/>
              <w:ind w:left="1040"/>
              <w:spacing w:after="0"/>
              <w:rPr>
                <w:sz w:val="20"/>
                <w:szCs w:val="20"/>
                <w:color w:val="auto"/>
              </w:rPr>
            </w:pPr>
            <w:r>
              <w:rPr>
                <w:rFonts w:ascii="Arial" w:cs="Arial" w:eastAsia="Arial" w:hAnsi="Arial"/>
                <w:sz w:val="14"/>
                <w:szCs w:val="14"/>
                <w:color w:val="auto"/>
              </w:rPr>
              <w:t>(Address of principal executive offices)</w:t>
            </w:r>
          </w:p>
        </w:tc>
        <w:tc>
          <w:tcPr>
            <w:tcW w:w="1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jc w:val="center"/>
              <w:ind w:right="1722"/>
              <w:spacing w:after="0"/>
              <w:rPr>
                <w:sz w:val="20"/>
                <w:szCs w:val="20"/>
                <w:color w:val="auto"/>
              </w:rPr>
            </w:pPr>
            <w:r>
              <w:rPr>
                <w:rFonts w:ascii="Arial" w:cs="Arial" w:eastAsia="Arial" w:hAnsi="Arial"/>
                <w:sz w:val="14"/>
                <w:szCs w:val="14"/>
                <w:color w:val="auto"/>
              </w:rPr>
              <w:t>(Zip Code)</w:t>
            </w:r>
          </w:p>
        </w:tc>
      </w:tr>
      <w:tr>
        <w:trPr>
          <w:trHeight w:val="317"/>
        </w:trPr>
        <w:tc>
          <w:tcPr>
            <w:tcW w:w="4520" w:type="dxa"/>
            <w:vAlign w:val="bottom"/>
          </w:tcPr>
          <w:p>
            <w:pPr>
              <w:spacing w:after="0"/>
              <w:rPr>
                <w:sz w:val="24"/>
                <w:szCs w:val="24"/>
                <w:color w:val="auto"/>
              </w:rPr>
            </w:pPr>
          </w:p>
        </w:tc>
        <w:tc>
          <w:tcPr>
            <w:tcW w:w="2480" w:type="dxa"/>
            <w:vAlign w:val="bottom"/>
            <w:gridSpan w:val="2"/>
          </w:tcPr>
          <w:p>
            <w:pPr>
              <w:jc w:val="center"/>
              <w:ind w:right="204"/>
              <w:spacing w:after="0"/>
              <w:rPr>
                <w:sz w:val="20"/>
                <w:szCs w:val="20"/>
                <w:color w:val="auto"/>
              </w:rPr>
            </w:pPr>
            <w:r>
              <w:rPr>
                <w:rFonts w:ascii="Arial" w:cs="Arial" w:eastAsia="Arial" w:hAnsi="Arial"/>
                <w:sz w:val="18"/>
                <w:szCs w:val="18"/>
                <w:b w:val="1"/>
                <w:bCs w:val="1"/>
                <w:color w:val="auto"/>
              </w:rPr>
              <w:t>(317) 242-5000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96"/>
        </w:trPr>
        <w:tc>
          <w:tcPr>
            <w:tcW w:w="7440" w:type="dxa"/>
            <w:vAlign w:val="bottom"/>
            <w:gridSpan w:val="5"/>
          </w:tcPr>
          <w:p>
            <w:pPr>
              <w:jc w:val="center"/>
              <w:ind w:left="3720"/>
              <w:spacing w:after="0"/>
              <w:rPr>
                <w:sz w:val="20"/>
                <w:szCs w:val="20"/>
                <w:color w:val="auto"/>
              </w:rPr>
            </w:pPr>
            <w:r>
              <w:rPr>
                <w:rFonts w:ascii="Arial" w:cs="Arial" w:eastAsia="Arial" w:hAnsi="Arial"/>
                <w:sz w:val="14"/>
                <w:szCs w:val="14"/>
                <w:color w:val="auto"/>
              </w:rPr>
              <w:t>(Registrant’s telephone number, including area code)</w:t>
            </w:r>
          </w:p>
        </w:tc>
        <w:tc>
          <w:tcPr>
            <w:tcW w:w="3800" w:type="dxa"/>
            <w:vAlign w:val="bottom"/>
          </w:tcPr>
          <w:p>
            <w:pPr>
              <w:spacing w:after="0"/>
              <w:rPr>
                <w:sz w:val="17"/>
                <w:szCs w:val="17"/>
                <w:color w:val="auto"/>
              </w:rPr>
            </w:pPr>
          </w:p>
        </w:tc>
      </w:tr>
      <w:tr>
        <w:trPr>
          <w:trHeight w:val="285"/>
        </w:trPr>
        <w:tc>
          <w:tcPr>
            <w:tcW w:w="11240" w:type="dxa"/>
            <w:vAlign w:val="bottom"/>
            <w:gridSpan w:val="6"/>
          </w:tcPr>
          <w:p>
            <w:pPr>
              <w:jc w:val="center"/>
              <w:spacing w:after="0"/>
              <w:rPr>
                <w:sz w:val="20"/>
                <w:szCs w:val="20"/>
                <w:color w:val="auto"/>
              </w:rPr>
            </w:pPr>
            <w:r>
              <w:rPr>
                <w:rFonts w:ascii="Arial" w:cs="Arial" w:eastAsia="Arial" w:hAnsi="Arial"/>
                <w:sz w:val="18"/>
                <w:szCs w:val="18"/>
                <w:color w:val="auto"/>
                <w:w w:val="99"/>
              </w:rPr>
              <w:t>Securities registered pursuant to Section 12(b) of the Act:</w:t>
            </w:r>
          </w:p>
        </w:tc>
      </w:tr>
      <w:tr>
        <w:trPr>
          <w:trHeight w:val="195"/>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Title of each class</w:t>
            </w:r>
          </w:p>
        </w:tc>
        <w:tc>
          <w:tcPr>
            <w:tcW w:w="120" w:type="dxa"/>
            <w:vAlign w:val="bottom"/>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Trading Symbol(s)</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tcPr>
          <w:p>
            <w:pPr>
              <w:jc w:val="center"/>
              <w:ind w:right="242"/>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25"/>
        </w:trPr>
        <w:tc>
          <w:tcPr>
            <w:tcW w:w="4520" w:type="dxa"/>
            <w:vAlign w:val="bottom"/>
          </w:tcPr>
          <w:p>
            <w:pPr>
              <w:jc w:val="center"/>
              <w:spacing w:after="0"/>
              <w:rPr>
                <w:sz w:val="20"/>
                <w:szCs w:val="20"/>
                <w:color w:val="auto"/>
              </w:rPr>
            </w:pPr>
            <w:r>
              <w:rPr>
                <w:rFonts w:ascii="Arial" w:cs="Arial" w:eastAsia="Arial" w:hAnsi="Arial"/>
                <w:sz w:val="15"/>
                <w:szCs w:val="15"/>
                <w:b w:val="1"/>
                <w:bCs w:val="1"/>
                <w:color w:val="auto"/>
              </w:rPr>
              <w:t>Common Stock, $0.01 par value</w:t>
            </w:r>
          </w:p>
        </w:tc>
        <w:tc>
          <w:tcPr>
            <w:tcW w:w="120" w:type="dxa"/>
            <w:vAlign w:val="bottom"/>
          </w:tcPr>
          <w:p>
            <w:pPr>
              <w:spacing w:after="0"/>
              <w:rPr>
                <w:sz w:val="19"/>
                <w:szCs w:val="19"/>
                <w:color w:val="auto"/>
              </w:rPr>
            </w:pPr>
          </w:p>
        </w:tc>
        <w:tc>
          <w:tcPr>
            <w:tcW w:w="2800" w:type="dxa"/>
            <w:vAlign w:val="bottom"/>
            <w:gridSpan w:val="3"/>
          </w:tcPr>
          <w:p>
            <w:pPr>
              <w:jc w:val="center"/>
              <w:ind w:right="440"/>
              <w:spacing w:after="0"/>
              <w:rPr>
                <w:sz w:val="20"/>
                <w:szCs w:val="20"/>
                <w:color w:val="auto"/>
              </w:rPr>
            </w:pPr>
            <w:r>
              <w:rPr>
                <w:rFonts w:ascii="Arial" w:cs="Arial" w:eastAsia="Arial" w:hAnsi="Arial"/>
                <w:sz w:val="15"/>
                <w:szCs w:val="15"/>
                <w:b w:val="1"/>
                <w:bCs w:val="1"/>
                <w:color w:val="auto"/>
                <w:w w:val="97"/>
              </w:rPr>
              <w:t>ALSN</w:t>
            </w:r>
          </w:p>
        </w:tc>
        <w:tc>
          <w:tcPr>
            <w:tcW w:w="3800" w:type="dxa"/>
            <w:vAlign w:val="bottom"/>
          </w:tcPr>
          <w:p>
            <w:pPr>
              <w:jc w:val="center"/>
              <w:ind w:right="242"/>
              <w:spacing w:after="0"/>
              <w:rPr>
                <w:sz w:val="20"/>
                <w:szCs w:val="20"/>
                <w:color w:val="auto"/>
              </w:rPr>
            </w:pPr>
            <w:r>
              <w:rPr>
                <w:rFonts w:ascii="Arial" w:cs="Arial" w:eastAsia="Arial" w:hAnsi="Arial"/>
                <w:sz w:val="15"/>
                <w:szCs w:val="15"/>
                <w:b w:val="1"/>
                <w:bCs w:val="1"/>
                <w:color w:val="auto"/>
              </w:rPr>
              <w:t>New York Stock Exchange</w:t>
            </w:r>
          </w:p>
        </w:tc>
      </w:tr>
    </w:tbl>
    <w:p>
      <w:pPr>
        <w:spacing w:after="0" w:line="100" w:lineRule="exact"/>
        <w:rPr>
          <w:sz w:val="24"/>
          <w:szCs w:val="24"/>
          <w:color w:val="auto"/>
        </w:rPr>
      </w:pPr>
    </w:p>
    <w:p>
      <w:pPr>
        <w:ind w:right="6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280"/>
        <w:spacing w:after="0" w:line="22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60"/>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520" w:type="dxa"/>
        <w:tblCellMar>
          <w:top w:w="0" w:type="dxa"/>
          <w:left w:w="0" w:type="dxa"/>
          <w:bottom w:w="0" w:type="dxa"/>
          <w:right w:w="0" w:type="dxa"/>
        </w:tblCellMar>
      </w:tblPr>
      <w:tr>
        <w:trPr>
          <w:trHeight w:val="243"/>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16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4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p>
    <w:p>
      <w:pPr>
        <w:ind w:right="22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760"/>
        <w:spacing w:after="0" w:line="25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16, 2024, there were 86,622,825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0" w:type="dxa"/>
            <w:vAlign w:val="bottom"/>
            <w:gridSpan w:val="9"/>
          </w:tcPr>
          <w:p>
            <w:pPr>
              <w:jc w:val="center"/>
              <w:ind w:right="3340"/>
              <w:spacing w:after="0"/>
              <w:rPr>
                <w:sz w:val="20"/>
                <w:szCs w:val="20"/>
                <w:color w:val="auto"/>
              </w:rPr>
            </w:pPr>
            <w:r>
              <w:rPr>
                <w:rFonts w:ascii="Arial" w:cs="Arial" w:eastAsia="Arial" w:hAnsi="Arial"/>
                <w:sz w:val="18"/>
                <w:szCs w:val="18"/>
                <w:b w:val="1"/>
                <w:bCs w:val="1"/>
                <w:color w:val="auto"/>
                <w:w w:val="99"/>
              </w:rPr>
              <w:t>TABLE OF CONTENTS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960" w:type="dxa"/>
            <w:vAlign w:val="bottom"/>
            <w:tcBorders>
              <w:bottom w:val="single" w:sz="8" w:color="0000FF"/>
            </w:tcBorders>
            <w:gridSpan w:val="8"/>
          </w:tcPr>
          <w:p>
            <w:pPr>
              <w:jc w:val="center"/>
              <w:spacing w:after="0" w:line="182" w:lineRule="exact"/>
              <w:rPr>
                <w:sz w:val="20"/>
                <w:szCs w:val="20"/>
                <w:color w:val="auto"/>
              </w:rPr>
            </w:pPr>
            <w:r>
              <w:rPr>
                <w:rFonts w:ascii="Arial" w:cs="Arial" w:eastAsia="Arial" w:hAnsi="Arial"/>
                <w:sz w:val="18"/>
                <w:szCs w:val="18"/>
                <w:b w:val="1"/>
                <w:bCs w:val="1"/>
                <w:color w:val="0000FF"/>
                <w:w w:val="99"/>
              </w:rPr>
              <w:t>PART I. FINANCIAL INFORMATION</w:t>
            </w:r>
          </w:p>
        </w:tc>
        <w:tc>
          <w:tcPr>
            <w:tcW w:w="322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0000FF"/>
                <w:w w:val="94"/>
              </w:rPr>
              <w:t>Item 1.</w:t>
            </w:r>
          </w:p>
        </w:tc>
        <w:tc>
          <w:tcPr>
            <w:tcW w:w="380" w:type="dxa"/>
            <w:vAlign w:val="bottom"/>
            <w:gridSpan w:val="2"/>
          </w:tcPr>
          <w:p>
            <w:pPr>
              <w:spacing w:after="0"/>
              <w:rPr>
                <w:sz w:val="24"/>
                <w:szCs w:val="24"/>
                <w:color w:val="auto"/>
              </w:rPr>
            </w:pPr>
          </w:p>
        </w:tc>
        <w:tc>
          <w:tcPr>
            <w:tcW w:w="1680" w:type="dxa"/>
            <w:vAlign w:val="bottom"/>
            <w:gridSpan w:val="6"/>
          </w:tcPr>
          <w:p>
            <w:pPr>
              <w:spacing w:after="0"/>
              <w:rPr>
                <w:sz w:val="20"/>
                <w:szCs w:val="20"/>
                <w:color w:val="auto"/>
              </w:rPr>
            </w:pPr>
            <w:r>
              <w:rPr>
                <w:rFonts w:ascii="Arial" w:cs="Arial" w:eastAsia="Arial" w:hAnsi="Arial"/>
                <w:sz w:val="18"/>
                <w:szCs w:val="18"/>
                <w:color w:val="0000FF"/>
                <w:w w:val="98"/>
              </w:rPr>
              <w:t>Financial Statements</w:t>
            </w:r>
          </w:p>
        </w:tc>
        <w:tc>
          <w:tcPr>
            <w:tcW w:w="7660" w:type="dxa"/>
            <w:vAlign w:val="bottom"/>
            <w:gridSpan w:val="12"/>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gridSpan w:val="9"/>
          </w:tcPr>
          <w:p>
            <w:pPr>
              <w:spacing w:after="0"/>
              <w:rPr>
                <w:sz w:val="20"/>
                <w:szCs w:val="20"/>
                <w:color w:val="auto"/>
              </w:rPr>
            </w:pPr>
            <w:r>
              <w:rPr>
                <w:rFonts w:ascii="Arial" w:cs="Arial" w:eastAsia="Arial" w:hAnsi="Arial"/>
                <w:sz w:val="18"/>
                <w:szCs w:val="18"/>
                <w:color w:val="0000FF"/>
                <w:w w:val="99"/>
              </w:rPr>
              <w:t>Condensed Consolidated Balance Sheets</w:t>
            </w:r>
          </w:p>
        </w:tc>
        <w:tc>
          <w:tcPr>
            <w:tcW w:w="6000" w:type="dxa"/>
            <w:vAlign w:val="bottom"/>
            <w:gridSpan w:val="9"/>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20" w:type="dxa"/>
            <w:vAlign w:val="bottom"/>
            <w:gridSpan w:val="14"/>
          </w:tcPr>
          <w:p>
            <w:pPr>
              <w:spacing w:after="0"/>
              <w:rPr>
                <w:sz w:val="20"/>
                <w:szCs w:val="20"/>
                <w:color w:val="auto"/>
              </w:rPr>
            </w:pPr>
            <w:r>
              <w:rPr>
                <w:rFonts w:ascii="Arial" w:cs="Arial" w:eastAsia="Arial" w:hAnsi="Arial"/>
                <w:sz w:val="18"/>
                <w:szCs w:val="18"/>
                <w:color w:val="0000FF"/>
                <w:w w:val="99"/>
              </w:rPr>
              <w:t>Condensed Consolidated Statements of Comprehensive Income</w:t>
            </w:r>
          </w:p>
        </w:tc>
        <w:tc>
          <w:tcPr>
            <w:tcW w:w="422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80" w:type="dxa"/>
            <w:vAlign w:val="bottom"/>
            <w:gridSpan w:val="10"/>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940" w:type="dxa"/>
            <w:vAlign w:val="bottom"/>
            <w:gridSpan w:val="4"/>
          </w:tcPr>
          <w:p>
            <w:pPr>
              <w:spacing w:after="0"/>
              <w:rPr>
                <w:sz w:val="24"/>
                <w:szCs w:val="24"/>
                <w:color w:val="auto"/>
              </w:rPr>
            </w:pPr>
          </w:p>
        </w:tc>
        <w:tc>
          <w:tcPr>
            <w:tcW w:w="422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13"/>
          </w:tcPr>
          <w:p>
            <w:pPr>
              <w:spacing w:after="0"/>
              <w:rPr>
                <w:sz w:val="20"/>
                <w:szCs w:val="20"/>
                <w:color w:val="auto"/>
              </w:rPr>
            </w:pPr>
            <w:r>
              <w:rPr>
                <w:rFonts w:ascii="Arial" w:cs="Arial" w:eastAsia="Arial" w:hAnsi="Arial"/>
                <w:sz w:val="18"/>
                <w:szCs w:val="18"/>
                <w:color w:val="0000FF"/>
                <w:w w:val="98"/>
              </w:rPr>
              <w:t>Condensed Consolidated Statements of Stockholders’ Equity</w:t>
            </w:r>
          </w:p>
        </w:tc>
        <w:tc>
          <w:tcPr>
            <w:tcW w:w="450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80" w:type="dxa"/>
            <w:vAlign w:val="bottom"/>
            <w:gridSpan w:val="11"/>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360" w:type="dxa"/>
            <w:vAlign w:val="bottom"/>
            <w:gridSpan w:val="2"/>
          </w:tcPr>
          <w:p>
            <w:pPr>
              <w:spacing w:after="0"/>
              <w:rPr>
                <w:sz w:val="24"/>
                <w:szCs w:val="24"/>
                <w:color w:val="auto"/>
              </w:rPr>
            </w:pPr>
          </w:p>
        </w:tc>
        <w:tc>
          <w:tcPr>
            <w:tcW w:w="450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0000FF"/>
                <w:w w:val="94"/>
              </w:rPr>
              <w:t>Item 2.</w:t>
            </w:r>
          </w:p>
        </w:tc>
        <w:tc>
          <w:tcPr>
            <w:tcW w:w="380" w:type="dxa"/>
            <w:vAlign w:val="bottom"/>
            <w:gridSpan w:val="2"/>
          </w:tcPr>
          <w:p>
            <w:pPr>
              <w:spacing w:after="0"/>
              <w:rPr>
                <w:sz w:val="24"/>
                <w:szCs w:val="24"/>
                <w:color w:val="auto"/>
              </w:rPr>
            </w:pPr>
          </w:p>
        </w:tc>
        <w:tc>
          <w:tcPr>
            <w:tcW w:w="934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24</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0000FF"/>
                <w:w w:val="94"/>
              </w:rPr>
              <w:t>Item 3.</w:t>
            </w:r>
          </w:p>
        </w:tc>
        <w:tc>
          <w:tcPr>
            <w:tcW w:w="380" w:type="dxa"/>
            <w:vAlign w:val="bottom"/>
            <w:gridSpan w:val="2"/>
          </w:tcPr>
          <w:p>
            <w:pPr>
              <w:spacing w:after="0"/>
              <w:rPr>
                <w:sz w:val="24"/>
                <w:szCs w:val="24"/>
                <w:color w:val="auto"/>
              </w:rPr>
            </w:pPr>
          </w:p>
        </w:tc>
        <w:tc>
          <w:tcPr>
            <w:tcW w:w="4700" w:type="dxa"/>
            <w:vAlign w:val="bottom"/>
            <w:gridSpan w:val="12"/>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5"/>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37</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4"/>
              </w:rPr>
              <w:t>Item 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8"/>
              </w:rPr>
              <w:t>Controls and Procedures</w:t>
            </w:r>
          </w:p>
        </w:tc>
        <w:tc>
          <w:tcPr>
            <w:tcW w:w="1360" w:type="dxa"/>
            <w:vAlign w:val="bottom"/>
            <w:gridSpan w:val="2"/>
          </w:tcPr>
          <w:p>
            <w:pPr>
              <w:spacing w:after="0"/>
              <w:rPr>
                <w:sz w:val="24"/>
                <w:szCs w:val="24"/>
                <w:color w:val="auto"/>
              </w:rPr>
            </w:pPr>
          </w:p>
        </w:tc>
        <w:tc>
          <w:tcPr>
            <w:tcW w:w="13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3360" w:type="dxa"/>
            <w:vAlign w:val="bottom"/>
            <w:gridSpan w:val="3"/>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gridSpan w:val="6"/>
            <w:vMerge w:val="restart"/>
          </w:tcPr>
          <w:p>
            <w:pPr>
              <w:jc w:val="center"/>
              <w:spacing w:after="0"/>
              <w:rPr>
                <w:sz w:val="20"/>
                <w:szCs w:val="20"/>
                <w:color w:val="auto"/>
              </w:rPr>
            </w:pPr>
            <w:r>
              <w:rPr>
                <w:rFonts w:ascii="Arial" w:cs="Arial" w:eastAsia="Arial" w:hAnsi="Arial"/>
                <w:sz w:val="18"/>
                <w:szCs w:val="18"/>
                <w:b w:val="1"/>
                <w:bCs w:val="1"/>
                <w:color w:val="0000FF"/>
                <w:w w:val="98"/>
              </w:rPr>
              <w:t>PART II. OTHER INFORMATION</w:t>
            </w:r>
          </w:p>
        </w:tc>
        <w:tc>
          <w:tcPr>
            <w:tcW w:w="3360" w:type="dxa"/>
            <w:vAlign w:val="bottom"/>
            <w:gridSpan w:val="3"/>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tcBorders>
              <w:bottom w:val="single" w:sz="8" w:color="0000FF"/>
            </w:tcBorders>
            <w:gridSpan w:val="6"/>
            <w:vMerge w:val="continue"/>
          </w:tcPr>
          <w:p>
            <w:pPr>
              <w:spacing w:after="0"/>
              <w:rPr>
                <w:sz w:val="24"/>
                <w:szCs w:val="24"/>
                <w:color w:val="auto"/>
              </w:rPr>
            </w:pPr>
          </w:p>
        </w:tc>
        <w:tc>
          <w:tcPr>
            <w:tcW w:w="336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0000FF"/>
                <w:w w:val="94"/>
              </w:rPr>
              <w:t>Item 1.</w:t>
            </w:r>
          </w:p>
        </w:tc>
        <w:tc>
          <w:tcPr>
            <w:tcW w:w="380" w:type="dxa"/>
            <w:vAlign w:val="bottom"/>
            <w:gridSpan w:val="2"/>
          </w:tcPr>
          <w:p>
            <w:pPr>
              <w:spacing w:after="0"/>
              <w:rPr>
                <w:sz w:val="24"/>
                <w:szCs w:val="24"/>
                <w:color w:val="auto"/>
              </w:rPr>
            </w:pPr>
          </w:p>
        </w:tc>
        <w:tc>
          <w:tcPr>
            <w:tcW w:w="934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39</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80" w:type="dxa"/>
            <w:vAlign w:val="bottom"/>
            <w:gridSpan w:val="2"/>
          </w:tcPr>
          <w:p>
            <w:pPr>
              <w:spacing w:after="0"/>
              <w:rPr>
                <w:sz w:val="20"/>
                <w:szCs w:val="20"/>
                <w:color w:val="auto"/>
              </w:rPr>
            </w:pPr>
            <w:r>
              <w:rPr>
                <w:rFonts w:ascii="Arial" w:cs="Arial" w:eastAsia="Arial" w:hAnsi="Arial"/>
                <w:sz w:val="18"/>
                <w:szCs w:val="18"/>
                <w:color w:val="0000FF"/>
                <w:w w:val="98"/>
              </w:rPr>
              <w:t>Item 1A.</w:t>
            </w:r>
          </w:p>
        </w:tc>
        <w:tc>
          <w:tcPr>
            <w:tcW w:w="26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0000FF"/>
                <w:w w:val="97"/>
              </w:rPr>
              <w:t>Risk Factors</w:t>
            </w:r>
          </w:p>
        </w:tc>
        <w:tc>
          <w:tcPr>
            <w:tcW w:w="8340" w:type="dxa"/>
            <w:vAlign w:val="bottom"/>
            <w:gridSpan w:val="15"/>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39</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0000FF"/>
                <w:w w:val="94"/>
              </w:rPr>
              <w:t>Item 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13"/>
          </w:tcPr>
          <w:p>
            <w:pPr>
              <w:spacing w:after="0"/>
              <w:rPr>
                <w:sz w:val="20"/>
                <w:szCs w:val="20"/>
                <w:color w:val="auto"/>
              </w:rPr>
            </w:pPr>
            <w:r>
              <w:rPr>
                <w:rFonts w:ascii="Arial" w:cs="Arial" w:eastAsia="Arial" w:hAnsi="Arial"/>
                <w:sz w:val="18"/>
                <w:szCs w:val="18"/>
                <w:color w:val="0000FF"/>
                <w:w w:val="98"/>
              </w:rPr>
              <w:t>Unregistered Sales of Equity Securities and Use of Proceeds</w:t>
            </w:r>
          </w:p>
        </w:tc>
        <w:tc>
          <w:tcPr>
            <w:tcW w:w="4500" w:type="dxa"/>
            <w:vAlign w:val="bottom"/>
            <w:gridSpan w:val="5"/>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39</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440" w:type="dxa"/>
            <w:vAlign w:val="bottom"/>
            <w:gridSpan w:val="9"/>
            <w:shd w:val="clear" w:color="auto" w:fill="0000FF"/>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0000FF"/>
                <w:w w:val="94"/>
              </w:rPr>
              <w:t>Item 5.</w:t>
            </w:r>
          </w:p>
        </w:tc>
        <w:tc>
          <w:tcPr>
            <w:tcW w:w="380" w:type="dxa"/>
            <w:vAlign w:val="bottom"/>
            <w:gridSpan w:val="2"/>
          </w:tcPr>
          <w:p>
            <w:pPr>
              <w:spacing w:after="0"/>
              <w:rPr>
                <w:sz w:val="24"/>
                <w:szCs w:val="24"/>
                <w:color w:val="auto"/>
              </w:rPr>
            </w:pPr>
          </w:p>
        </w:tc>
        <w:tc>
          <w:tcPr>
            <w:tcW w:w="1400" w:type="dxa"/>
            <w:vAlign w:val="bottom"/>
            <w:gridSpan w:val="4"/>
          </w:tcPr>
          <w:p>
            <w:pPr>
              <w:spacing w:after="0"/>
              <w:rPr>
                <w:sz w:val="20"/>
                <w:szCs w:val="20"/>
                <w:color w:val="auto"/>
              </w:rPr>
            </w:pPr>
            <w:r>
              <w:rPr>
                <w:rFonts w:ascii="Arial" w:cs="Arial" w:eastAsia="Arial" w:hAnsi="Arial"/>
                <w:sz w:val="18"/>
                <w:szCs w:val="18"/>
                <w:color w:val="0000FF"/>
                <w:w w:val="98"/>
              </w:rPr>
              <w:t>Other Information</w:t>
            </w:r>
          </w:p>
        </w:tc>
        <w:tc>
          <w:tcPr>
            <w:tcW w:w="3440" w:type="dxa"/>
            <w:vAlign w:val="bottom"/>
            <w:gridSpan w:val="9"/>
          </w:tcPr>
          <w:p>
            <w:pPr>
              <w:spacing w:after="0"/>
              <w:rPr>
                <w:sz w:val="24"/>
                <w:szCs w:val="24"/>
                <w:color w:val="auto"/>
              </w:rPr>
            </w:pPr>
          </w:p>
        </w:tc>
        <w:tc>
          <w:tcPr>
            <w:tcW w:w="4500" w:type="dxa"/>
            <w:vAlign w:val="bottom"/>
            <w:gridSpan w:val="5"/>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40</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940" w:type="dxa"/>
            <w:vAlign w:val="bottom"/>
            <w:gridSpan w:val="14"/>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0000FF"/>
                <w:w w:val="94"/>
              </w:rPr>
              <w:t>Item 6.</w:t>
            </w:r>
          </w:p>
        </w:tc>
        <w:tc>
          <w:tcPr>
            <w:tcW w:w="380" w:type="dxa"/>
            <w:vAlign w:val="bottom"/>
            <w:gridSpan w:val="2"/>
          </w:tcPr>
          <w:p>
            <w:pPr>
              <w:spacing w:after="0"/>
              <w:rPr>
                <w:sz w:val="24"/>
                <w:szCs w:val="24"/>
                <w:color w:val="auto"/>
              </w:rPr>
            </w:pPr>
          </w:p>
        </w:tc>
        <w:tc>
          <w:tcPr>
            <w:tcW w:w="1400" w:type="dxa"/>
            <w:vAlign w:val="bottom"/>
            <w:gridSpan w:val="4"/>
          </w:tcPr>
          <w:p>
            <w:pPr>
              <w:spacing w:after="0"/>
              <w:rPr>
                <w:sz w:val="20"/>
                <w:szCs w:val="20"/>
                <w:color w:val="auto"/>
              </w:rPr>
            </w:pPr>
            <w:r>
              <w:rPr>
                <w:rFonts w:ascii="Arial" w:cs="Arial" w:eastAsia="Arial" w:hAnsi="Arial"/>
                <w:sz w:val="18"/>
                <w:szCs w:val="18"/>
                <w:color w:val="0000FF"/>
              </w:rPr>
              <w:t>Exhibits</w:t>
            </w:r>
          </w:p>
        </w:tc>
        <w:tc>
          <w:tcPr>
            <w:tcW w:w="7940" w:type="dxa"/>
            <w:vAlign w:val="bottom"/>
            <w:gridSpan w:val="14"/>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41</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60" w:type="dxa"/>
            <w:vAlign w:val="bottom"/>
            <w:gridSpan w:val="16"/>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0000FF"/>
                <w:w w:val="97"/>
              </w:rPr>
              <w:t>Signatures</w:t>
            </w:r>
          </w:p>
        </w:tc>
        <w:tc>
          <w:tcPr>
            <w:tcW w:w="8460" w:type="dxa"/>
            <w:vAlign w:val="bottom"/>
            <w:gridSpan w:val="16"/>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42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824865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 dollars in millions,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right"/>
              <w:ind w:right="35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31"/>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2023</w:t>
            </w:r>
          </w:p>
        </w:tc>
      </w:tr>
      <w:tr>
        <w:trPr>
          <w:trHeight w:val="22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788</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555</w:t>
            </w: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Accounts receivable – net of allowance for doubtful accounts of $2 and $4, respectively</w:t>
            </w:r>
          </w:p>
        </w:tc>
        <w:tc>
          <w:tcPr>
            <w:tcW w:w="220" w:type="dxa"/>
            <w:vAlign w:val="bottom"/>
          </w:tcPr>
          <w:p>
            <w:pPr>
              <w:spacing w:after="0"/>
              <w:rPr>
                <w:sz w:val="19"/>
                <w:szCs w:val="19"/>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b w:val="1"/>
                <w:bCs w:val="1"/>
                <w:color w:val="auto"/>
              </w:rPr>
              <w:t>393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356</w:t>
            </w: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326</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276</w:t>
            </w: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85</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w:t>
            </w:r>
          </w:p>
        </w:tc>
      </w:tr>
      <w:tr>
        <w:trPr>
          <w:trHeight w:val="22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1,592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1,250</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9"/>
                <w:szCs w:val="19"/>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b w:val="1"/>
                <w:bCs w:val="1"/>
                <w:color w:val="auto"/>
              </w:rPr>
              <w:t>13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20</w:t>
            </w: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780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774</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b w:val="1"/>
                <w:bCs w:val="1"/>
                <w:color w:val="auto"/>
              </w:rPr>
              <w:t>825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833</w:t>
            </w: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2,076</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2,076</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82</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72</w:t>
            </w: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5,368</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5,025</w:t>
            </w:r>
          </w:p>
        </w:tc>
      </w:tr>
      <w:tr>
        <w:trPr>
          <w:trHeight w:val="210"/>
        </w:trPr>
        <w:tc>
          <w:tcPr>
            <w:tcW w:w="76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Pr>
          <w:p>
            <w:pPr>
              <w:jc w:val="right"/>
              <w:ind w:right="51"/>
              <w:spacing w:after="0"/>
              <w:rPr>
                <w:sz w:val="20"/>
                <w:szCs w:val="20"/>
                <w:color w:val="auto"/>
              </w:rPr>
            </w:pPr>
            <w:r>
              <w:rPr>
                <w:rFonts w:ascii="Arial" w:cs="Arial" w:eastAsia="Arial" w:hAnsi="Arial"/>
                <w:sz w:val="18"/>
                <w:szCs w:val="18"/>
                <w:b w:val="1"/>
                <w:bCs w:val="1"/>
                <w:color w:val="auto"/>
              </w:rPr>
              <w:t>272</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210</w:t>
            </w: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Product warranty liability</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29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w:t>
            </w: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9"/>
                <w:szCs w:val="19"/>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w:t>
            </w: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45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41</w:t>
            </w: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212</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212</w:t>
            </w:r>
          </w:p>
        </w:tc>
      </w:tr>
      <w:tr>
        <w:trPr>
          <w:trHeight w:val="22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563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501</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Product warranty liability</w:t>
            </w:r>
          </w:p>
        </w:tc>
        <w:tc>
          <w:tcPr>
            <w:tcW w:w="220" w:type="dxa"/>
            <w:vAlign w:val="bottom"/>
          </w:tcPr>
          <w:p>
            <w:pPr>
              <w:spacing w:after="0"/>
              <w:rPr>
                <w:sz w:val="19"/>
                <w:szCs w:val="19"/>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b w:val="1"/>
                <w:bCs w:val="1"/>
                <w:color w:val="auto"/>
              </w:rPr>
              <w:t>32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27</w:t>
            </w: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93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89</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b w:val="1"/>
                <w:bCs w:val="1"/>
                <w:color w:val="auto"/>
              </w:rPr>
              <w:t>2,396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2,497</w:t>
            </w: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505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519</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158</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159</w:t>
            </w:r>
          </w:p>
        </w:tc>
      </w:tr>
      <w:tr>
        <w:trPr>
          <w:trHeight w:val="22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3,747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3,792</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Commitments and contingencies (see Note P)</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197"/>
        </w:trPr>
        <w:tc>
          <w:tcPr>
            <w:tcW w:w="7660" w:type="dxa"/>
            <w:vAlign w:val="bottom"/>
          </w:tcPr>
          <w:p>
            <w:pPr>
              <w:ind w:left="280"/>
              <w:spacing w:after="0" w:line="197" w:lineRule="exact"/>
              <w:rPr>
                <w:sz w:val="20"/>
                <w:szCs w:val="20"/>
                <w:color w:val="auto"/>
              </w:rPr>
            </w:pPr>
            <w:r>
              <w:rPr>
                <w:rFonts w:ascii="Arial" w:cs="Arial" w:eastAsia="Arial" w:hAnsi="Arial"/>
                <w:sz w:val="18"/>
                <w:szCs w:val="18"/>
                <w:color w:val="auto"/>
              </w:rPr>
              <w:t>Common stock, $0.01 par value, 1,880,000,000 shares authorized, 86,743,980 shares</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5"/>
        </w:trPr>
        <w:tc>
          <w:tcPr>
            <w:tcW w:w="7660" w:type="dxa"/>
            <w:vAlign w:val="bottom"/>
          </w:tcPr>
          <w:p>
            <w:pPr>
              <w:ind w:left="280"/>
              <w:spacing w:after="0"/>
              <w:rPr>
                <w:sz w:val="20"/>
                <w:szCs w:val="20"/>
                <w:color w:val="auto"/>
              </w:rPr>
            </w:pPr>
            <w:r>
              <w:rPr>
                <w:rFonts w:ascii="Arial" w:cs="Arial" w:eastAsia="Arial" w:hAnsi="Arial"/>
                <w:sz w:val="18"/>
                <w:szCs w:val="18"/>
                <w:color w:val="auto"/>
              </w:rPr>
              <w:t>issued and outstanding and 87,648,046 shares issued and outstanding, respectively</w:t>
            </w:r>
          </w:p>
        </w:tc>
        <w:tc>
          <w:tcPr>
            <w:tcW w:w="220" w:type="dxa"/>
            <w:vAlign w:val="bottom"/>
          </w:tcPr>
          <w:p>
            <w:pPr>
              <w:spacing w:after="0"/>
              <w:rPr>
                <w:sz w:val="20"/>
                <w:szCs w:val="20"/>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197"/>
        </w:trPr>
        <w:tc>
          <w:tcPr>
            <w:tcW w:w="76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Non-voting common stock, $0.01 par value, 20,000,000 shares authorized, none issued</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35"/>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and outstanding</w:t>
            </w:r>
          </w:p>
        </w:tc>
        <w:tc>
          <w:tcPr>
            <w:tcW w:w="22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197"/>
        </w:trPr>
        <w:tc>
          <w:tcPr>
            <w:tcW w:w="7660" w:type="dxa"/>
            <w:vAlign w:val="bottom"/>
          </w:tcPr>
          <w:p>
            <w:pPr>
              <w:ind w:left="280"/>
              <w:spacing w:after="0" w:line="197" w:lineRule="exact"/>
              <w:rPr>
                <w:sz w:val="20"/>
                <w:szCs w:val="20"/>
                <w:color w:val="auto"/>
              </w:rPr>
            </w:pPr>
            <w:r>
              <w:rPr>
                <w:rFonts w:ascii="Arial" w:cs="Arial" w:eastAsia="Arial" w:hAnsi="Arial"/>
                <w:sz w:val="18"/>
                <w:szCs w:val="18"/>
                <w:color w:val="auto"/>
              </w:rPr>
              <w:t>Preferred stock, $0.01 par value, 100,000,000 shares authorized, none issued and</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5"/>
        </w:trPr>
        <w:tc>
          <w:tcPr>
            <w:tcW w:w="7660" w:type="dxa"/>
            <w:vAlign w:val="bottom"/>
          </w:tcPr>
          <w:p>
            <w:pPr>
              <w:ind w:left="28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Paid in capital</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1,930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1,891</w:t>
            </w: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(272 )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(628 )</w:t>
            </w:r>
          </w:p>
        </w:tc>
      </w:tr>
      <w:tr>
        <w:trPr>
          <w:trHeight w:val="229"/>
        </w:trPr>
        <w:tc>
          <w:tcPr>
            <w:tcW w:w="7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22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(38 )</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(31 )</w:t>
            </w:r>
          </w:p>
        </w:tc>
      </w:tr>
      <w:tr>
        <w:trPr>
          <w:trHeight w:val="223"/>
        </w:trPr>
        <w:tc>
          <w:tcPr>
            <w:tcW w:w="76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1,621</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1,233</w:t>
            </w:r>
          </w:p>
        </w:tc>
      </w:tr>
      <w:tr>
        <w:trPr>
          <w:trHeight w:val="263"/>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&amp; STOCKHOLDERS’ EQUITY</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5,368</w:t>
            </w: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-3963670</wp:posOffset>
            </wp:positionV>
            <wp:extent cx="102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-3946525</wp:posOffset>
            </wp:positionV>
            <wp:extent cx="102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-333375</wp:posOffset>
            </wp:positionV>
            <wp:extent cx="102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102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02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240"/>
          </w:cols>
          <w:pgMar w:left="320" w:top="117"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7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91"/>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58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760" w:type="dxa"/>
            <w:vAlign w:val="bottom"/>
            <w:shd w:val="clear" w:color="auto" w:fill="CFF0FC"/>
          </w:tcPr>
          <w:p>
            <w:pPr>
              <w:jc w:val="right"/>
              <w:ind w:right="555"/>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824</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736</w:t>
            </w:r>
          </w:p>
        </w:tc>
        <w:tc>
          <w:tcPr>
            <w:tcW w:w="400" w:type="dxa"/>
            <w:vAlign w:val="bottom"/>
            <w:gridSpan w:val="2"/>
            <w:shd w:val="clear" w:color="auto" w:fill="CFF0FC"/>
          </w:tcPr>
          <w:p>
            <w:pPr>
              <w:jc w:val="right"/>
              <w:ind w:right="56"/>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2,429</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2,260</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428</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1,273</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1,161</w:t>
            </w: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w:t>
            </w: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396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1,156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1,099</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85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253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265</w:t>
            </w:r>
          </w:p>
        </w:tc>
      </w:tr>
      <w:tr>
        <w:trPr>
          <w:trHeight w:val="229"/>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Engineering — research and development</w:t>
            </w:r>
          </w:p>
        </w:tc>
        <w:tc>
          <w:tcPr>
            <w:tcW w:w="7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51</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146</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140</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76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260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757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694</w:t>
            </w: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(83 )</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w:t>
            </w: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249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687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621</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(49 )</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(131 )</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(118 )</w:t>
            </w:r>
          </w:p>
        </w:tc>
      </w:tr>
      <w:tr>
        <w:trPr>
          <w:trHeight w:val="26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760" w:type="dxa"/>
            <w:vAlign w:val="bottom"/>
            <w:tcBorders>
              <w:bottom w:val="single" w:sz="8" w:color="auto"/>
            </w:tcBorders>
            <w:shd w:val="clear" w:color="auto" w:fill="CFF0FC"/>
          </w:tcPr>
          <w:p>
            <w:pPr>
              <w:jc w:val="right"/>
              <w:ind w:right="55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200</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158</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556</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503</w:t>
            </w:r>
          </w:p>
        </w:tc>
      </w:tr>
      <w:tr>
        <w:trPr>
          <w:trHeight w:val="210"/>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760" w:type="dxa"/>
            <w:vAlign w:val="bottom"/>
          </w:tcPr>
          <w:p>
            <w:pPr>
              <w:jc w:val="right"/>
              <w:ind w:right="55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2.30</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1.76</w:t>
            </w:r>
          </w:p>
        </w:tc>
        <w:tc>
          <w:tcPr>
            <w:tcW w:w="400" w:type="dxa"/>
            <w:vAlign w:val="bottom"/>
            <w:gridSpan w:val="2"/>
          </w:tcPr>
          <w:p>
            <w:pPr>
              <w:jc w:val="right"/>
              <w:ind w:right="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6.39</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5.53</w:t>
            </w:r>
          </w:p>
        </w:tc>
      </w:tr>
      <w:tr>
        <w:trPr>
          <w:trHeight w:val="20"/>
        </w:trPr>
        <w:tc>
          <w:tcPr>
            <w:tcW w:w="5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Diluted earnings per share attributable to common stockholders</w:t>
            </w:r>
          </w:p>
        </w:tc>
        <w:tc>
          <w:tcPr>
            <w:tcW w:w="760" w:type="dxa"/>
            <w:vAlign w:val="bottom"/>
            <w:tcBorders>
              <w:bottom w:val="single" w:sz="8" w:color="auto"/>
            </w:tcBorders>
            <w:shd w:val="clear" w:color="auto" w:fill="CFF0FC"/>
          </w:tcPr>
          <w:p>
            <w:pPr>
              <w:jc w:val="right"/>
              <w:ind w:right="55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2.27</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1.76</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6.32</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5.53</w:t>
            </w:r>
          </w:p>
        </w:tc>
      </w:tr>
      <w:tr>
        <w:trPr>
          <w:trHeight w:val="210"/>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net of tax</w:t>
            </w:r>
          </w:p>
        </w:tc>
        <w:tc>
          <w:tcPr>
            <w:tcW w:w="760" w:type="dxa"/>
            <w:vAlign w:val="bottom"/>
          </w:tcPr>
          <w:p>
            <w:pPr>
              <w:jc w:val="right"/>
              <w:ind w:right="55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199</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400" w:type="dxa"/>
            <w:vAlign w:val="bottom"/>
            <w:gridSpan w:val="2"/>
          </w:tcPr>
          <w:p>
            <w:pPr>
              <w:jc w:val="right"/>
              <w:ind w:right="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549</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493</w:t>
            </w:r>
          </w:p>
        </w:tc>
      </w:tr>
      <w:tr>
        <w:trPr>
          <w:trHeight w:val="20"/>
        </w:trPr>
        <w:tc>
          <w:tcPr>
            <w:tcW w:w="5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-1437640</wp:posOffset>
            </wp:positionV>
            <wp:extent cx="939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-1437640</wp:posOffset>
            </wp:positionV>
            <wp:extent cx="857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-1437640</wp:posOffset>
            </wp:positionV>
            <wp:extent cx="857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-538480</wp:posOffset>
            </wp:positionV>
            <wp:extent cx="939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-521970</wp:posOffset>
            </wp:positionV>
            <wp:extent cx="939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-538480</wp:posOffset>
            </wp:positionV>
            <wp:extent cx="85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-521970</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-538480</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-521970</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-196215</wp:posOffset>
            </wp:positionV>
            <wp:extent cx="939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-179070</wp:posOffset>
            </wp:positionV>
            <wp:extent cx="93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-196215</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-179070</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-196215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-179070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Borders>
              <w:bottom w:val="single" w:sz="8" w:color="auto"/>
            </w:tcBorders>
          </w:tcPr>
          <w:p>
            <w:pPr>
              <w:spacing w:after="0"/>
              <w:rPr>
                <w:sz w:val="16"/>
                <w:szCs w:val="16"/>
                <w:color w:val="auto"/>
              </w:rPr>
            </w:pPr>
          </w:p>
        </w:tc>
      </w:tr>
      <w:tr>
        <w:trPr>
          <w:trHeight w:val="209"/>
        </w:trPr>
        <w:tc>
          <w:tcPr>
            <w:tcW w:w="774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4"/>
                <w:szCs w:val="14"/>
                <w:b w:val="1"/>
                <w:bCs w:val="1"/>
                <w:color w:val="auto"/>
              </w:rPr>
              <w:t>2024</w:t>
            </w:r>
          </w:p>
        </w:tc>
        <w:tc>
          <w:tcPr>
            <w:tcW w:w="6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8"/>
                <w:szCs w:val="18"/>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556</w:t>
            </w:r>
          </w:p>
        </w:tc>
        <w:tc>
          <w:tcPr>
            <w:tcW w:w="12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503</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82</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81</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20</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8</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Unrealized loss (gain) on marketable securities</w:t>
            </w: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8</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Pension plan settlement loss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Technology-related investments loss (gain)</w:t>
            </w: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receivable</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(36 )</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(50 )</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36</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Other assets and liabilities</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(31 )</w:t>
            </w:r>
          </w:p>
        </w:tc>
        <w:tc>
          <w:tcPr>
            <w:tcW w:w="1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r>
      <w:tr>
        <w:trPr>
          <w:trHeight w:val="223"/>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590</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546</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Additions of long-lived assets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(68 )</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(73 )</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Investment in equity method investee</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sale of assets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Investment in equities without a readily determinable fair value</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Proceeds from technology-related investments</w:t>
            </w:r>
          </w:p>
        </w:tc>
        <w:tc>
          <w:tcPr>
            <w:tcW w:w="10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23"/>
        </w:trPr>
        <w:tc>
          <w:tcPr>
            <w:tcW w:w="7740" w:type="dxa"/>
            <w:vAlign w:val="bottom"/>
          </w:tcPr>
          <w:p>
            <w:pPr>
              <w:ind w:left="520"/>
              <w:spacing w:after="0"/>
              <w:rPr>
                <w:sz w:val="20"/>
                <w:szCs w:val="20"/>
                <w:color w:val="auto"/>
              </w:rPr>
            </w:pPr>
            <w:r>
              <w:rPr>
                <w:rFonts w:ascii="Arial" w:cs="Arial" w:eastAsia="Arial" w:hAnsi="Arial"/>
                <w:sz w:val="18"/>
                <w:szCs w:val="18"/>
                <w:color w:val="auto"/>
              </w:rPr>
              <w:t>Net cash used for investing activities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(70 )</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(71 )</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Repurchases of common stock</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(133 )</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Payments on long-term debt</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(103 )</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Dividend payments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(66 )</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28</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Taxes paid related to net share settlement of equity awards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Debt financing fees</w:t>
            </w:r>
          </w:p>
        </w:tc>
        <w:tc>
          <w:tcPr>
            <w:tcW w:w="10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(4 )</w:t>
            </w:r>
          </w:p>
        </w:tc>
        <w:tc>
          <w:tcPr>
            <w:tcW w:w="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tcPr>
          <w:p>
            <w:pPr>
              <w:ind w:left="520"/>
              <w:spacing w:after="0"/>
              <w:rPr>
                <w:sz w:val="20"/>
                <w:szCs w:val="20"/>
                <w:color w:val="auto"/>
              </w:rPr>
            </w:pPr>
            <w:r>
              <w:rPr>
                <w:rFonts w:ascii="Arial" w:cs="Arial" w:eastAsia="Arial" w:hAnsi="Arial"/>
                <w:sz w:val="18"/>
                <w:szCs w:val="18"/>
                <w:color w:val="auto"/>
              </w:rPr>
              <w:t>Net cash used for financing activities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(287 )</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(205 )</w:t>
            </w:r>
          </w:p>
        </w:tc>
      </w:tr>
      <w:tr>
        <w:trPr>
          <w:trHeight w:val="22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0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7740" w:type="dxa"/>
            <w:vAlign w:val="bottom"/>
          </w:tcPr>
          <w:p>
            <w:pPr>
              <w:ind w:left="520"/>
              <w:spacing w:after="0"/>
              <w:rPr>
                <w:sz w:val="20"/>
                <w:szCs w:val="20"/>
                <w:color w:val="auto"/>
              </w:rPr>
            </w:pPr>
            <w:r>
              <w:rPr>
                <w:rFonts w:ascii="Arial" w:cs="Arial" w:eastAsia="Arial" w:hAnsi="Arial"/>
                <w:sz w:val="18"/>
                <w:szCs w:val="18"/>
                <w:color w:val="auto"/>
              </w:rPr>
              <w:t>Net increase in cash and cash equivalents</w:t>
            </w: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233</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269</w:t>
            </w:r>
          </w:p>
        </w:tc>
      </w:tr>
      <w:tr>
        <w:trPr>
          <w:trHeight w:val="22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555</w:t>
            </w:r>
          </w:p>
        </w:tc>
        <w:tc>
          <w:tcPr>
            <w:tcW w:w="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232</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060" w:type="dxa"/>
            <w:vAlign w:val="bottom"/>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788</w:t>
            </w:r>
          </w:p>
        </w:tc>
        <w:tc>
          <w:tcPr>
            <w:tcW w:w="12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501</w:t>
            </w:r>
          </w:p>
        </w:tc>
      </w:tr>
      <w:tr>
        <w:trPr>
          <w:trHeight w:val="20"/>
        </w:trPr>
        <w:tc>
          <w:tcPr>
            <w:tcW w:w="77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r>
      <w:tr>
        <w:trPr>
          <w:trHeight w:val="229"/>
        </w:trPr>
        <w:tc>
          <w:tcPr>
            <w:tcW w:w="7740" w:type="dxa"/>
            <w:vAlign w:val="bottom"/>
          </w:tcPr>
          <w:p>
            <w:pPr>
              <w:ind w:left="520"/>
              <w:spacing w:after="0"/>
              <w:rPr>
                <w:sz w:val="20"/>
                <w:szCs w:val="20"/>
                <w:color w:val="auto"/>
              </w:rPr>
            </w:pPr>
            <w:r>
              <w:rPr>
                <w:rFonts w:ascii="Arial" w:cs="Arial" w:eastAsia="Arial" w:hAnsi="Arial"/>
                <w:sz w:val="18"/>
                <w:szCs w:val="18"/>
                <w:color w:val="auto"/>
              </w:rPr>
              <w:t>Income taxes paid</w:t>
            </w:r>
          </w:p>
        </w:tc>
        <w:tc>
          <w:tcPr>
            <w:tcW w:w="1060" w:type="dxa"/>
            <w:vAlign w:val="bottom"/>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(150 )</w:t>
            </w:r>
          </w:p>
        </w:tc>
        <w:tc>
          <w:tcPr>
            <w:tcW w:w="12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(164 )</w:t>
            </w:r>
          </w:p>
        </w:tc>
      </w:tr>
      <w:tr>
        <w:trPr>
          <w:trHeight w:val="229"/>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Interest paid</w:t>
            </w:r>
          </w:p>
        </w:tc>
        <w:tc>
          <w:tcPr>
            <w:tcW w:w="1060" w:type="dxa"/>
            <w:vAlign w:val="bottom"/>
            <w:shd w:val="clear" w:color="auto" w:fill="CFF0FC"/>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(91 )</w:t>
            </w:r>
          </w:p>
        </w:tc>
        <w:tc>
          <w:tcPr>
            <w:tcW w:w="1280" w:type="dxa"/>
            <w:vAlign w:val="bottom"/>
            <w:gridSpan w:val="2"/>
            <w:shd w:val="clear" w:color="auto" w:fill="CFF0FC"/>
          </w:tcPr>
          <w:p>
            <w:pPr>
              <w:jc w:val="right"/>
              <w:ind w:right="9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(95 )</w:t>
            </w:r>
          </w:p>
        </w:tc>
      </w:tr>
      <w:tr>
        <w:trPr>
          <w:trHeight w:val="229"/>
        </w:trPr>
        <w:tc>
          <w:tcPr>
            <w:tcW w:w="7740" w:type="dxa"/>
            <w:vAlign w:val="bottom"/>
          </w:tcPr>
          <w:p>
            <w:pPr>
              <w:ind w:left="520"/>
              <w:spacing w:after="0"/>
              <w:rPr>
                <w:sz w:val="20"/>
                <w:szCs w:val="20"/>
                <w:color w:val="auto"/>
              </w:rPr>
            </w:pPr>
            <w:r>
              <w:rPr>
                <w:rFonts w:ascii="Arial" w:cs="Arial" w:eastAsia="Arial" w:hAnsi="Arial"/>
                <w:sz w:val="18"/>
                <w:szCs w:val="18"/>
                <w:color w:val="auto"/>
              </w:rPr>
              <w:t>Interest received from interest rate swaps</w:t>
            </w:r>
          </w:p>
        </w:tc>
        <w:tc>
          <w:tcPr>
            <w:tcW w:w="1060" w:type="dxa"/>
            <w:vAlign w:val="bottom"/>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10</w:t>
            </w:r>
          </w:p>
        </w:tc>
        <w:tc>
          <w:tcPr>
            <w:tcW w:w="12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investing activities: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r>
      <w:tr>
        <w:trPr>
          <w:trHeight w:val="247"/>
        </w:trPr>
        <w:tc>
          <w:tcPr>
            <w:tcW w:w="7740" w:type="dxa"/>
            <w:vAlign w:val="bottom"/>
          </w:tcPr>
          <w:p>
            <w:pPr>
              <w:ind w:left="520"/>
              <w:spacing w:after="0"/>
              <w:rPr>
                <w:sz w:val="20"/>
                <w:szCs w:val="20"/>
                <w:color w:val="auto"/>
              </w:rPr>
            </w:pPr>
            <w:r>
              <w:rPr>
                <w:rFonts w:ascii="Arial" w:cs="Arial" w:eastAsia="Arial" w:hAnsi="Arial"/>
                <w:sz w:val="18"/>
                <w:szCs w:val="18"/>
                <w:color w:val="auto"/>
              </w:rPr>
              <w:t>Capital expenditures in liabilities</w:t>
            </w:r>
          </w:p>
        </w:tc>
        <w:tc>
          <w:tcPr>
            <w:tcW w:w="1060" w:type="dxa"/>
            <w:vAlign w:val="bottom"/>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30</w:t>
            </w:r>
          </w:p>
        </w:tc>
        <w:tc>
          <w:tcPr>
            <w:tcW w:w="12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-2835910</wp:posOffset>
            </wp:positionV>
            <wp:extent cx="1111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-1663065</wp:posOffset>
            </wp:positionV>
            <wp:extent cx="1111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-1363345</wp:posOffset>
            </wp:positionV>
            <wp:extent cx="1111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-1063625</wp:posOffset>
            </wp:positionV>
            <wp:extent cx="1111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center"/>
              <w:ind w:left="51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60"/>
        </w:trPr>
        <w:tc>
          <w:tcPr>
            <w:tcW w:w="3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12"/>
              <w:spacing w:after="0" w:line="159" w:lineRule="exact"/>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2"/>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212"/>
              <w:spacing w:after="0"/>
              <w:rPr>
                <w:sz w:val="20"/>
                <w:szCs w:val="20"/>
                <w:color w:val="auto"/>
              </w:rPr>
            </w:pPr>
            <w:r>
              <w:rPr>
                <w:rFonts w:ascii="Arial" w:cs="Arial" w:eastAsia="Arial" w:hAnsi="Arial"/>
                <w:sz w:val="14"/>
                <w:szCs w:val="14"/>
                <w:b w:val="1"/>
                <w:bCs w:val="1"/>
                <w:color w:val="auto"/>
              </w:rPr>
              <w:t>d Other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rPr>
              <w:t>Comprehen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Non-voting</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w:t>
            </w:r>
          </w:p>
        </w:tc>
        <w:tc>
          <w:tcPr>
            <w:tcW w:w="140" w:type="dxa"/>
            <w:vAlign w:val="bottom"/>
          </w:tcPr>
          <w:p>
            <w:pPr>
              <w:spacing w:after="0"/>
              <w:rPr>
                <w:sz w:val="14"/>
                <w:szCs w:val="14"/>
                <w:color w:val="auto"/>
              </w:rPr>
            </w:pPr>
          </w:p>
        </w:tc>
        <w:tc>
          <w:tcPr>
            <w:tcW w:w="100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rPr>
              <w:t>sive (Loss)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00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Paid-in</w:t>
            </w:r>
          </w:p>
        </w:tc>
        <w:tc>
          <w:tcPr>
            <w:tcW w:w="940" w:type="dxa"/>
            <w:vAlign w:val="bottom"/>
            <w:gridSpan w:val="2"/>
          </w:tcPr>
          <w:p>
            <w:pPr>
              <w:jc w:val="right"/>
              <w:ind w:right="131"/>
              <w:spacing w:after="0"/>
              <w:rPr>
                <w:sz w:val="20"/>
                <w:szCs w:val="20"/>
                <w:color w:val="auto"/>
              </w:rPr>
            </w:pPr>
            <w:r>
              <w:rPr>
                <w:rFonts w:ascii="Arial" w:cs="Arial" w:eastAsia="Arial" w:hAnsi="Arial"/>
                <w:sz w:val="14"/>
                <w:szCs w:val="14"/>
                <w:b w:val="1"/>
                <w:bCs w:val="1"/>
                <w:color w:val="auto"/>
              </w:rPr>
              <w:t>d (Deficit)</w:t>
            </w:r>
          </w:p>
        </w:tc>
        <w:tc>
          <w:tcPr>
            <w:tcW w:w="140" w:type="dxa"/>
            <w:vAlign w:val="bottom"/>
          </w:tcPr>
          <w:p>
            <w:pPr>
              <w:spacing w:after="0"/>
              <w:rPr>
                <w:sz w:val="14"/>
                <w:szCs w:val="14"/>
                <w:color w:val="auto"/>
              </w:rPr>
            </w:pPr>
          </w:p>
        </w:tc>
        <w:tc>
          <w:tcPr>
            <w:tcW w:w="100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rPr>
              <w:t>Income, net</w:t>
            </w: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Stockholde</w:t>
            </w:r>
          </w:p>
        </w:tc>
      </w:tr>
      <w:tr>
        <w:trPr>
          <w:trHeight w:val="185"/>
        </w:trPr>
        <w:tc>
          <w:tcPr>
            <w:tcW w:w="3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of tax</w:t>
            </w:r>
          </w:p>
        </w:tc>
        <w:tc>
          <w:tcPr>
            <w:tcW w:w="120" w:type="dxa"/>
            <w:vAlign w:val="bottom"/>
          </w:tcPr>
          <w:p>
            <w:pPr>
              <w:spacing w:after="0"/>
              <w:rPr>
                <w:sz w:val="16"/>
                <w:szCs w:val="16"/>
                <w:color w:val="auto"/>
              </w:rPr>
            </w:pPr>
          </w:p>
        </w:tc>
        <w:tc>
          <w:tcPr>
            <w:tcW w:w="9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rs' Equity</w:t>
            </w:r>
          </w:p>
        </w:tc>
      </w:tr>
      <w:tr>
        <w:trPr>
          <w:trHeight w:val="223"/>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June 30, 2023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1,868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(25 )</w:t>
            </w: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1,056</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Pension and OPEB liability adjustment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 of common stock</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Dividends on common stock</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w:t>
            </w:r>
          </w:p>
        </w:tc>
      </w:tr>
      <w:tr>
        <w:trPr>
          <w:trHeight w:val="263"/>
        </w:trPr>
        <w:tc>
          <w:tcPr>
            <w:tcW w:w="3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2023</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1,885</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(670 )</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1,184</w:t>
            </w:r>
          </w:p>
        </w:tc>
      </w:tr>
      <w:tr>
        <w:trPr>
          <w:trHeight w:val="210"/>
        </w:trPr>
        <w:tc>
          <w:tcPr>
            <w:tcW w:w="3600" w:type="dxa"/>
            <w:vAlign w:val="bottom"/>
          </w:tcPr>
          <w:p>
            <w:pPr>
              <w:ind w:left="20"/>
              <w:spacing w:after="0"/>
              <w:rPr>
                <w:sz w:val="20"/>
                <w:szCs w:val="20"/>
                <w:color w:val="auto"/>
              </w:rPr>
            </w:pPr>
            <w:r>
              <w:rPr>
                <w:rFonts w:ascii="Arial" w:cs="Arial" w:eastAsia="Arial" w:hAnsi="Arial"/>
                <w:sz w:val="18"/>
                <w:szCs w:val="18"/>
                <w:color w:val="auto"/>
              </w:rPr>
              <w:t>Balance at June 30, 2024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1,919</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(399 )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(37 )</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1,484</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6</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Pension and OPEB liability adjustment</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(3 )</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8</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(6 )</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 of common stock</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5</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(51 )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(51 )</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Dividends on common stock</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(22 )</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(22 )</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200</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w:t>
            </w:r>
          </w:p>
        </w:tc>
      </w:tr>
      <w:tr>
        <w:trPr>
          <w:trHeight w:val="263"/>
        </w:trPr>
        <w:tc>
          <w:tcPr>
            <w:tcW w:w="3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1,930</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(272 )</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(38 )</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1,621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-1515110</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-1497965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-1515110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-1497965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-1515110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-1497965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-1515110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-1497965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-1515110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-1497965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-1515110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-1497965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-24765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-7620</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-24765</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-7620</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-24765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-7620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-24765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-24765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-7620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-24765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-7620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center"/>
              <w:ind w:left="532"/>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60"/>
        </w:trPr>
        <w:tc>
          <w:tcPr>
            <w:tcW w:w="3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2"/>
              <w:spacing w:after="0" w:line="159" w:lineRule="exact"/>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2"/>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192"/>
              <w:spacing w:after="0"/>
              <w:rPr>
                <w:sz w:val="20"/>
                <w:szCs w:val="20"/>
                <w:color w:val="auto"/>
              </w:rPr>
            </w:pPr>
            <w:r>
              <w:rPr>
                <w:rFonts w:ascii="Arial" w:cs="Arial" w:eastAsia="Arial" w:hAnsi="Arial"/>
                <w:sz w:val="14"/>
                <w:szCs w:val="14"/>
                <w:b w:val="1"/>
                <w:bCs w:val="1"/>
                <w:color w:val="auto"/>
              </w:rPr>
              <w:t>d Other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Comprehens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Non-voting</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4"/>
                <w:szCs w:val="14"/>
                <w:color w:val="auto"/>
              </w:rPr>
            </w:pPr>
          </w:p>
        </w:tc>
        <w:tc>
          <w:tcPr>
            <w:tcW w:w="1020" w:type="dxa"/>
            <w:vAlign w:val="bottom"/>
            <w:gridSpan w:val="2"/>
          </w:tcPr>
          <w:p>
            <w:pPr>
              <w:jc w:val="center"/>
              <w:ind w:right="52"/>
              <w:spacing w:after="0"/>
              <w:rPr>
                <w:sz w:val="20"/>
                <w:szCs w:val="20"/>
                <w:color w:val="auto"/>
              </w:rPr>
            </w:pPr>
            <w:r>
              <w:rPr>
                <w:rFonts w:ascii="Arial" w:cs="Arial" w:eastAsia="Arial" w:hAnsi="Arial"/>
                <w:sz w:val="14"/>
                <w:szCs w:val="14"/>
                <w:b w:val="1"/>
                <w:bCs w:val="1"/>
                <w:color w:val="auto"/>
              </w:rPr>
              <w:t>ive (Loss)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00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Paid-in</w:t>
            </w:r>
          </w:p>
        </w:tc>
        <w:tc>
          <w:tcPr>
            <w:tcW w:w="960" w:type="dxa"/>
            <w:vAlign w:val="bottom"/>
            <w:gridSpan w:val="2"/>
          </w:tcPr>
          <w:p>
            <w:pPr>
              <w:jc w:val="right"/>
              <w:ind w:right="131"/>
              <w:spacing w:after="0"/>
              <w:rPr>
                <w:sz w:val="20"/>
                <w:szCs w:val="20"/>
                <w:color w:val="auto"/>
              </w:rPr>
            </w:pPr>
            <w:r>
              <w:rPr>
                <w:rFonts w:ascii="Arial" w:cs="Arial" w:eastAsia="Arial" w:hAnsi="Arial"/>
                <w:sz w:val="14"/>
                <w:szCs w:val="14"/>
                <w:b w:val="1"/>
                <w:bCs w:val="1"/>
                <w:color w:val="auto"/>
              </w:rPr>
              <w:t>d (Deficit)</w:t>
            </w: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 net</w:t>
            </w: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Stockholde</w:t>
            </w:r>
          </w:p>
        </w:tc>
      </w:tr>
      <w:tr>
        <w:trPr>
          <w:trHeight w:val="185"/>
        </w:trPr>
        <w:tc>
          <w:tcPr>
            <w:tcW w:w="3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rPr>
              <w:t>of tax</w:t>
            </w:r>
          </w:p>
        </w:tc>
        <w:tc>
          <w:tcPr>
            <w:tcW w:w="120" w:type="dxa"/>
            <w:vAlign w:val="bottom"/>
          </w:tcPr>
          <w:p>
            <w:pPr>
              <w:spacing w:after="0"/>
              <w:rPr>
                <w:sz w:val="16"/>
                <w:szCs w:val="16"/>
                <w:color w:val="auto"/>
              </w:rPr>
            </w:pPr>
          </w:p>
        </w:tc>
        <w:tc>
          <w:tcPr>
            <w:tcW w:w="9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rs' Equity</w:t>
            </w:r>
          </w:p>
        </w:tc>
      </w:tr>
      <w:tr>
        <w:trPr>
          <w:trHeight w:val="223"/>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1,848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(953 )</w:t>
            </w:r>
          </w:p>
        </w:tc>
        <w:tc>
          <w:tcPr>
            <w:tcW w:w="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874</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Pension and OPEB liability adjustment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(157 )</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(157 )</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36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503</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503</w:t>
            </w:r>
          </w:p>
        </w:tc>
      </w:tr>
      <w:tr>
        <w:trPr>
          <w:trHeight w:val="223"/>
        </w:trPr>
        <w:tc>
          <w:tcPr>
            <w:tcW w:w="3600" w:type="dxa"/>
            <w:vAlign w:val="bottom"/>
          </w:tcPr>
          <w:p>
            <w:pPr>
              <w:ind w:left="20"/>
              <w:spacing w:after="0"/>
              <w:rPr>
                <w:sz w:val="20"/>
                <w:szCs w:val="20"/>
                <w:color w:val="auto"/>
              </w:rPr>
            </w:pPr>
            <w:r>
              <w:rPr>
                <w:rFonts w:ascii="Arial" w:cs="Arial" w:eastAsia="Arial" w:hAnsi="Arial"/>
                <w:sz w:val="18"/>
                <w:szCs w:val="18"/>
                <w:color w:val="auto"/>
              </w:rPr>
              <w:t>Balance at September 30, 2023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(670 )</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(32 )</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1,184</w:t>
            </w:r>
          </w:p>
        </w:tc>
      </w:tr>
      <w:tr>
        <w:trPr>
          <w:trHeight w:val="20"/>
        </w:trPr>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1,891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(628 )</w:t>
            </w:r>
          </w:p>
        </w:tc>
        <w:tc>
          <w:tcPr>
            <w:tcW w:w="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1,233</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Pension and OPEB liability adjustment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(6 )</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(6 )</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19</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(134 )</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(134 )</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(66 )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(66 )</w:t>
            </w:r>
          </w:p>
        </w:tc>
      </w:tr>
      <w:tr>
        <w:trPr>
          <w:trHeight w:val="229"/>
        </w:trPr>
        <w:tc>
          <w:tcPr>
            <w:tcW w:w="36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556</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556</w:t>
            </w:r>
          </w:p>
        </w:tc>
      </w:tr>
      <w:tr>
        <w:trPr>
          <w:trHeight w:val="223"/>
        </w:trPr>
        <w:tc>
          <w:tcPr>
            <w:tcW w:w="3600" w:type="dxa"/>
            <w:vAlign w:val="bottom"/>
          </w:tcPr>
          <w:p>
            <w:pPr>
              <w:ind w:left="20"/>
              <w:spacing w:after="0"/>
              <w:rPr>
                <w:sz w:val="20"/>
                <w:szCs w:val="20"/>
                <w:color w:val="auto"/>
              </w:rPr>
            </w:pPr>
            <w:r>
              <w:rPr>
                <w:rFonts w:ascii="Arial" w:cs="Arial" w:eastAsia="Arial" w:hAnsi="Arial"/>
                <w:sz w:val="18"/>
                <w:szCs w:val="18"/>
                <w:color w:val="auto"/>
              </w:rPr>
              <w:t>Balance at September 30, 2024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1</w:t>
            </w:r>
          </w:p>
        </w:tc>
        <w:tc>
          <w:tcPr>
            <w:tcW w:w="32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1,930</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(272 )</w:t>
            </w:r>
          </w:p>
        </w:tc>
        <w:tc>
          <w:tcPr>
            <w:tcW w:w="26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(38 )</w:t>
            </w:r>
          </w:p>
        </w:tc>
        <w:tc>
          <w:tcPr>
            <w:tcW w:w="38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1,621</w:t>
            </w:r>
          </w:p>
        </w:tc>
      </w:tr>
      <w:tr>
        <w:trPr>
          <w:trHeight w:val="20"/>
        </w:trPr>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-1668780</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-1668780</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-1668780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-1668780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-1668780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-1668780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-179070</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-179070</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-179070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-179070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-179070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-179070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101" w:lineRule="exact"/>
        <w:rPr>
          <w:sz w:val="20"/>
          <w:szCs w:val="20"/>
          <w:color w:val="auto"/>
        </w:rPr>
      </w:pPr>
    </w:p>
    <w:p>
      <w:pPr>
        <w:ind w:right="80" w:firstLine="499"/>
        <w:spacing w:after="0" w:line="246" w:lineRule="auto"/>
        <w:rPr>
          <w:sz w:val="20"/>
          <w:szCs w:val="20"/>
          <w:color w:val="auto"/>
        </w:rPr>
      </w:pPr>
      <w:r>
        <w:rPr>
          <w:rFonts w:ascii="Arial" w:cs="Arial" w:eastAsia="Arial" w:hAnsi="Arial"/>
          <w:sz w:val="18"/>
          <w:szCs w:val="18"/>
          <w:color w:val="auto"/>
        </w:rPr>
        <w:t>Allison Transmission Holdings, Inc. and its subsidiaries (“Allison” or the “Company”)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spacing w:after="0" w:line="68" w:lineRule="exact"/>
        <w:rPr>
          <w:sz w:val="20"/>
          <w:szCs w:val="20"/>
          <w:color w:val="auto"/>
        </w:rPr>
      </w:pPr>
    </w:p>
    <w:p>
      <w:pPr>
        <w:ind w:right="420" w:firstLine="499"/>
        <w:spacing w:after="0" w:line="252" w:lineRule="auto"/>
        <w:rPr>
          <w:sz w:val="20"/>
          <w:szCs w:val="20"/>
          <w:color w:val="auto"/>
        </w:rPr>
      </w:pPr>
      <w:r>
        <w:rPr>
          <w:rFonts w:ascii="Arial" w:cs="Arial" w:eastAsia="Arial" w:hAnsi="Arial"/>
          <w:sz w:val="18"/>
          <w:szCs w:val="18"/>
          <w:color w:val="auto"/>
        </w:rPr>
        <w:t>The Company has a global presence by serving customers in North America, Asia, Europe, South America, and Africa, with approximately 75% of its revenues being generated in North America in 2023. The Company serves customers through an independent network of approximately 1,600 independent distributor and dealer locations worldwide.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01" w:lineRule="exact"/>
        <w:rPr>
          <w:sz w:val="20"/>
          <w:szCs w:val="20"/>
          <w:color w:val="auto"/>
        </w:rPr>
      </w:pPr>
    </w:p>
    <w:p>
      <w:pPr>
        <w:ind w:right="60" w:firstLine="499"/>
        <w:spacing w:after="0" w:line="241"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74" w:lineRule="exact"/>
        <w:rPr>
          <w:sz w:val="20"/>
          <w:szCs w:val="20"/>
          <w:color w:val="auto"/>
        </w:rPr>
      </w:pPr>
    </w:p>
    <w:p>
      <w:pPr>
        <w:ind w:firstLine="499"/>
        <w:spacing w:after="0"/>
        <w:rPr>
          <w:sz w:val="20"/>
          <w:szCs w:val="20"/>
          <w:color w:val="auto"/>
        </w:rPr>
      </w:pPr>
      <w:r>
        <w:rPr>
          <w:rFonts w:ascii="Arial" w:cs="Arial" w:eastAsia="Arial" w:hAnsi="Arial"/>
          <w:sz w:val="18"/>
          <w:szCs w:val="18"/>
          <w:color w:val="auto"/>
        </w:rPr>
        <w:t>These condensed consolidated financial statements present the financial position, results of comprehensive income, cash flows and statements of stockholders’ equity of the Company. Certain immaterial reclassifications have been made in the condensed consolidated financial statements of prior periods to conform to the current period presentation. These reclassifications had no material impact on previously reported net income, total stockholders’ equity or cash flows. The condensed consolidated financial statements should be read in conjunction with the audited consolidated financial statements included in our Annual Report on Form 10-K for the year ended December 31, 2023 as filed with the Securities and Exchange Commission on February 14, 2024. The interim period financial results for the three- and nine-month periods presented are not necessarily indicative of results to be expected for any other interim period or for the entire year.</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1"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incentives, government price adjustments, fair market values and future cash flows associated with goodwill, indefinite-lived intangibles, definite-lived intangibles, long-lived asset impairment tests, useful lives for depreciation and amortization, warranty liabilities, core deposit liabilities, determination of discount rate and other assumptions for pension and other post-retirement benefit ("OPEB") expense,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Actual results could differ materially from these estimates and from the assumptions used in the preparation of the Company's financial statements. Changes in estimates are recorded in results of operations in the period that the events or circumstances giving rise to such changes occur.</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1" w:lineRule="exact"/>
        <w:rPr>
          <w:sz w:val="20"/>
          <w:szCs w:val="20"/>
          <w:color w:val="auto"/>
        </w:rPr>
      </w:pPr>
    </w:p>
    <w:p>
      <w:pPr>
        <w:ind w:right="140" w:firstLine="494"/>
        <w:spacing w:after="0" w:line="241" w:lineRule="auto"/>
        <w:rPr>
          <w:sz w:val="20"/>
          <w:szCs w:val="20"/>
          <w:color w:val="auto"/>
        </w:rPr>
      </w:pPr>
      <w:r>
        <w:rPr>
          <w:rFonts w:ascii="Arial" w:cs="Arial" w:eastAsia="Arial" w:hAnsi="Arial"/>
          <w:sz w:val="18"/>
          <w:szCs w:val="18"/>
          <w:color w:val="auto"/>
        </w:rPr>
        <w:t>In November 2023, the Financial Accounting Standards Board ("FASB") issued authoritative accounting guidance expanding public entities’ reportable segment disclosures, primarily through enhanced disclosures about significant segment expenses that are regularly reviewed by the Chief Operating Decision Maker and included within each reported measure of segment profit or loss. The guidance will become effective for the Company starting with its fiscal year ending December 31, 2024 and the subsequent interim periods. The guidance will be applied retrospectively, and the Company does not plan to early adopt. Management is currently evaluating the impact of this guidance on the Company's consolidated financial statements.</w:t>
      </w:r>
    </w:p>
    <w:p>
      <w:pPr>
        <w:spacing w:after="0" w:line="74"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In December 2023, the FASB issued authoritative accounting guidance to improve income tax disclosures by requiring disaggregated information about a reporting entity's effective tax rate reconciliation and information on income taxes paid. The guidance will become effective for the Company beginning with its fiscal year ending December 31, 2025. The guidance will be applied prospectively with the option to apply it retrospectively. Management is currently evaluating the impact of this guidance on the Company's consolidated financial statements.</w:t>
      </w:r>
    </w:p>
    <w:p>
      <w:pPr>
        <w:spacing w:after="0" w:line="71" w:lineRule="exact"/>
        <w:rPr>
          <w:sz w:val="20"/>
          <w:szCs w:val="20"/>
          <w:color w:val="auto"/>
        </w:rPr>
      </w:pPr>
    </w:p>
    <w:p>
      <w:pPr>
        <w:ind w:right="120" w:firstLine="494"/>
        <w:spacing w:after="0" w:line="271" w:lineRule="auto"/>
        <w:rPr>
          <w:sz w:val="20"/>
          <w:szCs w:val="20"/>
          <w:color w:val="auto"/>
        </w:rPr>
      </w:pPr>
      <w:r>
        <w:rPr>
          <w:rFonts w:ascii="Arial" w:cs="Arial" w:eastAsia="Arial" w:hAnsi="Arial"/>
          <w:sz w:val="18"/>
          <w:szCs w:val="18"/>
          <w:color w:val="auto"/>
        </w:rPr>
        <w:t>All other recently issued accounting pronouncements were assessed as either not applicable to the Company or were not expected to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REVENUE</w:t>
      </w:r>
    </w:p>
    <w:p>
      <w:pPr>
        <w:spacing w:after="0" w:line="103" w:lineRule="exact"/>
        <w:rPr>
          <w:sz w:val="20"/>
          <w:szCs w:val="20"/>
          <w:color w:val="auto"/>
        </w:rPr>
      </w:pPr>
    </w:p>
    <w:p>
      <w:pPr>
        <w:ind w:right="40" w:firstLine="494"/>
        <w:spacing w:after="0" w:line="241" w:lineRule="auto"/>
        <w:rPr>
          <w:sz w:val="20"/>
          <w:szCs w:val="20"/>
          <w:color w:val="auto"/>
        </w:rPr>
      </w:pPr>
      <w:r>
        <w:rPr>
          <w:rFonts w:ascii="Arial" w:cs="Arial" w:eastAsia="Arial" w:hAnsi="Arial"/>
          <w:sz w:val="18"/>
          <w:szCs w:val="18"/>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74" w:lineRule="exact"/>
        <w:rPr>
          <w:sz w:val="20"/>
          <w:szCs w:val="20"/>
          <w:color w:val="auto"/>
        </w:rPr>
      </w:pPr>
    </w:p>
    <w:p>
      <w:pPr>
        <w:ind w:right="200" w:firstLine="494"/>
        <w:spacing w:after="0" w:line="252" w:lineRule="auto"/>
        <w:rPr>
          <w:sz w:val="20"/>
          <w:szCs w:val="20"/>
          <w:color w:val="auto"/>
        </w:rPr>
      </w:pPr>
      <w:r>
        <w:rPr>
          <w:rFonts w:ascii="Arial" w:cs="Arial" w:eastAsia="Arial" w:hAnsi="Arial"/>
          <w:sz w:val="18"/>
          <w:szCs w:val="18"/>
          <w:color w:val="auto"/>
        </w:rPr>
        <w:t>Some of the Company's contracts include multiple performance obligations, most commonly the sale of both a transmission and extended transmission coverage ("ETC"). The Company allocates the contract’s transaction price to each performance obligation based on the standalone selling price of each distinct good or service in the contract.</w:t>
      </w:r>
    </w:p>
    <w:p>
      <w:pPr>
        <w:spacing w:after="0" w:line="63" w:lineRule="exact"/>
        <w:rPr>
          <w:sz w:val="20"/>
          <w:szCs w:val="20"/>
          <w:color w:val="auto"/>
        </w:rPr>
      </w:pPr>
    </w:p>
    <w:p>
      <w:pPr>
        <w:ind w:right="360" w:firstLine="494"/>
        <w:spacing w:after="0" w:line="243" w:lineRule="auto"/>
        <w:rPr>
          <w:sz w:val="20"/>
          <w:szCs w:val="20"/>
          <w:color w:val="auto"/>
        </w:rPr>
      </w:pPr>
      <w:r>
        <w:rPr>
          <w:rFonts w:ascii="Arial" w:cs="Arial" w:eastAsia="Arial" w:hAnsi="Arial"/>
          <w:sz w:val="18"/>
          <w:szCs w:val="18"/>
          <w:color w:val="auto"/>
        </w:rPr>
        <w:t>The Company may also use volume-based discounts and rebates as marketing incentives in the sales of both vehicle propulsion solutions and service parts, which are accounted for as variable consideration. The Company records the impact of the incentives as a reduction to revenue when it is determined that the adjustment is not likely to reverse. The Company estimates the impact of all other incentives based on the related sales and market conditions in the end market vocation. The Company recorded no material adjustments based on variable consideration during any of the three or nine months ended September 30, 2024 or 2023.</w:t>
      </w:r>
    </w:p>
    <w:p>
      <w:pPr>
        <w:spacing w:after="0" w:line="71" w:lineRule="exact"/>
        <w:rPr>
          <w:sz w:val="20"/>
          <w:szCs w:val="20"/>
          <w:color w:val="auto"/>
        </w:rPr>
      </w:pPr>
    </w:p>
    <w:p>
      <w:pPr>
        <w:ind w:right="60" w:firstLine="494"/>
        <w:spacing w:after="0" w:line="241" w:lineRule="auto"/>
        <w:rPr>
          <w:sz w:val="20"/>
          <w:szCs w:val="20"/>
          <w:color w:val="auto"/>
        </w:rPr>
      </w:pPr>
      <w:r>
        <w:rPr>
          <w:rFonts w:ascii="Arial" w:cs="Arial" w:eastAsia="Arial" w:hAnsi="Arial"/>
          <w:sz w:val="18"/>
          <w:szCs w:val="18"/>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September 30, 2024 and December 31, 2023. See "Note J. Deferred Revenue” for more information, including the amount of revenue earned during each of the three and nine months ended September 30, 2024 and 2023 that had been previously deferred. The Company had no material contract assets as of either September 30, 2024 or December 31, 2023.</w:t>
      </w:r>
    </w:p>
    <w:p>
      <w:pPr>
        <w:spacing w:after="0" w:line="74" w:lineRule="exact"/>
        <w:rPr>
          <w:sz w:val="20"/>
          <w:szCs w:val="20"/>
          <w:color w:val="auto"/>
        </w:rPr>
      </w:pPr>
    </w:p>
    <w:p>
      <w:pPr>
        <w:ind w:right="340" w:firstLine="494"/>
        <w:spacing w:after="0" w:line="252" w:lineRule="auto"/>
        <w:rPr>
          <w:sz w:val="20"/>
          <w:szCs w:val="20"/>
          <w:color w:val="auto"/>
        </w:rPr>
      </w:pPr>
      <w:r>
        <w:rPr>
          <w:rFonts w:ascii="Arial" w:cs="Arial" w:eastAsia="Arial" w:hAnsi="Arial"/>
          <w:sz w:val="18"/>
          <w:szCs w:val="18"/>
          <w:color w:val="auto"/>
        </w:rPr>
        <w:t>The Company has one operating segment and reportable segment. The Company is in one line of business, which is the design, manufacture and distribution of vehicle propulsion solutions. The following presents disaggregated revenue by categories that best depict how the nature, amount, timing and uncertainty of revenue and cash flows are affected by economic factors (dollars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8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45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September 30,</w:t>
            </w:r>
          </w:p>
        </w:tc>
      </w:tr>
      <w:tr>
        <w:trPr>
          <w:trHeight w:val="182"/>
        </w:trPr>
        <w:tc>
          <w:tcPr>
            <w:tcW w:w="4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r>
      <w:tr>
        <w:trPr>
          <w:trHeight w:val="22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 America On-Highway</w:t>
            </w:r>
          </w:p>
        </w:tc>
        <w:tc>
          <w:tcPr>
            <w:tcW w:w="2260" w:type="dxa"/>
            <w:vAlign w:val="bottom"/>
            <w:gridSpan w:val="2"/>
            <w:shd w:val="clear" w:color="auto" w:fill="CFF0FC"/>
          </w:tcPr>
          <w:p>
            <w:pPr>
              <w:jc w:val="right"/>
              <w:ind w:right="528"/>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457</w:t>
            </w:r>
          </w:p>
        </w:tc>
        <w:tc>
          <w:tcPr>
            <w:tcW w:w="88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376</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1,333</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1,149</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North America Off-Highway</w:t>
            </w:r>
          </w:p>
        </w:tc>
        <w:tc>
          <w:tcPr>
            <w:tcW w:w="1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58</w:t>
            </w:r>
          </w:p>
        </w:tc>
      </w:tr>
      <w:tr>
        <w:trPr>
          <w:trHeight w:val="22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Defense</w:t>
            </w:r>
          </w:p>
        </w:tc>
        <w:tc>
          <w:tcPr>
            <w:tcW w:w="15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53</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144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103</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Outside North America On-Highway</w:t>
            </w:r>
          </w:p>
        </w:tc>
        <w:tc>
          <w:tcPr>
            <w:tcW w:w="1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b w:val="1"/>
                <w:bCs w:val="1"/>
                <w:color w:val="auto"/>
              </w:rPr>
              <w:t>126</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b w:val="1"/>
                <w:bCs w:val="1"/>
                <w:color w:val="auto"/>
              </w:rPr>
              <w:t>369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349</w:t>
            </w:r>
          </w:p>
        </w:tc>
      </w:tr>
      <w:tr>
        <w:trPr>
          <w:trHeight w:val="22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Outside North America Off-Highway</w:t>
            </w:r>
          </w:p>
        </w:tc>
        <w:tc>
          <w:tcPr>
            <w:tcW w:w="15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19</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83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66</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Service Parts, Support Equipment and Other</w:t>
            </w:r>
          </w:p>
        </w:tc>
        <w:tc>
          <w:tcPr>
            <w:tcW w:w="15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168</w:t>
            </w:r>
          </w:p>
        </w:tc>
        <w:tc>
          <w:tcPr>
            <w:tcW w:w="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171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494</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535</w:t>
            </w:r>
          </w:p>
        </w:tc>
      </w:tr>
      <w:tr>
        <w:trPr>
          <w:trHeight w:val="26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Net Sales</w:t>
            </w:r>
          </w:p>
        </w:tc>
        <w:tc>
          <w:tcPr>
            <w:tcW w:w="2260" w:type="dxa"/>
            <w:vAlign w:val="bottom"/>
            <w:gridSpan w:val="2"/>
            <w:shd w:val="clear" w:color="auto" w:fill="CFF0FC"/>
          </w:tcPr>
          <w:p>
            <w:pPr>
              <w:jc w:val="right"/>
              <w:ind w:right="528"/>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824</w:t>
            </w:r>
          </w:p>
        </w:tc>
        <w:tc>
          <w:tcPr>
            <w:tcW w:w="88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736</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2,429</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2,260</w:t>
            </w:r>
          </w:p>
        </w:tc>
      </w:tr>
      <w:tr>
        <w:trPr>
          <w:trHeight w:val="578"/>
        </w:trPr>
        <w:tc>
          <w:tcPr>
            <w:tcW w:w="4560" w:type="dxa"/>
            <w:vAlign w:val="bottom"/>
            <w:tcBorders>
              <w:top w:val="single" w:sz="8" w:color="CFF0FC"/>
            </w:tcBorders>
          </w:tcPr>
          <w:p>
            <w:pPr>
              <w:spacing w:after="0"/>
              <w:rPr>
                <w:sz w:val="24"/>
                <w:szCs w:val="24"/>
                <w:color w:val="auto"/>
              </w:rPr>
            </w:pPr>
          </w:p>
        </w:tc>
        <w:tc>
          <w:tcPr>
            <w:tcW w:w="1560" w:type="dxa"/>
            <w:vAlign w:val="bottom"/>
            <w:tcBorders>
              <w:top w:val="single" w:sz="8" w:color="CFF0FC"/>
            </w:tcBorders>
          </w:tcPr>
          <w:p>
            <w:pPr>
              <w:jc w:val="right"/>
              <w:ind w:right="310"/>
              <w:spacing w:after="0"/>
              <w:rPr>
                <w:sz w:val="20"/>
                <w:szCs w:val="20"/>
                <w:color w:val="auto"/>
              </w:rPr>
            </w:pPr>
            <w:r>
              <w:rPr>
                <w:rFonts w:ascii="Arial" w:cs="Arial" w:eastAsia="Arial" w:hAnsi="Arial"/>
                <w:sz w:val="18"/>
                <w:szCs w:val="18"/>
                <w:color w:val="auto"/>
              </w:rPr>
              <w:t>10</w:t>
            </w:r>
          </w:p>
        </w:tc>
        <w:tc>
          <w:tcPr>
            <w:tcW w:w="7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745"/>
        </w:trPr>
        <w:tc>
          <w:tcPr>
            <w:tcW w:w="45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-889635</wp:posOffset>
            </wp:positionV>
            <wp:extent cx="939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-872490</wp:posOffset>
            </wp:positionV>
            <wp:extent cx="939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-889635</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-872490</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-889635</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-872490</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INVENTORIES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315"/>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35"/>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Purchased parts and raw materials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153</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152</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20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b w:val="1"/>
                <w:bCs w:val="1"/>
                <w:color w:val="auto"/>
              </w:rPr>
              <w:t>20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17</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94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53</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Service parts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59</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54</w:t>
            </w:r>
          </w:p>
        </w:tc>
      </w:tr>
      <w:tr>
        <w:trPr>
          <w:trHeight w:val="263"/>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inventories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326</w:t>
            </w:r>
          </w:p>
        </w:tc>
        <w:tc>
          <w:tcPr>
            <w:tcW w:w="1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3" w:lineRule="exact"/>
        <w:rPr>
          <w:sz w:val="20"/>
          <w:szCs w:val="20"/>
          <w:color w:val="auto"/>
        </w:rPr>
      </w:pPr>
    </w:p>
    <w:p>
      <w:pPr>
        <w:ind w:right="220" w:firstLine="494"/>
        <w:spacing w:after="0" w:line="252"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L. Other Current Liabilities” for more information.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GOODWILL AND OTHER INTANGIBLE ASSETS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both September 30, 2024 and December 31, 2023, the carrying value of the Company’s Goodwill was $2,076 million.</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September 30, 2024</w:t>
            </w: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2023</w:t>
            </w: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60"/>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Intangible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220"/>
              <w:spacing w:after="0" w:line="159" w:lineRule="exact"/>
              <w:rPr>
                <w:sz w:val="20"/>
                <w:szCs w:val="20"/>
                <w:color w:val="auto"/>
              </w:rPr>
            </w:pPr>
            <w:r>
              <w:rPr>
                <w:rFonts w:ascii="Arial" w:cs="Arial" w:eastAsia="Arial" w:hAnsi="Arial"/>
                <w:sz w:val="14"/>
                <w:szCs w:val="14"/>
                <w:b w:val="1"/>
                <w:bCs w:val="1"/>
                <w:color w:val="auto"/>
              </w:rPr>
              <w:t>Accumulate</w:t>
            </w: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rPr>
              <w:t>Intangible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center"/>
              <w:ind w:right="200"/>
              <w:spacing w:after="0" w:line="159" w:lineRule="exact"/>
              <w:rPr>
                <w:sz w:val="20"/>
                <w:szCs w:val="20"/>
                <w:color w:val="auto"/>
              </w:rPr>
            </w:pPr>
            <w:r>
              <w:rPr>
                <w:rFonts w:ascii="Arial" w:cs="Arial" w:eastAsia="Arial" w:hAnsi="Arial"/>
                <w:sz w:val="14"/>
                <w:szCs w:val="14"/>
                <w:b w:val="1"/>
                <w:bCs w:val="1"/>
                <w:color w:val="auto"/>
              </w:rPr>
              <w:t>Accumulate</w:t>
            </w: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2"/>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56"/>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d</w:t>
            </w:r>
          </w:p>
        </w:tc>
        <w:tc>
          <w:tcPr>
            <w:tcW w:w="10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Intangible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94"/>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w:t>
            </w:r>
          </w:p>
        </w:tc>
        <w:tc>
          <w:tcPr>
            <w:tcW w:w="10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Intangible</w:t>
            </w:r>
          </w:p>
        </w:tc>
      </w:tr>
      <w:tr>
        <w:trPr>
          <w:trHeight w:val="185"/>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16"/>
              <w:spacing w:after="0"/>
              <w:rPr>
                <w:sz w:val="20"/>
                <w:szCs w:val="20"/>
                <w:color w:val="auto"/>
              </w:rPr>
            </w:pPr>
            <w:r>
              <w:rPr>
                <w:rFonts w:ascii="Arial" w:cs="Arial" w:eastAsia="Arial" w:hAnsi="Arial"/>
                <w:sz w:val="14"/>
                <w:szCs w:val="14"/>
                <w:b w:val="1"/>
                <w:bCs w:val="1"/>
                <w:color w:val="auto"/>
                <w:w w:val="99"/>
              </w:rPr>
              <w:t>gross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assets, net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54"/>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0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assets, net</w:t>
            </w:r>
          </w:p>
        </w:tc>
      </w:tr>
      <w:tr>
        <w:trPr>
          <w:trHeight w:val="223"/>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intangible assets:</w:t>
            </w: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791</w:t>
            </w:r>
          </w:p>
        </w:tc>
        <w:tc>
          <w:tcPr>
            <w:tcW w:w="500" w:type="dxa"/>
            <w:vAlign w:val="bottom"/>
            <w:gridSpan w:val="3"/>
          </w:tcPr>
          <w:p>
            <w:pPr>
              <w:ind w:left="2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159"/>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791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791</w:t>
            </w:r>
          </w:p>
        </w:tc>
        <w:tc>
          <w:tcPr>
            <w:tcW w:w="46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791</w:t>
            </w:r>
          </w:p>
        </w:tc>
      </w:tr>
      <w:tr>
        <w:trPr>
          <w:trHeight w:val="22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Customer relationships — commercial</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839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(837 )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2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Proprietary technology</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(481 )</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(479 )</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Customer relationships — defense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29"/>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Non-compete agreement</w:t>
            </w: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Pr>
          <w:p>
            <w:pPr>
              <w:ind w:left="2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2,202</w:t>
            </w:r>
          </w:p>
        </w:tc>
        <w:tc>
          <w:tcPr>
            <w:tcW w:w="500" w:type="dxa"/>
            <w:vAlign w:val="bottom"/>
            <w:gridSpan w:val="3"/>
          </w:tcPr>
          <w:p>
            <w:pPr>
              <w:ind w:left="26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(1,377 )</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825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2,202</w:t>
            </w:r>
          </w:p>
        </w:tc>
        <w:tc>
          <w:tcPr>
            <w:tcW w:w="46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(1,369 )</w:t>
            </w:r>
          </w:p>
        </w:tc>
        <w:tc>
          <w:tcPr>
            <w:tcW w:w="10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833</w:t>
            </w:r>
          </w:p>
        </w:tc>
      </w:tr>
      <w:tr>
        <w:trPr>
          <w:trHeight w:val="20"/>
        </w:trPr>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-179070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-179070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-179070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-179070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-179070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jc w:val="both"/>
        <w:ind w:right="20" w:firstLine="494"/>
        <w:spacing w:after="0" w:line="301" w:lineRule="auto"/>
        <w:rPr>
          <w:sz w:val="20"/>
          <w:szCs w:val="20"/>
          <w:color w:val="auto"/>
        </w:rPr>
      </w:pPr>
      <w:r>
        <w:rPr>
          <w:rFonts w:ascii="Arial" w:cs="Arial" w:eastAsia="Arial" w:hAnsi="Arial"/>
          <w:sz w:val="17"/>
          <w:szCs w:val="17"/>
          <w:color w:val="auto"/>
        </w:rPr>
        <w:t>In the second quarter of 2024, the Company reclassified $23 million of in-process research and development ("IPR&amp;D") to Proprietary technology. The IPR&amp;D was reclassified upon the completion of the Company's project to develop commercially viable eGen Power products.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related to other intangible assets for the next five fiscal years is expected to be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7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2028</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2029</w:t>
            </w:r>
          </w:p>
        </w:tc>
      </w:tr>
      <w:tr>
        <w:trPr>
          <w:trHeight w:val="26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expense</w:t>
            </w:r>
          </w:p>
        </w:tc>
        <w:tc>
          <w:tcPr>
            <w:tcW w:w="780" w:type="dxa"/>
            <w:vAlign w:val="bottom"/>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92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w:t>
            </w:r>
          </w:p>
        </w:tc>
      </w:tr>
      <w:tr>
        <w:trPr>
          <w:trHeight w:val="578"/>
        </w:trPr>
        <w:tc>
          <w:tcPr>
            <w:tcW w:w="518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11</w:t>
            </w: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745"/>
        </w:trPr>
        <w:tc>
          <w:tcPr>
            <w:tcW w:w="5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-889635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-872490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-889635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-872490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-889635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-872490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-889635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-872490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FAIR VALUE OF FINANCIAL INSTRUMENTS</w:t>
      </w:r>
    </w:p>
    <w:p>
      <w:pPr>
        <w:spacing w:after="0" w:line="157"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w:t>
      </w:r>
    </w:p>
    <w:p>
      <w:pPr>
        <w:spacing w:after="0" w:line="103" w:lineRule="exact"/>
        <w:rPr>
          <w:sz w:val="20"/>
          <w:szCs w:val="20"/>
          <w:color w:val="auto"/>
        </w:rPr>
      </w:pPr>
    </w:p>
    <w:p>
      <w:pPr>
        <w:ind w:firstLine="494"/>
        <w:spacing w:after="0" w:line="246" w:lineRule="auto"/>
        <w:rPr>
          <w:sz w:val="20"/>
          <w:szCs w:val="20"/>
          <w:color w:val="auto"/>
        </w:rPr>
      </w:pPr>
      <w:r>
        <w:rPr>
          <w:rFonts w:ascii="Arial" w:cs="Arial" w:eastAsia="Arial" w:hAnsi="Arial"/>
          <w:sz w:val="18"/>
          <w:szCs w:val="18"/>
          <w:color w:val="auto"/>
        </w:rPr>
        <w:t>Level 2 — Inputs are other than quoted prices in active markets included in Level 1, which are either directly or indirectly observable as of the reporting date. Level 2 includes financial instruments that are valued using quoted prices in markets that are not active and those financial instruments that are valued using models or other valuation methodologies in which all significant value-drivers are observable in active markets or are supported by observable levels at which transactions are executed in the marketplace.</w:t>
      </w:r>
    </w:p>
    <w:p>
      <w:pPr>
        <w:spacing w:after="0" w:line="68" w:lineRule="exact"/>
        <w:rPr>
          <w:sz w:val="20"/>
          <w:szCs w:val="20"/>
          <w:color w:val="auto"/>
        </w:rPr>
      </w:pPr>
    </w:p>
    <w:p>
      <w:pPr>
        <w:ind w:right="140" w:firstLine="494"/>
        <w:spacing w:after="0" w:line="243" w:lineRule="auto"/>
        <w:rPr>
          <w:sz w:val="20"/>
          <w:szCs w:val="20"/>
          <w:color w:val="auto"/>
        </w:rPr>
      </w:pPr>
      <w:r>
        <w:rPr>
          <w:rFonts w:ascii="Arial" w:cs="Arial" w:eastAsia="Arial" w:hAnsi="Arial"/>
          <w:sz w:val="18"/>
          <w:szCs w:val="18"/>
          <w:color w:val="auto"/>
        </w:rPr>
        <w:t>Level 3 — Certain inputs are unobservable or have little or no market data available.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September 30, 2024 and December 31, 2023, the Company did not have any Level 3 financial assets or liabilities.</w:t>
      </w:r>
    </w:p>
    <w:p>
      <w:pPr>
        <w:spacing w:after="0" w:line="125" w:lineRule="exact"/>
        <w:rPr>
          <w:sz w:val="20"/>
          <w:szCs w:val="20"/>
          <w:color w:val="auto"/>
        </w:rPr>
      </w:pPr>
    </w:p>
    <w:p>
      <w:pPr>
        <w:ind w:right="60" w:firstLine="494"/>
        <w:spacing w:after="0" w:line="241" w:lineRule="auto"/>
        <w:rPr>
          <w:sz w:val="20"/>
          <w:szCs w:val="20"/>
          <w:color w:val="auto"/>
        </w:rPr>
      </w:pPr>
      <w:r>
        <w:rPr>
          <w:rFonts w:ascii="Arial" w:cs="Arial" w:eastAsia="Arial" w:hAnsi="Arial"/>
          <w:sz w:val="18"/>
          <w:szCs w:val="18"/>
          <w:color w:val="auto"/>
        </w:rPr>
        <w:t>The Company’s assets and liabilities that are measured at fair value include cash equivalents, marketable securities, derivative instruments, assets held in a rabbi trust and a deferred compensation obligation. The Company’s cash equivalents consist of short-term U.S. government backed securities and time deposits. The Company's marketable securities consist of publicly traded stock of Jing-Jin Electric Technologies Co. Ltd., which has a readily determinable fair value.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74" w:lineRule="exact"/>
        <w:rPr>
          <w:sz w:val="20"/>
          <w:szCs w:val="20"/>
          <w:color w:val="auto"/>
        </w:rPr>
      </w:pPr>
    </w:p>
    <w:p>
      <w:pPr>
        <w:ind w:right="120" w:firstLine="494"/>
        <w:spacing w:after="0" w:line="252" w:lineRule="auto"/>
        <w:rPr>
          <w:sz w:val="20"/>
          <w:szCs w:val="20"/>
          <w:color w:val="auto"/>
        </w:rPr>
      </w:pPr>
      <w:r>
        <w:rPr>
          <w:rFonts w:ascii="Arial" w:cs="Arial" w:eastAsia="Arial" w:hAnsi="Arial"/>
          <w:sz w:val="18"/>
          <w:szCs w:val="18"/>
          <w:color w:val="auto"/>
        </w:rPr>
        <w:t>The Company’s valuation techniques used to calculate the fair value of cash equivalents, marketable securities, assets held in the rabbi trust and the deferred compensation obligation represent a market approach in active markets for identical assets that qualify as Level 1 in the fair value hierarchy.</w:t>
      </w:r>
    </w:p>
    <w:p>
      <w:pPr>
        <w:spacing w:after="0" w:line="63" w:lineRule="exact"/>
        <w:rPr>
          <w:sz w:val="20"/>
          <w:szCs w:val="20"/>
          <w:color w:val="auto"/>
        </w:rPr>
      </w:pPr>
    </w:p>
    <w:p>
      <w:pPr>
        <w:ind w:right="40" w:firstLine="494"/>
        <w:spacing w:after="0" w:line="243" w:lineRule="auto"/>
        <w:rPr>
          <w:sz w:val="20"/>
          <w:szCs w:val="20"/>
          <w:color w:val="auto"/>
        </w:rPr>
      </w:pPr>
      <w:r>
        <w:rPr>
          <w:rFonts w:ascii="Arial" w:cs="Arial" w:eastAsia="Arial" w:hAnsi="Arial"/>
          <w:sz w:val="18"/>
          <w:szCs w:val="18"/>
          <w:color w:val="auto"/>
        </w:rPr>
        <w:t>The Company’s valuation techniques used to calculate the fair value of derivative instruments represent a market approach with observable inputs that qualify as Level 2 in the fair value hierarchy. The Company uses valuations from the issuing financial institutions for the fair value measurement of interest rate swaps. The floating-to-fixed interest rate swaps are based on the Secured Overnight Financing Rate ("SOFR"), which is observable at commonly quoted intervals. The fair values are included in other current and non-current assets in the Condensed Consolidated Balance Sheets. See "Note H. Derivatives” for more information regarding the Company's interest rate swaps.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fair value of the Company’s financial assets and (liabilities) as of September 30, 2024 and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0"/>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3"/>
          </w:tcPr>
          <w:p>
            <w:pPr>
              <w:jc w:val="center"/>
              <w:ind w:left="178"/>
              <w:spacing w:after="0" w:line="159" w:lineRule="exact"/>
              <w:rPr>
                <w:sz w:val="20"/>
                <w:szCs w:val="20"/>
                <w:color w:val="auto"/>
              </w:rPr>
            </w:pPr>
            <w:r>
              <w:rPr>
                <w:rFonts w:ascii="Arial" w:cs="Arial" w:eastAsia="Arial" w:hAnsi="Arial"/>
                <w:sz w:val="14"/>
                <w:szCs w:val="14"/>
                <w:b w:val="1"/>
                <w:bCs w:val="1"/>
                <w:color w:val="auto"/>
              </w:rPr>
              <w:t>Quoted Prices in Active</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3"/>
          </w:tcPr>
          <w:p>
            <w:pPr>
              <w:jc w:val="center"/>
              <w:ind w:left="59"/>
              <w:spacing w:after="0" w:line="159" w:lineRule="exact"/>
              <w:rPr>
                <w:sz w:val="20"/>
                <w:szCs w:val="20"/>
                <w:color w:val="auto"/>
              </w:rPr>
            </w:pPr>
            <w:r>
              <w:rPr>
                <w:rFonts w:ascii="Arial" w:cs="Arial" w:eastAsia="Arial" w:hAnsi="Arial"/>
                <w:sz w:val="14"/>
                <w:szCs w:val="14"/>
                <w:b w:val="1"/>
                <w:bCs w:val="1"/>
                <w:color w:val="auto"/>
              </w:rPr>
              <w:t>Significant Other</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3"/>
          </w:tcPr>
          <w:p>
            <w:pPr>
              <w:jc w:val="center"/>
              <w:ind w:left="178"/>
              <w:spacing w:after="0"/>
              <w:rPr>
                <w:sz w:val="20"/>
                <w:szCs w:val="20"/>
                <w:color w:val="auto"/>
              </w:rPr>
            </w:pPr>
            <w:r>
              <w:rPr>
                <w:rFonts w:ascii="Arial" w:cs="Arial" w:eastAsia="Arial" w:hAnsi="Arial"/>
                <w:sz w:val="14"/>
                <w:szCs w:val="14"/>
                <w:b w:val="1"/>
                <w:bCs w:val="1"/>
                <w:color w:val="auto"/>
              </w:rPr>
              <w:t>Markets for Identical</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3"/>
          </w:tcPr>
          <w:p>
            <w:pPr>
              <w:jc w:val="center"/>
              <w:ind w:left="39"/>
              <w:spacing w:after="0"/>
              <w:rPr>
                <w:sz w:val="20"/>
                <w:szCs w:val="20"/>
                <w:color w:val="auto"/>
              </w:rPr>
            </w:pPr>
            <w:r>
              <w:rPr>
                <w:rFonts w:ascii="Arial" w:cs="Arial" w:eastAsia="Arial" w:hAnsi="Arial"/>
                <w:sz w:val="14"/>
                <w:szCs w:val="14"/>
                <w:b w:val="1"/>
                <w:bCs w:val="1"/>
                <w:color w:val="auto"/>
              </w:rPr>
              <w:t>Observable Inputs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5"/>
        </w:trPr>
        <w:tc>
          <w:tcPr>
            <w:tcW w:w="2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ind w:left="178"/>
              <w:spacing w:after="0"/>
              <w:rPr>
                <w:sz w:val="20"/>
                <w:szCs w:val="20"/>
                <w:color w:val="auto"/>
              </w:rPr>
            </w:pPr>
            <w:r>
              <w:rPr>
                <w:rFonts w:ascii="Arial" w:cs="Arial" w:eastAsia="Arial" w:hAnsi="Arial"/>
                <w:sz w:val="14"/>
                <w:szCs w:val="14"/>
                <w:b w:val="1"/>
                <w:bCs w:val="1"/>
                <w:color w:val="auto"/>
              </w:rPr>
              <w:t>Assets (Level 1)</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center"/>
              <w:ind w:left="39"/>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tcPr>
          <w:p>
            <w:pPr>
              <w:spacing w:after="0"/>
              <w:rPr>
                <w:sz w:val="16"/>
                <w:szCs w:val="16"/>
                <w:color w:val="auto"/>
              </w:rPr>
            </w:pPr>
          </w:p>
        </w:tc>
      </w:tr>
      <w:tr>
        <w:trPr>
          <w:trHeight w:val="160"/>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158"/>
              <w:spacing w:after="0" w:line="15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280" w:type="dxa"/>
            <w:vAlign w:val="bottom"/>
            <w:gridSpan w:val="2"/>
          </w:tcPr>
          <w:p>
            <w:pPr>
              <w:jc w:val="right"/>
              <w:ind w:right="150"/>
              <w:spacing w:after="0" w:line="15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139"/>
              <w:spacing w:after="0" w:line="15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220" w:type="dxa"/>
            <w:vAlign w:val="bottom"/>
            <w:gridSpan w:val="2"/>
          </w:tcPr>
          <w:p>
            <w:pPr>
              <w:jc w:val="right"/>
              <w:ind w:right="110"/>
              <w:spacing w:after="0" w:line="15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280" w:type="dxa"/>
            <w:vAlign w:val="bottom"/>
            <w:gridSpan w:val="2"/>
          </w:tcPr>
          <w:p>
            <w:pPr>
              <w:jc w:val="right"/>
              <w:ind w:right="115"/>
              <w:spacing w:after="0" w:line="15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220" w:type="dxa"/>
            <w:vAlign w:val="bottom"/>
            <w:gridSpan w:val="2"/>
          </w:tcPr>
          <w:p>
            <w:pPr>
              <w:jc w:val="right"/>
              <w:ind w:right="113"/>
              <w:spacing w:after="0" w:line="159"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2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r>
      <w:tr>
        <w:trPr>
          <w:trHeight w:val="223"/>
        </w:trPr>
        <w:tc>
          <w:tcPr>
            <w:tcW w:w="2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FF0FC"/>
          </w:tcPr>
          <w:p>
            <w:pPr>
              <w:jc w:val="right"/>
              <w:ind w:right="58"/>
              <w:spacing w:after="0"/>
              <w:rPr>
                <w:sz w:val="20"/>
                <w:szCs w:val="20"/>
                <w:color w:val="auto"/>
              </w:rPr>
            </w:pPr>
            <w:r>
              <w:rPr>
                <w:rFonts w:ascii="Arial" w:cs="Arial" w:eastAsia="Arial" w:hAnsi="Arial"/>
                <w:sz w:val="18"/>
                <w:szCs w:val="18"/>
                <w:b w:val="1"/>
                <w:bCs w:val="1"/>
                <w:color w:val="auto"/>
              </w:rPr>
              <w:t>588</w:t>
            </w:r>
          </w:p>
        </w:tc>
        <w:tc>
          <w:tcPr>
            <w:tcW w:w="900" w:type="dxa"/>
            <w:vAlign w:val="bottom"/>
            <w:gridSpan w:val="2"/>
            <w:shd w:val="clear" w:color="auto" w:fill="CFF0FC"/>
          </w:tcPr>
          <w:p>
            <w:pPr>
              <w:jc w:val="right"/>
              <w:ind w:right="58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588</w:t>
            </w:r>
          </w:p>
        </w:tc>
        <w:tc>
          <w:tcPr>
            <w:tcW w:w="3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421</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9"/>
                <w:szCs w:val="19"/>
                <w:color w:val="auto"/>
              </w:rPr>
            </w:pPr>
          </w:p>
        </w:tc>
        <w:tc>
          <w:tcPr>
            <w:tcW w:w="1220" w:type="dxa"/>
            <w:vAlign w:val="bottom"/>
          </w:tcPr>
          <w:p>
            <w:pPr>
              <w:jc w:val="right"/>
              <w:ind w:right="58"/>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w:t>
            </w:r>
          </w:p>
        </w:tc>
      </w:tr>
      <w:tr>
        <w:trPr>
          <w:trHeight w:val="229"/>
        </w:trPr>
        <w:tc>
          <w:tcPr>
            <w:tcW w:w="2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Rabbi trust assets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8"/>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Deferred compensation obligation</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(21 )</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2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Derivative assets</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12</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w:t>
            </w:r>
          </w:p>
        </w:tc>
      </w:tr>
      <w:tr>
        <w:trPr>
          <w:trHeight w:val="223"/>
        </w:trPr>
        <w:tc>
          <w:tcPr>
            <w:tcW w:w="2980" w:type="dxa"/>
            <w:vAlign w:val="bottom"/>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58"/>
              <w:spacing w:after="0"/>
              <w:rPr>
                <w:sz w:val="20"/>
                <w:szCs w:val="20"/>
                <w:color w:val="auto"/>
              </w:rPr>
            </w:pPr>
            <w:r>
              <w:rPr>
                <w:rFonts w:ascii="Arial" w:cs="Arial" w:eastAsia="Arial" w:hAnsi="Arial"/>
                <w:sz w:val="18"/>
                <w:szCs w:val="18"/>
                <w:b w:val="1"/>
                <w:bCs w:val="1"/>
                <w:color w:val="auto"/>
              </w:rPr>
              <w:t>601</w:t>
            </w:r>
          </w:p>
        </w:tc>
        <w:tc>
          <w:tcPr>
            <w:tcW w:w="90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441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9"/>
              <w:spacing w:after="0"/>
              <w:rPr>
                <w:sz w:val="20"/>
                <w:szCs w:val="20"/>
                <w:color w:val="auto"/>
              </w:rPr>
            </w:pPr>
            <w:r>
              <w:rPr>
                <w:rFonts w:ascii="Arial" w:cs="Arial" w:eastAsia="Arial" w:hAnsi="Arial"/>
                <w:sz w:val="18"/>
                <w:szCs w:val="18"/>
                <w:b w:val="1"/>
                <w:bCs w:val="1"/>
                <w:color w:val="auto"/>
              </w:rPr>
              <w:t>6</w:t>
            </w:r>
          </w:p>
        </w:tc>
        <w:tc>
          <w:tcPr>
            <w:tcW w:w="100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12</w:t>
            </w:r>
          </w:p>
        </w:tc>
        <w:tc>
          <w:tcPr>
            <w:tcW w:w="38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b w:val="1"/>
                <w:bCs w:val="1"/>
                <w:color w:val="auto"/>
              </w:rPr>
              <w:t>607</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453</w:t>
            </w:r>
          </w:p>
        </w:tc>
      </w:tr>
      <w:tr>
        <w:trPr>
          <w:trHeight w:val="20"/>
        </w:trPr>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-179070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-179070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-179070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-179070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-179070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The Company holds equity securities in unconsolidated entities without a readily determinable fair value. Each of these investments represents a less than 20% ownership interest in the respective privately-held entity, and the Company does not maintain significant influence over or control of any of the entities. The Company has elected the measurement alternative and measures the investments at cost, less any impairment, plus or minus adjustments related to observable price changes in orderly transactions for identical or similar investments of the same issuer. These equity investments are recorded in Other non-current assets in the Condensed Consolidated Balance Sheets, with changes in the value recorded in Other income (expense), net in the Consolidated Statements of Comprehensive Income. During the three and nine months ended September 30, 2024, no impairment charges or adjustments resulting from observable price changes in orderly transactions for identical or similar investments of the same issuer occurred for any of these investments. As of September 30, 2024 and December 31, 2023, the Company held equity securities without a readily determinable fair value of $7 million and $5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DEBT</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313"/>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3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2023</w:t>
            </w: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Senior Secured Credit Facility Term Loan, variable, due 2026</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618</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fixed 4.75%, due 2027</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400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400</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Senior Notes, fixed 5.875%, due 2029</w:t>
            </w:r>
          </w:p>
        </w:tc>
        <w:tc>
          <w:tcPr>
            <w:tcW w:w="20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b w:val="1"/>
                <w:bCs w:val="1"/>
                <w:color w:val="auto"/>
              </w:rPr>
              <w:t>500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500</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fixed 3.75%, due 2031</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1,000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1,000</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Senior Secured Credit Facility Term Loan, variable, due 2031</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515</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long-term 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2,415</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2,518</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20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b w:val="1"/>
                <w:bCs w:val="1"/>
                <w:color w:val="auto"/>
              </w:rPr>
              <w:t>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6</w:t>
            </w:r>
          </w:p>
        </w:tc>
      </w:tr>
      <w:tr>
        <w:trPr>
          <w:trHeight w:val="229"/>
        </w:trPr>
        <w:tc>
          <w:tcPr>
            <w:tcW w:w="77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deferred financing costs, net</w:t>
            </w: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14</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w:t>
            </w:r>
          </w:p>
        </w:tc>
      </w:tr>
      <w:tr>
        <w:trPr>
          <w:trHeight w:val="223"/>
        </w:trPr>
        <w:tc>
          <w:tcPr>
            <w:tcW w:w="7740" w:type="dxa"/>
            <w:vAlign w:val="bottom"/>
          </w:tcPr>
          <w:p>
            <w:pPr>
              <w:ind w:left="280"/>
              <w:spacing w:after="0"/>
              <w:rPr>
                <w:sz w:val="20"/>
                <w:szCs w:val="20"/>
                <w:color w:val="auto"/>
              </w:rPr>
            </w:pPr>
            <w:r>
              <w:rPr>
                <w:rFonts w:ascii="Arial" w:cs="Arial" w:eastAsia="Arial" w:hAnsi="Arial"/>
                <w:sz w:val="18"/>
                <w:szCs w:val="18"/>
                <w:color w:val="auto"/>
              </w:rPr>
              <w:t>Total long-term debt, net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Pr>
          <w:p>
            <w:pPr>
              <w:jc w:val="right"/>
              <w:ind w:right="33"/>
              <w:spacing w:after="0"/>
              <w:rPr>
                <w:sz w:val="20"/>
                <w:szCs w:val="20"/>
                <w:color w:val="auto"/>
              </w:rPr>
            </w:pPr>
            <w:r>
              <w:rPr>
                <w:rFonts w:ascii="Arial" w:cs="Arial" w:eastAsia="Arial" w:hAnsi="Arial"/>
                <w:sz w:val="18"/>
                <w:szCs w:val="18"/>
                <w:b w:val="1"/>
                <w:bCs w:val="1"/>
                <w:color w:val="auto"/>
              </w:rPr>
              <w:t>2,396</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2,497</w:t>
            </w:r>
          </w:p>
        </w:tc>
      </w:tr>
      <w:tr>
        <w:trPr>
          <w:trHeight w:val="20"/>
        </w:trPr>
        <w:tc>
          <w:tcPr>
            <w:tcW w:w="7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-179070</wp:posOffset>
            </wp:positionV>
            <wp:extent cx="1111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3"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As of September 30, 2024, the Company had $2,415 million of indebtedness associated with Allison Transmission, Inc.’s (“ATI”), the Company’s wholly-owned subsidiary, 4.75% Senior Notes due October 2027 (“4.75% Senior Notes”), ATI’s 5.875% Senior Notes due June 2029 (“5.875% Senior Notes”), ATI’s 3.75% Senior Notes due January 2031 (“3.75% Senior Notes” and, together with the 4.75% Senior Notes and 5.875% Senior Notes, the “Senior Notes”) and the Second Amended and Restated Credit Agreement dated as of March 29, 2019, as amended (the “Credit Agreement”), governing ATI’s term loan facility in the amount of $515 million due March 2031 (“Term Loan”) and ATI’s revolving credit facility with commitments in the amount of $750 million due March 2029 (“Revolving Credit Facility” and, together with the Term Loan, the “Senior Secured Credit Facility”).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160" w:firstLine="494"/>
        <w:spacing w:after="0" w:line="252" w:lineRule="auto"/>
        <w:rPr>
          <w:sz w:val="20"/>
          <w:szCs w:val="20"/>
          <w:color w:val="auto"/>
        </w:rPr>
      </w:pPr>
      <w:r>
        <w:rPr>
          <w:rFonts w:ascii="Arial" w:cs="Arial" w:eastAsia="Arial" w:hAnsi="Arial"/>
          <w:sz w:val="18"/>
          <w:szCs w:val="18"/>
          <w:color w:val="auto"/>
        </w:rPr>
        <w:t>The fair value of the Company’s long-term debt obligations as of September 30, 2024 was $2,330 million. The fair value is based on quoted Level 2 market prices of the Company’s debt as of September 30, 2024. The difference between the fair value and carrying value of the long-term debt is driven primarily by trends in the financial markets.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01"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In March 2024, the Company and ATI entered into Amendment No. 4 ("Amendment") to the Credit Agreement, after giving effect to a $101 million principal prepayment, to remove the 0.10% credit spread adjustment to the SOFR benchmark for all available interest periods and increase the commitments under the existing Revolving Credit Facility by $100 million. The Amendment also extended the maturity date of the existing Term Loan from 2026 to 2031 and extended the existing Revolving Credit Facility termination date from 2025 to 2029. With the exception of the items noted above, the terms of the extended Term Loan and Revolving Credit Facility are materially the same as they were prior to the Amendment. The Amendment was treated as a modification to the Senior Secured Credit Facility under GAAP. The Company recorded $4 million as new deferred financing fees in the Condensed Consolidated Balance Sheet as of September 30, 2024 and expensed $1 million of prior deferred financing fees in the Condensed Consolidated Statement of Comprehensive Income for the nine months ended September 30, 2024.</w:t>
      </w:r>
    </w:p>
    <w:p>
      <w:pPr>
        <w:spacing w:after="0" w:line="73"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The borrowings under the Senior Secured Credit Facility are collateralized by a lien on substantially all assets of the Company, ATI and certain existing and future U.S. subsidiary guarantors, as provided in the Credit Agreement. Interest on the Term Loan, as of September 30, 2024, is either (a) 1.75% over a SOFR rate on deposits in U.S. dollars for one-, three- or six-month periods (or a twelve-month period if, at the time of the borrowing, consented to by all relevant lenders and the administrative agent) ("Term SOFR"), or (b) 0.75% over the greater of the prime lending rate as quoted by the administrative agent, the Term SOFR rate for an interest period of one month plus 1.00% and the federal funds effective rate published by the Federal Reserve Bank of New York plus 0.50%, subject to a 1.00% floor (the "Base Rate"). As of September 30, 2024, the Company elected to pay the lowest all-in rate of Term SOFR plus the applicable margin, or 6.85%, on the Term Loan. The Credit Agreement requires minimum quarterly principal payments on the Term Loan, as well as prepayments from certain net cash proceeds of non-ordinary course asset sales and casualty and condemnation events, the incurrence of certain debt and from a percentage of excess cash flow, if applicable. The minimum required quarterly principal payment on the Term Loan through its maturity date of March 2031 is $1 million. As of September 30, 2024, there had been no payments required for certain net cash proceeds of non-ordinary course asset sales and casualty and condemnation events. The remaining principal balance is due upon maturity.</w:t>
      </w:r>
    </w:p>
    <w:p>
      <w:pPr>
        <w:spacing w:after="0" w:line="72"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The Senior Secured Credit Facility also provides a Revolving Credit Facility, net of an allowance for up to $75 million in outstanding letters of credit commitments. During the nine months ended September 30, 2024, the Company made no withdrawals on the Revolving Credit Facility. As of September 30, 2024, the Company had $745 million available under the Revolving Credit Facility, net of $5 million in letters of credit. Borrowings under the Revolving Credit Facility bear interest at a variable base rate plus an applicable margin based on the Company’s first lien net leverage ratio. When the Company’s first lien net leverage ratio is above 4.00x, interest on the Revolving Credit Facility is (a) 0.75% over the Base Rate or (b) 1.75% over the Term SOFR rate; when the Company’s first lien net leverage ratio is equal to or less than 4.00x and above 3.50x, interest on the Revolving Credit Facility is (i) 0.50% over the Base Rate or (ii) 1.50% over the Term SOFR rate; and when the Company’s first lien net leverage ratio is equal to or below 3.50x, interest on the Revolving Credit Facility is (y) 0.25% over the Base Rate or (z) 1.25% over the Term SOFR rate. As of September 30, 2024, the applicable margin for the Revolving Credit Facility was 1.25%. In addition, there is an annual commitment fee, based on the Company’s first lien net leverage ratio, on the average unused revolving credit borrowings available under the Revolving Credit Facility. As of September 30, 2024, the commitment fee was 0.25%. Borrowings under the Revolving Credit Facility are payable at the option of the Company throughout the term of the Revolving Credit Facility with the balance due in March 2029.</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00" w:firstLine="494"/>
        <w:spacing w:after="0" w:line="241" w:lineRule="auto"/>
        <w:rPr>
          <w:sz w:val="20"/>
          <w:szCs w:val="20"/>
          <w:color w:val="auto"/>
        </w:rPr>
      </w:pPr>
      <w:r>
        <w:rPr>
          <w:rFonts w:ascii="Arial" w:cs="Arial" w:eastAsia="Arial" w:hAnsi="Arial"/>
          <w:sz w:val="18"/>
          <w:szCs w:val="18"/>
          <w:color w:val="auto"/>
        </w:rPr>
        <w:t>The Senior Secured Credit Facility requires the Company to maintain a specified maximum first lien net leverage ratio of 5.50x when revolving loan commitments remain outstanding on the Revolving Credit Facility at the end of a fiscal quarter. As of September 30, 2024, the Company had no amounts outstanding under the Revolving Credit Facility; however, the Company would have been in compliance with the maximum first lien net leverage ratio, achieving a (0.23x) ratio. Additionally, within the terms of the Senior Secured Credit Facility, a first lien net leverage ratio at or below 4.00x results in the elimination of excess cash flow payments on the Senior Secured Credit Facility for the applicable year.</w:t>
      </w:r>
    </w:p>
    <w:p>
      <w:pPr>
        <w:spacing w:after="0" w:line="74" w:lineRule="exact"/>
        <w:rPr>
          <w:sz w:val="20"/>
          <w:szCs w:val="20"/>
          <w:color w:val="auto"/>
        </w:rPr>
      </w:pPr>
    </w:p>
    <w:p>
      <w:pPr>
        <w:ind w:right="180" w:firstLine="494"/>
        <w:spacing w:after="0" w:line="246" w:lineRule="auto"/>
        <w:rPr>
          <w:sz w:val="20"/>
          <w:szCs w:val="20"/>
          <w:color w:val="auto"/>
        </w:rPr>
      </w:pPr>
      <w:r>
        <w:rPr>
          <w:rFonts w:ascii="Arial" w:cs="Arial" w:eastAsia="Arial" w:hAnsi="Arial"/>
          <w:sz w:val="18"/>
          <w:szCs w:val="18"/>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September 30, 2024, the Company was in compliance with all covenants under the Credit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01"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Each series of the Senior Notes is unsecured and is guaranteed by each of ATI’s domestic subsidiaries that is a borrower under or guarantees the Senior Secured Credit Facility and is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any series of the Senior Notes. The indentures governing the Senior Notes contain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September 30, 2024, the Company was in compliance with all covenants under the indentures governing the Senior Notes.</w:t>
      </w:r>
    </w:p>
    <w:p>
      <w:pPr>
        <w:spacing w:after="0" w:line="73" w:lineRule="exact"/>
        <w:rPr>
          <w:sz w:val="20"/>
          <w:szCs w:val="20"/>
          <w:color w:val="auto"/>
        </w:rPr>
      </w:pPr>
    </w:p>
    <w:p>
      <w:pPr>
        <w:ind w:right="80" w:firstLine="494"/>
        <w:spacing w:after="0" w:line="239" w:lineRule="auto"/>
        <w:rPr>
          <w:sz w:val="20"/>
          <w:szCs w:val="20"/>
          <w:color w:val="auto"/>
        </w:rPr>
      </w:pPr>
      <w:r>
        <w:rPr>
          <w:rFonts w:ascii="Arial" w:cs="Arial" w:eastAsia="Arial" w:hAnsi="Arial"/>
          <w:sz w:val="18"/>
          <w:szCs w:val="18"/>
          <w:color w:val="auto"/>
        </w:rPr>
        <w:t>ATI may from time to time seek to retire its Senior Notes through cash purchases, exchanges for equity securities, open market purchases, privately negotiated transactions, contractual redemptions or otherwise. Such repurchases or exchanges, if any, will depend on prevailing market conditions, liquidity requirements, contractual restrictions and other factors and will be in accordance with the respective indenture governing such notes. The amounts involved may be material. Some or all of the 4.75% Senior Notes and the 5.875% Senior Notes may be redeemed at any time at redemption prices specified in the indentures governing such notes. Prior to January 30, 2026, ATI may redeem some or all of the 3.75% Senior Notes by paying a price equal to 100.00% of the principal amount being redeemed, plus an “applicable premium”. At any time on or after January 30, 2026, ATI may redeem some or all of the 3.75% Senior Notes at redemption prices specified in the indenture governing such notes.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DERIVATIVES</w:t>
      </w:r>
    </w:p>
    <w:p>
      <w:pPr>
        <w:spacing w:after="0" w:line="103" w:lineRule="exact"/>
        <w:rPr>
          <w:sz w:val="20"/>
          <w:szCs w:val="20"/>
          <w:color w:val="auto"/>
        </w:rPr>
      </w:pPr>
    </w:p>
    <w:p>
      <w:pPr>
        <w:ind w:right="160" w:firstLine="494"/>
        <w:spacing w:after="0" w:line="243" w:lineRule="auto"/>
        <w:rPr>
          <w:sz w:val="20"/>
          <w:szCs w:val="20"/>
          <w:color w:val="auto"/>
        </w:rPr>
      </w:pPr>
      <w:r>
        <w:rPr>
          <w:rFonts w:ascii="Arial" w:cs="Arial" w:eastAsia="Arial" w:hAnsi="Arial"/>
          <w:sz w:val="18"/>
          <w:szCs w:val="18"/>
          <w:color w:val="auto"/>
        </w:rPr>
        <w:t>The Company is subject to interest rate risk related to the Senior Secured Credit Facility and entered into interest rate swaps to manage a portion of this exposure. The interest rate swaps are designated as cash flow hedges that qualify for hedge accounting under the hypothetical derivative method. During the first quarter of 2024, the Company and ATI entered into the Amendment to the Credit Agreement that changed critical terms of the hedged item. Therefore, the Company performed a quantitative assessment that demonstrated a highly effective hedging relationship that qualifies for hedge accounting under the hypothetical derivative method.</w:t>
      </w:r>
    </w:p>
    <w:p>
      <w:pPr>
        <w:spacing w:after="0" w:line="71" w:lineRule="exact"/>
        <w:rPr>
          <w:sz w:val="20"/>
          <w:szCs w:val="20"/>
          <w:color w:val="auto"/>
        </w:rPr>
      </w:pPr>
    </w:p>
    <w:p>
      <w:pPr>
        <w:ind w:right="100" w:firstLine="544"/>
        <w:spacing w:after="0" w:line="271" w:lineRule="auto"/>
        <w:rPr>
          <w:sz w:val="20"/>
          <w:szCs w:val="20"/>
          <w:color w:val="auto"/>
        </w:rPr>
      </w:pPr>
      <w:r>
        <w:rPr>
          <w:rFonts w:ascii="Arial" w:cs="Arial" w:eastAsia="Arial" w:hAnsi="Arial"/>
          <w:sz w:val="18"/>
          <w:szCs w:val="18"/>
          <w:color w:val="auto"/>
        </w:rPr>
        <w:t>As of September 30, 2024, the Company held interest rate swap contracts that, in the aggregate, effectively hedge $500 million of the variable rate debt associated with the Term Loan at the Term SOFR weighted average fixed rate of 2.81% through September 2025.</w:t>
      </w:r>
    </w:p>
    <w:p>
      <w:pPr>
        <w:spacing w:after="0" w:line="45" w:lineRule="exact"/>
        <w:rPr>
          <w:sz w:val="20"/>
          <w:szCs w:val="20"/>
          <w:color w:val="auto"/>
        </w:rPr>
      </w:pPr>
    </w:p>
    <w:p>
      <w:pPr>
        <w:ind w:right="20" w:firstLine="544"/>
        <w:spacing w:after="0" w:line="252" w:lineRule="auto"/>
        <w:rPr>
          <w:sz w:val="20"/>
          <w:szCs w:val="20"/>
          <w:color w:val="auto"/>
        </w:rPr>
      </w:pPr>
      <w:r>
        <w:rPr>
          <w:rFonts w:ascii="Arial" w:cs="Arial" w:eastAsia="Arial" w:hAnsi="Arial"/>
          <w:sz w:val="18"/>
          <w:szCs w:val="18"/>
          <w:color w:val="auto"/>
        </w:rPr>
        <w:t>Fair value adjustments are recorded as a component of Accumulated other comprehensive loss, net of tax (“AOCL”) in the Condensed Consolidated Balance Sheets. Balances in AOCL are reclassified to earnings when transactions related to the underlying risk are settled. See "Note F. Fair Value of Financial Instruments” for information regarding the fair value of the Company’s interest rate swaps.</w:t>
      </w:r>
    </w:p>
    <w:p>
      <w:pPr>
        <w:spacing w:after="0" w:line="63" w:lineRule="exact"/>
        <w:rPr>
          <w:sz w:val="20"/>
          <w:szCs w:val="20"/>
          <w:color w:val="auto"/>
        </w:rPr>
      </w:pPr>
    </w:p>
    <w:p>
      <w:pPr>
        <w:ind w:right="780" w:firstLine="494"/>
        <w:spacing w:after="0" w:line="271" w:lineRule="auto"/>
        <w:rPr>
          <w:sz w:val="20"/>
          <w:szCs w:val="20"/>
          <w:color w:val="auto"/>
        </w:rPr>
      </w:pPr>
      <w:r>
        <w:rPr>
          <w:rFonts w:ascii="Arial" w:cs="Arial" w:eastAsia="Arial" w:hAnsi="Arial"/>
          <w:sz w:val="18"/>
          <w:szCs w:val="18"/>
          <w:color w:val="auto"/>
        </w:rPr>
        <w:t>The following tabular disclosures further describe the Company’s interest rate derivatives qualifying and designated for hedge accounting and their impact on the financial condition of the Company (dollars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Fair Value</w:t>
            </w:r>
          </w:p>
        </w:tc>
        <w:tc>
          <w:tcPr>
            <w:tcW w:w="1460" w:type="dxa"/>
            <w:vAlign w:val="bottom"/>
            <w:tcBorders>
              <w:bottom w:val="single" w:sz="8" w:color="auto"/>
            </w:tcBorders>
          </w:tcPr>
          <w:p>
            <w:pPr>
              <w:spacing w:after="0"/>
              <w:rPr>
                <w:sz w:val="16"/>
                <w:szCs w:val="16"/>
                <w:color w:val="auto"/>
              </w:rPr>
            </w:pPr>
          </w:p>
        </w:tc>
      </w:tr>
      <w:tr>
        <w:trPr>
          <w:trHeight w:val="160"/>
        </w:trPr>
        <w:tc>
          <w:tcPr>
            <w:tcW w:w="39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357"/>
              <w:spacing w:after="0" w:line="159"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3960" w:type="dxa"/>
            <w:vAlign w:val="bottom"/>
          </w:tcPr>
          <w:p>
            <w:pPr>
              <w:spacing w:after="0"/>
              <w:rPr>
                <w:sz w:val="16"/>
                <w:szCs w:val="16"/>
                <w:color w:val="auto"/>
              </w:rPr>
            </w:pPr>
          </w:p>
        </w:tc>
        <w:tc>
          <w:tcPr>
            <w:tcW w:w="3620" w:type="dxa"/>
            <w:vAlign w:val="bottom"/>
            <w:gridSpan w:val="2"/>
          </w:tcPr>
          <w:p>
            <w:pPr>
              <w:ind w:left="900"/>
              <w:spacing w:after="0"/>
              <w:rPr>
                <w:sz w:val="20"/>
                <w:szCs w:val="20"/>
                <w:color w:val="auto"/>
              </w:rPr>
            </w:pPr>
            <w:r>
              <w:rPr>
                <w:rFonts w:ascii="Arial" w:cs="Arial" w:eastAsia="Arial" w:hAnsi="Arial"/>
                <w:sz w:val="14"/>
                <w:szCs w:val="14"/>
                <w:b w:val="1"/>
                <w:bCs w:val="1"/>
                <w:color w:val="auto"/>
              </w:rPr>
              <w:t>Balance Sheet Location</w:t>
            </w:r>
          </w:p>
        </w:tc>
        <w:tc>
          <w:tcPr>
            <w:tcW w:w="1380" w:type="dxa"/>
            <w:vAlign w:val="bottom"/>
          </w:tcPr>
          <w:p>
            <w:pPr>
              <w:jc w:val="right"/>
              <w:ind w:right="319"/>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677"/>
              <w:spacing w:after="0"/>
              <w:rPr>
                <w:sz w:val="20"/>
                <w:szCs w:val="20"/>
                <w:color w:val="auto"/>
              </w:rPr>
            </w:pPr>
            <w:r>
              <w:rPr>
                <w:rFonts w:ascii="Arial" w:cs="Arial" w:eastAsia="Arial" w:hAnsi="Arial"/>
                <w:sz w:val="14"/>
                <w:szCs w:val="14"/>
                <w:b w:val="1"/>
                <w:bCs w:val="1"/>
                <w:color w:val="auto"/>
              </w:rPr>
              <w:t>2023</w:t>
            </w:r>
          </w:p>
        </w:tc>
      </w:tr>
      <w:tr>
        <w:trPr>
          <w:trHeight w:val="223"/>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Assets:</w:t>
            </w:r>
          </w:p>
        </w:tc>
        <w:tc>
          <w:tcPr>
            <w:tcW w:w="342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r>
      <w:tr>
        <w:trPr>
          <w:trHeight w:val="229"/>
        </w:trPr>
        <w:tc>
          <w:tcPr>
            <w:tcW w:w="396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380" w:type="dxa"/>
            <w:vAlign w:val="bottom"/>
          </w:tcPr>
          <w:p>
            <w:pPr>
              <w:jc w:val="right"/>
              <w:ind w:right="1179"/>
              <w:spacing w:after="0"/>
              <w:rPr>
                <w:sz w:val="20"/>
                <w:szCs w:val="20"/>
                <w:color w:val="auto"/>
              </w:rPr>
            </w:pPr>
            <w:r>
              <w:rPr>
                <w:rFonts w:ascii="Arial" w:cs="Arial" w:eastAsia="Arial" w:hAnsi="Arial"/>
                <w:sz w:val="18"/>
                <w:szCs w:val="18"/>
                <w:b w:val="1"/>
                <w:bCs w:val="1"/>
                <w:color w:val="auto"/>
                <w:w w:val="99"/>
              </w:rPr>
              <w:t>$</w:t>
            </w:r>
          </w:p>
        </w:tc>
        <w:tc>
          <w:tcPr>
            <w:tcW w:w="360" w:type="dxa"/>
            <w:vAlign w:val="bottom"/>
          </w:tcPr>
          <w:p>
            <w:pPr>
              <w:jc w:val="right"/>
              <w:ind w:right="35"/>
              <w:spacing w:after="0"/>
              <w:rPr>
                <w:sz w:val="20"/>
                <w:szCs w:val="20"/>
                <w:color w:val="auto"/>
              </w:rPr>
            </w:pPr>
            <w:r>
              <w:rPr>
                <w:rFonts w:ascii="Arial" w:cs="Arial" w:eastAsia="Arial" w:hAnsi="Arial"/>
                <w:sz w:val="18"/>
                <w:szCs w:val="18"/>
                <w:b w:val="1"/>
                <w:bCs w:val="1"/>
                <w:color w:val="auto"/>
              </w:rPr>
              <w:t>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7</w:t>
            </w:r>
          </w:p>
        </w:tc>
      </w:tr>
      <w:tr>
        <w:trPr>
          <w:trHeight w:val="229"/>
        </w:trPr>
        <w:tc>
          <w:tcPr>
            <w:tcW w:w="3960" w:type="dxa"/>
            <w:vAlign w:val="bottom"/>
            <w:tcBorders>
              <w:bottom w:val="single" w:sz="8" w:color="CFF0FC"/>
            </w:tcBorders>
            <w:shd w:val="clear" w:color="auto" w:fill="CFF0FC"/>
          </w:tcPr>
          <w:p>
            <w:pPr>
              <w:spacing w:after="0"/>
              <w:rPr>
                <w:sz w:val="19"/>
                <w:szCs w:val="19"/>
                <w:color w:val="auto"/>
              </w:rPr>
            </w:pPr>
          </w:p>
        </w:tc>
        <w:tc>
          <w:tcPr>
            <w:tcW w:w="3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13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w:t>
            </w:r>
          </w:p>
        </w:tc>
      </w:tr>
      <w:tr>
        <w:trPr>
          <w:trHeight w:val="223"/>
        </w:trPr>
        <w:tc>
          <w:tcPr>
            <w:tcW w:w="3960" w:type="dxa"/>
            <w:vAlign w:val="bottom"/>
          </w:tcPr>
          <w:p>
            <w:pPr>
              <w:ind w:left="280"/>
              <w:spacing w:after="0"/>
              <w:rPr>
                <w:sz w:val="20"/>
                <w:szCs w:val="20"/>
                <w:color w:val="auto"/>
              </w:rPr>
            </w:pPr>
            <w:r>
              <w:rPr>
                <w:rFonts w:ascii="Arial" w:cs="Arial" w:eastAsia="Arial" w:hAnsi="Arial"/>
                <w:sz w:val="18"/>
                <w:szCs w:val="18"/>
                <w:color w:val="auto"/>
              </w:rPr>
              <w:t>Total derivative assets</w:t>
            </w: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179"/>
              <w:spacing w:after="0"/>
              <w:rPr>
                <w:sz w:val="20"/>
                <w:szCs w:val="20"/>
                <w:color w:val="auto"/>
              </w:rPr>
            </w:pPr>
            <w:r>
              <w:rPr>
                <w:rFonts w:ascii="Arial" w:cs="Arial" w:eastAsia="Arial" w:hAnsi="Arial"/>
                <w:sz w:val="18"/>
                <w:szCs w:val="18"/>
                <w:b w:val="1"/>
                <w:bCs w:val="1"/>
                <w:color w:val="auto"/>
                <w:w w:val="99"/>
              </w:rPr>
              <w:t>$</w:t>
            </w:r>
          </w:p>
        </w:tc>
        <w:tc>
          <w:tcPr>
            <w:tcW w:w="360" w:type="dxa"/>
            <w:vAlign w:val="bottom"/>
          </w:tcPr>
          <w:p>
            <w:pPr>
              <w:jc w:val="right"/>
              <w:ind w:right="35"/>
              <w:spacing w:after="0"/>
              <w:rPr>
                <w:sz w:val="20"/>
                <w:szCs w:val="20"/>
                <w:color w:val="auto"/>
              </w:rPr>
            </w:pPr>
            <w:r>
              <w:rPr>
                <w:rFonts w:ascii="Arial" w:cs="Arial" w:eastAsia="Arial" w:hAnsi="Arial"/>
                <w:sz w:val="18"/>
                <w:szCs w:val="18"/>
                <w:b w:val="1"/>
                <w:bCs w:val="1"/>
                <w:color w:val="auto"/>
              </w:rPr>
              <w:t>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12</w:t>
            </w:r>
          </w:p>
        </w:tc>
      </w:tr>
      <w:tr>
        <w:trPr>
          <w:trHeight w:val="20"/>
        </w:trPr>
        <w:tc>
          <w:tcPr>
            <w:tcW w:w="39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-179070</wp:posOffset>
            </wp:positionV>
            <wp:extent cx="1200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3" w:lineRule="exact"/>
        <w:rPr>
          <w:sz w:val="20"/>
          <w:szCs w:val="20"/>
          <w:color w:val="auto"/>
        </w:rPr>
      </w:pPr>
    </w:p>
    <w:p>
      <w:pPr>
        <w:ind w:right="260" w:firstLine="494"/>
        <w:spacing w:after="0" w:line="246" w:lineRule="auto"/>
        <w:rPr>
          <w:sz w:val="20"/>
          <w:szCs w:val="20"/>
          <w:color w:val="auto"/>
        </w:rPr>
      </w:pPr>
      <w:r>
        <w:rPr>
          <w:rFonts w:ascii="Arial" w:cs="Arial" w:eastAsia="Arial" w:hAnsi="Arial"/>
          <w:sz w:val="18"/>
          <w:szCs w:val="18"/>
          <w:color w:val="auto"/>
        </w:rPr>
        <w:t>The balance of net derivative gains recorded in AOCL as of September 30, 2024 and December 31, 2023 was $6 million and $12 million, respectively. See "Note O. Accumulated Other Comprehensive Loss” for information regarding activity recorded as a component of AOCL during the three and nine months ended September 30, 2024 and 2023. As of September 30, 2024, all derivative gains recorded in AOCL are expected to be reclassified to earnings within the next twelve months.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PRODUCT WARRANTY LIABILITIES</w:t>
      </w:r>
    </w:p>
    <w:p>
      <w:pPr>
        <w:spacing w:after="0" w:line="103" w:lineRule="exact"/>
        <w:rPr>
          <w:sz w:val="20"/>
          <w:szCs w:val="20"/>
          <w:color w:val="auto"/>
        </w:rPr>
      </w:pPr>
    </w:p>
    <w:p>
      <w:pPr>
        <w:ind w:right="400" w:firstLine="494"/>
        <w:spacing w:after="0" w:line="271" w:lineRule="auto"/>
        <w:rPr>
          <w:sz w:val="20"/>
          <w:szCs w:val="20"/>
          <w:color w:val="auto"/>
        </w:rPr>
      </w:pPr>
      <w:r>
        <w:rPr>
          <w:rFonts w:ascii="Arial" w:cs="Arial" w:eastAsia="Arial" w:hAnsi="Arial"/>
          <w:sz w:val="18"/>
          <w:szCs w:val="18"/>
          <w:color w:val="auto"/>
        </w:rPr>
        <w:t>As of September 30, 2024, current and non-current product warranty liabilities were $29 million and $32 million, respectively. As of September 30, 2023, current and non-current product warranty liabilities were $29 million and $30 million, respectively.</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Product warranty liability activities consisted of the following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216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4"/>
                <w:szCs w:val="14"/>
                <w:color w:val="auto"/>
              </w:rPr>
            </w:pPr>
          </w:p>
        </w:tc>
      </w:tr>
      <w:tr>
        <w:trPr>
          <w:trHeight w:val="189"/>
        </w:trPr>
        <w:tc>
          <w:tcPr>
            <w:tcW w:w="6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6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6"/>
                <w:szCs w:val="16"/>
                <w:color w:val="auto"/>
              </w:rPr>
            </w:pPr>
          </w:p>
        </w:tc>
      </w:tr>
      <w:tr>
        <w:trPr>
          <w:trHeight w:val="185"/>
        </w:trPr>
        <w:tc>
          <w:tcPr>
            <w:tcW w:w="60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r>
      <w:tr>
        <w:trPr>
          <w:trHeight w:val="223"/>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740" w:type="dxa"/>
            <w:vAlign w:val="bottom"/>
            <w:shd w:val="clear" w:color="auto" w:fill="CFF0FC"/>
          </w:tcPr>
          <w:p>
            <w:pPr>
              <w:jc w:val="right"/>
              <w:ind w:right="539"/>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59</w:t>
            </w:r>
          </w:p>
        </w:tc>
        <w:tc>
          <w:tcPr>
            <w:tcW w:w="920" w:type="dxa"/>
            <w:vAlign w:val="bottom"/>
            <w:gridSpan w:val="2"/>
            <w:shd w:val="clear" w:color="auto" w:fill="CFF0FC"/>
          </w:tcPr>
          <w:p>
            <w:pPr>
              <w:jc w:val="right"/>
              <w:ind w:right="57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840" w:type="dxa"/>
            <w:vAlign w:val="bottom"/>
            <w:gridSpan w:val="2"/>
            <w:shd w:val="clear" w:color="auto" w:fill="CFF0FC"/>
          </w:tcPr>
          <w:p>
            <w:pPr>
              <w:jc w:val="right"/>
              <w:ind w:right="522"/>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59</w:t>
            </w:r>
          </w:p>
        </w:tc>
        <w:tc>
          <w:tcPr>
            <w:tcW w:w="880" w:type="dxa"/>
            <w:vAlign w:val="bottom"/>
            <w:gridSpan w:val="2"/>
            <w:shd w:val="clear" w:color="auto" w:fill="CFF0FC"/>
          </w:tcPr>
          <w:p>
            <w:pPr>
              <w:jc w:val="right"/>
              <w:ind w:right="55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Payments</w:t>
            </w: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(32 )</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29"/>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 in liability (warranty issued during period)</w:t>
            </w:r>
          </w:p>
        </w:tc>
        <w:tc>
          <w:tcPr>
            <w:tcW w:w="7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24</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Net adjustments to liability</w:t>
            </w:r>
          </w:p>
        </w:tc>
        <w:tc>
          <w:tcPr>
            <w:tcW w:w="7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r>
      <w:tr>
        <w:trPr>
          <w:trHeight w:val="263"/>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74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61</w:t>
            </w:r>
          </w:p>
        </w:tc>
        <w:tc>
          <w:tcPr>
            <w:tcW w:w="14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ind w:right="522"/>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61</w:t>
            </w:r>
          </w:p>
        </w:tc>
        <w:tc>
          <w:tcPr>
            <w:tcW w:w="14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-24765</wp:posOffset>
            </wp:positionV>
            <wp:extent cx="939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-7620</wp:posOffset>
            </wp:positionV>
            <wp:extent cx="939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-24765</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-7620</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-24765</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-7620</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DEFERRED REVENUE</w:t>
      </w:r>
    </w:p>
    <w:p>
      <w:pPr>
        <w:spacing w:after="0" w:line="103" w:lineRule="exact"/>
        <w:rPr>
          <w:sz w:val="20"/>
          <w:szCs w:val="20"/>
          <w:color w:val="auto"/>
        </w:rPr>
      </w:pPr>
    </w:p>
    <w:p>
      <w:pPr>
        <w:ind w:right="180" w:firstLine="494"/>
        <w:spacing w:after="0" w:line="271" w:lineRule="auto"/>
        <w:rPr>
          <w:sz w:val="20"/>
          <w:szCs w:val="20"/>
          <w:color w:val="auto"/>
        </w:rPr>
      </w:pPr>
      <w:r>
        <w:rPr>
          <w:rFonts w:ascii="Arial" w:cs="Arial" w:eastAsia="Arial" w:hAnsi="Arial"/>
          <w:sz w:val="18"/>
          <w:szCs w:val="18"/>
          <w:color w:val="auto"/>
        </w:rPr>
        <w:t>As of September 30, 2024, current and non-current deferred revenue were $45 million and $93 million, respectively. As of September 30, 2023, current and non-current deferred revenue were $44 million and $94 million, respectively.</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revenue activity consisted of the following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4"/>
                <w:szCs w:val="14"/>
                <w:color w:val="auto"/>
              </w:rPr>
            </w:pPr>
          </w:p>
        </w:tc>
      </w:tr>
      <w:tr>
        <w:trPr>
          <w:trHeight w:val="189"/>
        </w:trPr>
        <w:tc>
          <w:tcPr>
            <w:tcW w:w="4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spacing w:after="0"/>
              <w:rPr>
                <w:sz w:val="16"/>
                <w:szCs w:val="16"/>
                <w:color w:val="auto"/>
              </w:rPr>
            </w:pPr>
          </w:p>
        </w:tc>
      </w:tr>
      <w:tr>
        <w:trPr>
          <w:trHeight w:val="185"/>
        </w:trPr>
        <w:tc>
          <w:tcPr>
            <w:tcW w:w="4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r>
      <w:tr>
        <w:trPr>
          <w:trHeight w:val="223"/>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FF0FC"/>
          </w:tcPr>
          <w:p>
            <w:pPr>
              <w:jc w:val="right"/>
              <w:ind w:right="38"/>
              <w:spacing w:after="0"/>
              <w:rPr>
                <w:sz w:val="20"/>
                <w:szCs w:val="20"/>
                <w:color w:val="auto"/>
              </w:rPr>
            </w:pPr>
            <w:r>
              <w:rPr>
                <w:rFonts w:ascii="Arial" w:cs="Arial" w:eastAsia="Arial" w:hAnsi="Arial"/>
                <w:sz w:val="18"/>
                <w:szCs w:val="18"/>
                <w:b w:val="1"/>
                <w:bCs w:val="1"/>
                <w:color w:val="auto"/>
              </w:rPr>
              <w:t>136</w:t>
            </w:r>
          </w:p>
        </w:tc>
        <w:tc>
          <w:tcPr>
            <w:tcW w:w="76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139</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ind w:right="38"/>
              <w:spacing w:after="0"/>
              <w:rPr>
                <w:sz w:val="20"/>
                <w:szCs w:val="20"/>
                <w:color w:val="auto"/>
              </w:rPr>
            </w:pPr>
            <w:r>
              <w:rPr>
                <w:rFonts w:ascii="Arial" w:cs="Arial" w:eastAsia="Arial" w:hAnsi="Arial"/>
                <w:sz w:val="18"/>
                <w:szCs w:val="18"/>
                <w:b w:val="1"/>
                <w:bCs w:val="1"/>
                <w:color w:val="auto"/>
              </w:rPr>
              <w:t>130</w:t>
            </w:r>
          </w:p>
        </w:tc>
        <w:tc>
          <w:tcPr>
            <w:tcW w:w="72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131</w:t>
            </w: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Increases</w:t>
            </w:r>
          </w:p>
        </w:tc>
        <w:tc>
          <w:tcPr>
            <w:tcW w:w="34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b w:val="1"/>
                <w:bCs w:val="1"/>
                <w:color w:val="auto"/>
              </w:rPr>
              <w:t>11</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b w:val="1"/>
                <w:bCs w:val="1"/>
                <w:color w:val="auto"/>
              </w:rPr>
              <w:t>37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42</w:t>
            </w:r>
          </w:p>
        </w:tc>
      </w:tr>
      <w:tr>
        <w:trPr>
          <w:trHeight w:val="229"/>
        </w:trPr>
        <w:tc>
          <w:tcPr>
            <w:tcW w:w="4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earned</w:t>
            </w: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(9 )</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(29 )</w:t>
            </w:r>
          </w:p>
        </w:tc>
        <w:tc>
          <w:tcPr>
            <w:tcW w:w="1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(35 )</w:t>
            </w: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38"/>
              <w:spacing w:after="0"/>
              <w:rPr>
                <w:sz w:val="20"/>
                <w:szCs w:val="20"/>
                <w:color w:val="auto"/>
              </w:rPr>
            </w:pPr>
            <w:r>
              <w:rPr>
                <w:rFonts w:ascii="Arial" w:cs="Arial" w:eastAsia="Arial" w:hAnsi="Arial"/>
                <w:sz w:val="18"/>
                <w:szCs w:val="18"/>
                <w:b w:val="1"/>
                <w:bCs w:val="1"/>
                <w:color w:val="auto"/>
              </w:rPr>
              <w:t>138</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138</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8"/>
              <w:spacing w:after="0"/>
              <w:rPr>
                <w:sz w:val="20"/>
                <w:szCs w:val="20"/>
                <w:color w:val="auto"/>
              </w:rPr>
            </w:pPr>
            <w:r>
              <w:rPr>
                <w:rFonts w:ascii="Arial" w:cs="Arial" w:eastAsia="Arial" w:hAnsi="Arial"/>
                <w:sz w:val="18"/>
                <w:szCs w:val="18"/>
                <w:b w:val="1"/>
                <w:bCs w:val="1"/>
                <w:color w:val="auto"/>
              </w:rPr>
              <w:t>138</w:t>
            </w: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138</w:t>
            </w:r>
          </w:p>
        </w:tc>
      </w:tr>
      <w:tr>
        <w:trPr>
          <w:trHeight w:val="20"/>
        </w:trPr>
        <w:tc>
          <w:tcPr>
            <w:tcW w:w="4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-179070</wp:posOffset>
            </wp:positionV>
            <wp:extent cx="1111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-179070</wp:posOffset>
            </wp:positionV>
            <wp:extent cx="1028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-179070</wp:posOffset>
            </wp:positionV>
            <wp:extent cx="1028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3" w:lineRule="exact"/>
        <w:rPr>
          <w:sz w:val="20"/>
          <w:szCs w:val="20"/>
          <w:color w:val="auto"/>
        </w:rPr>
      </w:pPr>
    </w:p>
    <w:p>
      <w:pPr>
        <w:ind w:right="420" w:firstLine="494"/>
        <w:spacing w:after="0" w:line="252" w:lineRule="auto"/>
        <w:rPr>
          <w:sz w:val="20"/>
          <w:szCs w:val="20"/>
          <w:color w:val="auto"/>
        </w:rPr>
      </w:pPr>
      <w:r>
        <w:rPr>
          <w:rFonts w:ascii="Arial" w:cs="Arial" w:eastAsia="Arial" w:hAnsi="Arial"/>
          <w:sz w:val="18"/>
          <w:szCs w:val="18"/>
          <w:color w:val="auto"/>
        </w:rPr>
        <w:t>Deferred revenue recorded in current and non-current liabilities related to ETC as of September 30, 2024 was $30 million and $92 million, respectively. Deferred revenue recorded in current and non-current liabilities related to ETC as of September 30, 2023 was $29 million and $86 million, respectively.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LEASES</w:t>
      </w:r>
    </w:p>
    <w:p>
      <w:pPr>
        <w:spacing w:after="0" w:line="103" w:lineRule="exact"/>
        <w:rPr>
          <w:sz w:val="20"/>
          <w:szCs w:val="20"/>
          <w:color w:val="auto"/>
        </w:rPr>
      </w:pPr>
    </w:p>
    <w:p>
      <w:pPr>
        <w:ind w:right="240" w:firstLine="494"/>
        <w:spacing w:after="0" w:line="257" w:lineRule="auto"/>
        <w:rPr>
          <w:sz w:val="20"/>
          <w:szCs w:val="20"/>
          <w:color w:val="auto"/>
        </w:rPr>
      </w:pPr>
      <w:r>
        <w:rPr>
          <w:rFonts w:ascii="Arial" w:cs="Arial" w:eastAsia="Arial" w:hAnsi="Arial"/>
          <w:sz w:val="17"/>
          <w:szCs w:val="17"/>
          <w:color w:val="auto"/>
        </w:rPr>
        <w:t>Contracts are assessed by the Company to determine if the contract conveys the right to control an identified asset in exchange for consideration during a period of time. The Company classifies all identified leases as either operating or finance leases. As of both September 30, 2024 and December 31, 2023,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58" w:lineRule="exact"/>
        <w:rPr>
          <w:sz w:val="20"/>
          <w:szCs w:val="20"/>
          <w:color w:val="auto"/>
        </w:rPr>
      </w:pPr>
    </w:p>
    <w:p>
      <w:pPr>
        <w:ind w:right="320" w:firstLine="494"/>
        <w:spacing w:after="0" w:line="252" w:lineRule="auto"/>
        <w:rPr>
          <w:sz w:val="20"/>
          <w:szCs w:val="20"/>
          <w:color w:val="auto"/>
        </w:rPr>
      </w:pPr>
      <w:r>
        <w:rPr>
          <w:rFonts w:ascii="Arial" w:cs="Arial" w:eastAsia="Arial" w:hAnsi="Arial"/>
          <w:sz w:val="18"/>
          <w:szCs w:val="18"/>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at inception of the contract.</w:t>
      </w:r>
    </w:p>
    <w:p>
      <w:pPr>
        <w:spacing w:after="0" w:line="63" w:lineRule="exact"/>
        <w:rPr>
          <w:sz w:val="20"/>
          <w:szCs w:val="20"/>
          <w:color w:val="auto"/>
        </w:rPr>
      </w:pPr>
    </w:p>
    <w:p>
      <w:pPr>
        <w:ind w:right="160" w:firstLine="494"/>
        <w:spacing w:after="0" w:line="241" w:lineRule="auto"/>
        <w:rPr>
          <w:sz w:val="20"/>
          <w:szCs w:val="20"/>
          <w:color w:val="auto"/>
        </w:rPr>
      </w:pPr>
      <w:r>
        <w:rPr>
          <w:rFonts w:ascii="Arial" w:cs="Arial" w:eastAsia="Arial" w:hAnsi="Arial"/>
          <w:sz w:val="18"/>
          <w:szCs w:val="18"/>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Term SOFR on the Term Loan. The Company believes this rate effectively represents a borrowing rate the Company could obtain on a debt instrument possessing similar terms as the lease. Lease liabilities are classified between current and non-current liabilities based on the terms of the underlying leases. The weighted average discount rate on operating leases as of September 30, 2024 and December 31, 2023 was 4.80% and 4.75%, respectively.</w:t>
      </w:r>
    </w:p>
    <w:p>
      <w:pPr>
        <w:spacing w:after="0" w:line="74" w:lineRule="exact"/>
        <w:rPr>
          <w:sz w:val="20"/>
          <w:szCs w:val="20"/>
          <w:color w:val="auto"/>
        </w:rPr>
      </w:pPr>
    </w:p>
    <w:p>
      <w:pPr>
        <w:ind w:right="40" w:firstLine="494"/>
        <w:spacing w:after="0" w:line="246" w:lineRule="auto"/>
        <w:rPr>
          <w:sz w:val="20"/>
          <w:szCs w:val="20"/>
          <w:color w:val="auto"/>
        </w:rPr>
      </w:pPr>
      <w:r>
        <w:rPr>
          <w:rFonts w:ascii="Arial" w:cs="Arial" w:eastAsia="Arial" w:hAnsi="Arial"/>
          <w:sz w:val="18"/>
          <w:szCs w:val="18"/>
          <w:color w:val="auto"/>
        </w:rPr>
        <w:t>As of September 30, 2024, the Company recorded current and non-current operating lease liabilities of $5 million and $15 million, respectively. As of December 31, 2023, the Company recorded current and non-current operating lease liabilities of $4 million and $14 million, respectively. The following table reconciles future undiscounted cash flows for operating leases to total operating lease liabilities as of September 30, 2024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473"/>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9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2024</w:t>
            </w:r>
          </w:p>
        </w:tc>
      </w:tr>
      <w:tr>
        <w:trPr>
          <w:trHeight w:val="223"/>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 the remainder of 2024</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7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1720" w:type="dxa"/>
            <w:vAlign w:val="bottom"/>
          </w:tcPr>
          <w:p>
            <w:pPr>
              <w:jc w:val="right"/>
              <w:ind w:right="33"/>
              <w:spacing w:after="0"/>
              <w:rPr>
                <w:sz w:val="20"/>
                <w:szCs w:val="20"/>
                <w:color w:val="auto"/>
              </w:rPr>
            </w:pPr>
            <w:r>
              <w:rPr>
                <w:rFonts w:ascii="Arial" w:cs="Arial" w:eastAsia="Arial" w:hAnsi="Arial"/>
                <w:sz w:val="18"/>
                <w:szCs w:val="18"/>
                <w:b w:val="1"/>
                <w:bCs w:val="1"/>
                <w:color w:val="auto"/>
              </w:rPr>
              <w:t>6</w:t>
            </w: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4</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2027</w:t>
            </w:r>
          </w:p>
        </w:tc>
        <w:tc>
          <w:tcPr>
            <w:tcW w:w="280" w:type="dxa"/>
            <w:vAlign w:val="bottom"/>
          </w:tcPr>
          <w:p>
            <w:pPr>
              <w:spacing w:after="0"/>
              <w:rPr>
                <w:sz w:val="19"/>
                <w:szCs w:val="19"/>
                <w:color w:val="auto"/>
              </w:rPr>
            </w:pPr>
          </w:p>
        </w:tc>
        <w:tc>
          <w:tcPr>
            <w:tcW w:w="1720" w:type="dxa"/>
            <w:vAlign w:val="bottom"/>
          </w:tcPr>
          <w:p>
            <w:pPr>
              <w:jc w:val="right"/>
              <w:ind w:right="33"/>
              <w:spacing w:after="0"/>
              <w:rPr>
                <w:sz w:val="20"/>
                <w:szCs w:val="20"/>
                <w:color w:val="auto"/>
              </w:rPr>
            </w:pPr>
            <w:r>
              <w:rPr>
                <w:rFonts w:ascii="Arial" w:cs="Arial" w:eastAsia="Arial" w:hAnsi="Arial"/>
                <w:sz w:val="18"/>
                <w:szCs w:val="18"/>
                <w:b w:val="1"/>
                <w:bCs w:val="1"/>
                <w:color w:val="auto"/>
              </w:rPr>
              <w:t>4</w:t>
            </w: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2028</w:t>
            </w:r>
          </w:p>
        </w:tc>
        <w:tc>
          <w:tcPr>
            <w:tcW w:w="2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3</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w:t>
            </w:r>
          </w:p>
        </w:tc>
      </w:tr>
      <w:tr>
        <w:trPr>
          <w:trHeight w:val="223"/>
        </w:trPr>
        <w:tc>
          <w:tcPr>
            <w:tcW w:w="9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lease payments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7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23</w:t>
            </w:r>
          </w:p>
        </w:tc>
      </w:tr>
      <w:tr>
        <w:trPr>
          <w:trHeight w:val="229"/>
        </w:trPr>
        <w:tc>
          <w:tcPr>
            <w:tcW w:w="9240" w:type="dxa"/>
            <w:vAlign w:val="bottom"/>
          </w:tcPr>
          <w:p>
            <w:pPr>
              <w:ind w:left="520"/>
              <w:spacing w:after="0"/>
              <w:rPr>
                <w:sz w:val="20"/>
                <w:szCs w:val="20"/>
                <w:color w:val="auto"/>
              </w:rPr>
            </w:pPr>
            <w:r>
              <w:rPr>
                <w:rFonts w:ascii="Arial" w:cs="Arial" w:eastAsia="Arial" w:hAnsi="Arial"/>
                <w:sz w:val="18"/>
                <w:szCs w:val="18"/>
                <w:color w:val="auto"/>
              </w:rPr>
              <w:t>Less: Interest</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w:t>
            </w:r>
          </w:p>
        </w:tc>
      </w:tr>
      <w:tr>
        <w:trPr>
          <w:trHeight w:val="263"/>
        </w:trPr>
        <w:tc>
          <w:tcPr>
            <w:tcW w:w="92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Present value of operating lease liabilities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20</w:t>
            </w:r>
          </w:p>
        </w:tc>
      </w:tr>
    </w:tbl>
    <w:p>
      <w:pPr>
        <w:spacing w:after="0" w:line="183" w:lineRule="exact"/>
        <w:rPr>
          <w:sz w:val="20"/>
          <w:szCs w:val="20"/>
          <w:color w:val="auto"/>
        </w:rPr>
      </w:pPr>
    </w:p>
    <w:p>
      <w:pPr>
        <w:ind w:right="260" w:firstLine="494"/>
        <w:spacing w:after="0" w:line="252" w:lineRule="auto"/>
        <w:rPr>
          <w:sz w:val="20"/>
          <w:szCs w:val="20"/>
          <w:color w:val="auto"/>
        </w:rPr>
      </w:pPr>
      <w:r>
        <w:rPr>
          <w:rFonts w:ascii="Arial" w:cs="Arial" w:eastAsia="Arial" w:hAnsi="Arial"/>
          <w:sz w:val="18"/>
          <w:szCs w:val="18"/>
          <w:color w:val="auto"/>
        </w:rPr>
        <w:t>ROU assets are calculated as the related lease liability adjusted for lease incentives, prepayments and the effect of escalating lease payments on period expense. The below table depicts the ROU assets held by the Company based on the underlying asset (dollars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35"/>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36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3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r>
      <w:tr>
        <w:trPr>
          <w:trHeight w:val="223"/>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Buildings</w:t>
            </w:r>
          </w:p>
        </w:tc>
        <w:tc>
          <w:tcPr>
            <w:tcW w:w="5440" w:type="dxa"/>
            <w:vAlign w:val="bottom"/>
            <w:gridSpan w:val="2"/>
            <w:shd w:val="clear" w:color="auto" w:fill="CFF0FC"/>
          </w:tcPr>
          <w:p>
            <w:pPr>
              <w:jc w:val="right"/>
              <w:ind w:right="1128"/>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17</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w:t>
            </w: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Equipment</w:t>
            </w:r>
          </w:p>
        </w:tc>
        <w:tc>
          <w:tcPr>
            <w:tcW w:w="4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2</w:t>
            </w:r>
          </w:p>
        </w:tc>
      </w:tr>
      <w:tr>
        <w:trPr>
          <w:trHeight w:val="229"/>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w:t>
            </w:r>
          </w:p>
        </w:tc>
        <w:tc>
          <w:tcPr>
            <w:tcW w:w="4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Vehicles</w:t>
            </w:r>
          </w:p>
        </w:tc>
        <w:tc>
          <w:tcPr>
            <w:tcW w:w="414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w:t>
            </w:r>
          </w:p>
        </w:tc>
      </w:tr>
      <w:tr>
        <w:trPr>
          <w:trHeight w:val="263"/>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ROU assets</w:t>
            </w:r>
          </w:p>
        </w:tc>
        <w:tc>
          <w:tcPr>
            <w:tcW w:w="5440" w:type="dxa"/>
            <w:vAlign w:val="bottom"/>
            <w:gridSpan w:val="2"/>
            <w:shd w:val="clear" w:color="auto" w:fill="CFF0FC"/>
          </w:tcPr>
          <w:p>
            <w:pPr>
              <w:jc w:val="right"/>
              <w:ind w:right="1128"/>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21</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w:t>
            </w:r>
          </w:p>
        </w:tc>
      </w:tr>
      <w:tr>
        <w:trPr>
          <w:trHeight w:val="578"/>
        </w:trPr>
        <w:tc>
          <w:tcPr>
            <w:tcW w:w="3600" w:type="dxa"/>
            <w:vAlign w:val="bottom"/>
            <w:tcBorders>
              <w:top w:val="single" w:sz="8" w:color="CFF0FC"/>
            </w:tcBorders>
          </w:tcPr>
          <w:p>
            <w:pPr>
              <w:spacing w:after="0"/>
              <w:rPr>
                <w:sz w:val="24"/>
                <w:szCs w:val="24"/>
                <w:color w:val="auto"/>
              </w:rPr>
            </w:pPr>
          </w:p>
        </w:tc>
        <w:tc>
          <w:tcPr>
            <w:tcW w:w="4140" w:type="dxa"/>
            <w:vAlign w:val="bottom"/>
            <w:tcBorders>
              <w:top w:val="single" w:sz="8" w:color="CFF0FC"/>
            </w:tcBorders>
          </w:tcPr>
          <w:p>
            <w:pPr>
              <w:jc w:val="right"/>
              <w:ind w:right="1930"/>
              <w:spacing w:after="0"/>
              <w:rPr>
                <w:sz w:val="20"/>
                <w:szCs w:val="20"/>
                <w:color w:val="auto"/>
              </w:rPr>
            </w:pPr>
            <w:r>
              <w:rPr>
                <w:rFonts w:ascii="Arial" w:cs="Arial" w:eastAsia="Arial" w:hAnsi="Arial"/>
                <w:sz w:val="18"/>
                <w:szCs w:val="18"/>
                <w:color w:val="auto"/>
              </w:rPr>
              <w:t>18</w:t>
            </w:r>
          </w:p>
        </w:tc>
        <w:tc>
          <w:tcPr>
            <w:tcW w:w="13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745"/>
        </w:trPr>
        <w:tc>
          <w:tcPr>
            <w:tcW w:w="36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-889635</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-872490</wp:posOffset>
            </wp:positionV>
            <wp:extent cx="1111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740" w:firstLine="494"/>
        <w:spacing w:after="0" w:line="271" w:lineRule="auto"/>
        <w:rPr>
          <w:sz w:val="20"/>
          <w:szCs w:val="20"/>
          <w:color w:val="auto"/>
        </w:rPr>
      </w:pPr>
      <w:r>
        <w:rPr>
          <w:rFonts w:ascii="Arial" w:cs="Arial" w:eastAsia="Arial" w:hAnsi="Arial"/>
          <w:sz w:val="18"/>
          <w:szCs w:val="18"/>
          <w:color w:val="auto"/>
        </w:rPr>
        <w:t>The weighted average remaining lease term as of September 30, 2024 and September 30, 2023 was 5.4 years and 5.8 years, respectively.</w:t>
      </w:r>
    </w:p>
    <w:p>
      <w:pPr>
        <w:spacing w:after="0" w:line="45" w:lineRule="exact"/>
        <w:rPr>
          <w:sz w:val="20"/>
          <w:szCs w:val="20"/>
          <w:color w:val="auto"/>
        </w:rPr>
      </w:pPr>
    </w:p>
    <w:p>
      <w:pPr>
        <w:ind w:right="40" w:firstLine="494"/>
        <w:spacing w:after="0" w:line="246" w:lineRule="auto"/>
        <w:rPr>
          <w:sz w:val="20"/>
          <w:szCs w:val="20"/>
          <w:color w:val="auto"/>
        </w:rPr>
      </w:pPr>
      <w:r>
        <w:rPr>
          <w:rFonts w:ascii="Arial" w:cs="Arial" w:eastAsia="Arial" w:hAnsi="Arial"/>
          <w:sz w:val="18"/>
          <w:szCs w:val="18"/>
          <w:color w:val="auto"/>
        </w:rPr>
        <w:t>Operating lease expense was $2 million for each of the three months ended September 30, 2024 and 2023 and $5 million for each of the nine months ended September 30, 2024 and 2023, and was recorded within Selling, general and administrative and Engineering — research and development on the Company's Condensed Consolidated Statements of Comprehensive Income. There was no material short-term operating lease expense for either of the three or nine months ended September 30, 2024 or 2023.</w:t>
      </w:r>
    </w:p>
    <w:p>
      <w:pPr>
        <w:spacing w:after="0" w:line="68" w:lineRule="exact"/>
        <w:rPr>
          <w:sz w:val="20"/>
          <w:szCs w:val="20"/>
          <w:color w:val="auto"/>
        </w:rPr>
      </w:pPr>
    </w:p>
    <w:p>
      <w:pPr>
        <w:ind w:right="300" w:firstLine="494"/>
        <w:spacing w:after="0" w:line="271" w:lineRule="auto"/>
        <w:rPr>
          <w:sz w:val="20"/>
          <w:szCs w:val="20"/>
          <w:color w:val="auto"/>
        </w:rPr>
      </w:pPr>
      <w:r>
        <w:rPr>
          <w:rFonts w:ascii="Arial" w:cs="Arial" w:eastAsia="Arial" w:hAnsi="Arial"/>
          <w:sz w:val="18"/>
          <w:szCs w:val="18"/>
          <w:color w:val="auto"/>
        </w:rPr>
        <w:t>During the nine months ended September 30, 2024 and 2023, the Company recorded $6 million and $2 million, respectively, of new ROU assets obtained in exchange for lease obligations.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OTHER CURRENT LIABILITIES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liabilities consisted of the following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313"/>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3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2023</w:t>
            </w: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and related costs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80</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89</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Sales incentives</w:t>
            </w:r>
          </w:p>
        </w:tc>
        <w:tc>
          <w:tcPr>
            <w:tcW w:w="20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b w:val="1"/>
                <w:bCs w:val="1"/>
                <w:color w:val="auto"/>
              </w:rPr>
              <w:t>40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41</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interest payable</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Vendor buyback obligation</w:t>
            </w:r>
          </w:p>
        </w:tc>
        <w:tc>
          <w:tcPr>
            <w:tcW w:w="20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b w:val="1"/>
                <w:bCs w:val="1"/>
                <w:color w:val="auto"/>
              </w:rPr>
              <w:t>19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18</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Taxes payable</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OPEB liability</w:t>
            </w:r>
          </w:p>
        </w:tc>
        <w:tc>
          <w:tcPr>
            <w:tcW w:w="20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b w:val="1"/>
                <w:bCs w:val="1"/>
                <w:color w:val="auto"/>
              </w:rPr>
              <w:t>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liability</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Other accruals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17</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w:t>
            </w:r>
          </w:p>
        </w:tc>
      </w:tr>
      <w:tr>
        <w:trPr>
          <w:trHeight w:val="263"/>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212</w:t>
            </w:r>
          </w:p>
        </w:tc>
        <w:tc>
          <w:tcPr>
            <w:tcW w:w="1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EMPLOYEE BENEFIT PLANS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Components of net periodic benefit cost (credit) consisted of the following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rPr>
              <w:t>Pension Plans</w:t>
            </w: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tcBorders>
              <w:bottom w:val="single" w:sz="8" w:color="auto"/>
            </w:tcBorders>
            <w:gridSpan w:val="4"/>
          </w:tcPr>
          <w:p>
            <w:pPr>
              <w:jc w:val="center"/>
              <w:ind w:left="228"/>
              <w:spacing w:after="0"/>
              <w:rPr>
                <w:sz w:val="20"/>
                <w:szCs w:val="20"/>
                <w:color w:val="auto"/>
              </w:rPr>
            </w:pPr>
            <w:r>
              <w:rPr>
                <w:rFonts w:ascii="Arial" w:cs="Arial" w:eastAsia="Arial" w:hAnsi="Arial"/>
                <w:sz w:val="14"/>
                <w:szCs w:val="14"/>
                <w:b w:val="1"/>
                <w:bCs w:val="1"/>
                <w:color w:val="auto"/>
              </w:rPr>
              <w:t>Post-retirement Benefits</w:t>
            </w:r>
          </w:p>
        </w:tc>
        <w:tc>
          <w:tcPr>
            <w:tcW w:w="400" w:type="dxa"/>
            <w:vAlign w:val="bottom"/>
            <w:tcBorders>
              <w:bottom w:val="single" w:sz="8" w:color="auto"/>
            </w:tcBorders>
          </w:tcPr>
          <w:p>
            <w:pPr>
              <w:spacing w:after="0"/>
              <w:rPr>
                <w:sz w:val="16"/>
                <w:szCs w:val="16"/>
                <w:color w:val="auto"/>
              </w:rPr>
            </w:pPr>
          </w:p>
        </w:tc>
      </w:tr>
      <w:tr>
        <w:trPr>
          <w:trHeight w:val="160"/>
        </w:trPr>
        <w:tc>
          <w:tcPr>
            <w:tcW w:w="4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60" w:type="dxa"/>
            <w:vAlign w:val="bottom"/>
            <w:gridSpan w:val="4"/>
          </w:tcPr>
          <w:p>
            <w:pPr>
              <w:jc w:val="center"/>
              <w:ind w:left="248"/>
              <w:spacing w:after="0" w:line="159" w:lineRule="exact"/>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4"/>
          </w:tcPr>
          <w:p>
            <w:pPr>
              <w:jc w:val="center"/>
              <w:ind w:left="208"/>
              <w:spacing w:after="0" w:line="159" w:lineRule="exact"/>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3"/>
                <w:szCs w:val="13"/>
                <w:color w:val="auto"/>
              </w:rPr>
            </w:pPr>
          </w:p>
        </w:tc>
      </w:tr>
      <w:tr>
        <w:trPr>
          <w:trHeight w:val="189"/>
        </w:trPr>
        <w:tc>
          <w:tcPr>
            <w:tcW w:w="40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6"/>
                <w:szCs w:val="16"/>
                <w:color w:val="auto"/>
              </w:rPr>
            </w:pPr>
          </w:p>
        </w:tc>
      </w:tr>
      <w:tr>
        <w:trPr>
          <w:trHeight w:val="185"/>
        </w:trPr>
        <w:tc>
          <w:tcPr>
            <w:tcW w:w="4060" w:type="dxa"/>
            <w:vAlign w:val="bottom"/>
          </w:tcPr>
          <w:p>
            <w:pPr>
              <w:spacing w:after="0"/>
              <w:rPr>
                <w:sz w:val="16"/>
                <w:szCs w:val="16"/>
                <w:color w:val="auto"/>
              </w:rPr>
            </w:pPr>
          </w:p>
        </w:tc>
        <w:tc>
          <w:tcPr>
            <w:tcW w:w="2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r>
      <w:tr>
        <w:trPr>
          <w:trHeight w:val="223"/>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1760" w:type="dxa"/>
            <w:vAlign w:val="bottom"/>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52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55"/>
              <w:spacing w:after="0"/>
              <w:rPr>
                <w:sz w:val="20"/>
                <w:szCs w:val="20"/>
                <w:color w:val="auto"/>
              </w:rPr>
            </w:pPr>
            <w:r>
              <w:rPr>
                <w:rFonts w:ascii="Arial" w:cs="Arial" w:eastAsia="Arial" w:hAnsi="Arial"/>
                <w:sz w:val="18"/>
                <w:szCs w:val="18"/>
                <w:b w:val="1"/>
                <w:bCs w:val="1"/>
                <w:color w:val="auto"/>
              </w:rPr>
              <w:t>1</w:t>
            </w:r>
          </w:p>
        </w:tc>
        <w:tc>
          <w:tcPr>
            <w:tcW w:w="9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17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1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Prior service credit</w:t>
            </w:r>
          </w:p>
        </w:tc>
        <w:tc>
          <w:tcPr>
            <w:tcW w:w="17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Recognized actuarial gain</w:t>
            </w:r>
          </w:p>
        </w:tc>
        <w:tc>
          <w:tcPr>
            <w:tcW w:w="17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63"/>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2520" w:type="dxa"/>
            <w:vAlign w:val="bottom"/>
            <w:gridSpan w:val="2"/>
            <w:shd w:val="clear" w:color="auto" w:fill="CFF0FC"/>
          </w:tcPr>
          <w:p>
            <w:pPr>
              <w:jc w:val="right"/>
              <w:ind w:right="568"/>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1</w:t>
            </w:r>
          </w:p>
        </w:tc>
        <w:tc>
          <w:tcPr>
            <w:tcW w:w="980" w:type="dxa"/>
            <w:vAlign w:val="bottom"/>
            <w:gridSpan w:val="2"/>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980" w:type="dxa"/>
            <w:vAlign w:val="bottom"/>
            <w:gridSpan w:val="2"/>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578"/>
        </w:trPr>
        <w:tc>
          <w:tcPr>
            <w:tcW w:w="4060" w:type="dxa"/>
            <w:vAlign w:val="bottom"/>
            <w:tcBorders>
              <w:top w:val="single" w:sz="8" w:color="CFF0FC"/>
            </w:tcBorders>
          </w:tcPr>
          <w:p>
            <w:pPr>
              <w:spacing w:after="0"/>
              <w:rPr>
                <w:sz w:val="24"/>
                <w:szCs w:val="24"/>
                <w:color w:val="auto"/>
              </w:rPr>
            </w:pPr>
          </w:p>
        </w:tc>
        <w:tc>
          <w:tcPr>
            <w:tcW w:w="1760" w:type="dxa"/>
            <w:vAlign w:val="bottom"/>
            <w:tcBorders>
              <w:top w:val="single" w:sz="8" w:color="CFF0FC"/>
            </w:tcBorders>
          </w:tcPr>
          <w:p>
            <w:pPr>
              <w:jc w:val="right"/>
              <w:ind w:right="15"/>
              <w:spacing w:after="0"/>
              <w:rPr>
                <w:sz w:val="20"/>
                <w:szCs w:val="20"/>
                <w:color w:val="auto"/>
              </w:rPr>
            </w:pPr>
            <w:r>
              <w:rPr>
                <w:rFonts w:ascii="Arial" w:cs="Arial" w:eastAsia="Arial" w:hAnsi="Arial"/>
                <w:sz w:val="18"/>
                <w:szCs w:val="18"/>
                <w:color w:val="auto"/>
              </w:rPr>
              <w:t>19</w:t>
            </w:r>
          </w:p>
        </w:tc>
        <w:tc>
          <w:tcPr>
            <w:tcW w:w="7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r>
      <w:tr>
        <w:trPr>
          <w:trHeight w:val="745"/>
        </w:trPr>
        <w:tc>
          <w:tcPr>
            <w:tcW w:w="40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-889635</wp:posOffset>
            </wp:positionV>
            <wp:extent cx="939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-872490</wp:posOffset>
            </wp:positionV>
            <wp:extent cx="93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-889635</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-872490</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-889635</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-872490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rPr>
              <w:t>Pension Plans</w:t>
            </w: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tcBorders>
              <w:bottom w:val="single" w:sz="8" w:color="auto"/>
            </w:tcBorders>
            <w:gridSpan w:val="4"/>
          </w:tcPr>
          <w:p>
            <w:pPr>
              <w:jc w:val="center"/>
              <w:ind w:left="228"/>
              <w:spacing w:after="0"/>
              <w:rPr>
                <w:sz w:val="20"/>
                <w:szCs w:val="20"/>
                <w:color w:val="auto"/>
              </w:rPr>
            </w:pPr>
            <w:r>
              <w:rPr>
                <w:rFonts w:ascii="Arial" w:cs="Arial" w:eastAsia="Arial" w:hAnsi="Arial"/>
                <w:sz w:val="14"/>
                <w:szCs w:val="14"/>
                <w:b w:val="1"/>
                <w:bCs w:val="1"/>
                <w:color w:val="auto"/>
              </w:rPr>
              <w:t>Post-retirement Benefits</w:t>
            </w:r>
          </w:p>
        </w:tc>
        <w:tc>
          <w:tcPr>
            <w:tcW w:w="400" w:type="dxa"/>
            <w:vAlign w:val="bottom"/>
            <w:tcBorders>
              <w:bottom w:val="single" w:sz="8" w:color="auto"/>
            </w:tcBorders>
          </w:tcPr>
          <w:p>
            <w:pPr>
              <w:spacing w:after="0"/>
              <w:rPr>
                <w:sz w:val="16"/>
                <w:szCs w:val="16"/>
                <w:color w:val="auto"/>
              </w:rPr>
            </w:pPr>
          </w:p>
        </w:tc>
      </w:tr>
      <w:tr>
        <w:trPr>
          <w:trHeight w:val="160"/>
        </w:trPr>
        <w:tc>
          <w:tcPr>
            <w:tcW w:w="5820" w:type="dxa"/>
            <w:vAlign w:val="bottom"/>
          </w:tcPr>
          <w:p>
            <w:pPr>
              <w:spacing w:after="0"/>
              <w:rPr>
                <w:sz w:val="13"/>
                <w:szCs w:val="13"/>
                <w:color w:val="auto"/>
              </w:rPr>
            </w:pPr>
          </w:p>
        </w:tc>
        <w:tc>
          <w:tcPr>
            <w:tcW w:w="2260" w:type="dxa"/>
            <w:vAlign w:val="bottom"/>
            <w:gridSpan w:val="4"/>
          </w:tcPr>
          <w:p>
            <w:pPr>
              <w:jc w:val="center"/>
              <w:ind w:left="219"/>
              <w:spacing w:after="0" w:line="159" w:lineRule="exact"/>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4"/>
          </w:tcPr>
          <w:p>
            <w:pPr>
              <w:jc w:val="center"/>
              <w:ind w:left="208"/>
              <w:spacing w:after="0" w:line="159" w:lineRule="exact"/>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13"/>
                <w:szCs w:val="13"/>
                <w:color w:val="auto"/>
              </w:rPr>
            </w:pPr>
          </w:p>
        </w:tc>
      </w:tr>
      <w:tr>
        <w:trPr>
          <w:trHeight w:val="189"/>
        </w:trPr>
        <w:tc>
          <w:tcPr>
            <w:tcW w:w="5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6"/>
                <w:szCs w:val="16"/>
                <w:color w:val="auto"/>
              </w:rPr>
            </w:pPr>
          </w:p>
        </w:tc>
      </w:tr>
      <w:tr>
        <w:trPr>
          <w:trHeight w:val="185"/>
        </w:trPr>
        <w:tc>
          <w:tcPr>
            <w:tcW w:w="58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7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760" w:type="dxa"/>
            <w:vAlign w:val="bottom"/>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54"/>
              <w:spacing w:after="0"/>
              <w:rPr>
                <w:sz w:val="20"/>
                <w:szCs w:val="20"/>
                <w:color w:val="auto"/>
              </w:rPr>
            </w:pPr>
            <w:r>
              <w:rPr>
                <w:rFonts w:ascii="Arial" w:cs="Arial" w:eastAsia="Arial" w:hAnsi="Arial"/>
                <w:sz w:val="18"/>
                <w:szCs w:val="18"/>
                <w:b w:val="1"/>
                <w:bCs w:val="1"/>
                <w:color w:val="auto"/>
              </w:rPr>
              <w:t>3</w:t>
            </w:r>
          </w:p>
        </w:tc>
        <w:tc>
          <w:tcPr>
            <w:tcW w:w="9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7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(6 )</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Settlement loss</w:t>
            </w: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Prior service credit</w:t>
            </w:r>
          </w:p>
        </w:tc>
        <w:tc>
          <w:tcPr>
            <w:tcW w:w="760" w:type="dxa"/>
            <w:vAlign w:val="bottom"/>
          </w:tcPr>
          <w:p>
            <w:pPr>
              <w:spacing w:after="0"/>
              <w:rPr>
                <w:sz w:val="19"/>
                <w:szCs w:val="19"/>
                <w:color w:val="auto"/>
              </w:rPr>
            </w:pPr>
          </w:p>
        </w:tc>
        <w:tc>
          <w:tcPr>
            <w:tcW w:w="520" w:type="dxa"/>
            <w:vAlign w:val="bottom"/>
          </w:tcPr>
          <w:p>
            <w:pPr>
              <w:jc w:val="right"/>
              <w:ind w:right="54"/>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Recognized actuarial gain</w:t>
            </w:r>
          </w:p>
        </w:tc>
        <w:tc>
          <w:tcPr>
            <w:tcW w:w="7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periodic benefit cost (credit)</w:t>
            </w:r>
          </w:p>
        </w:tc>
        <w:tc>
          <w:tcPr>
            <w:tcW w:w="760" w:type="dxa"/>
            <w:vAlign w:val="bottom"/>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54"/>
              <w:spacing w:after="0"/>
              <w:rPr>
                <w:sz w:val="20"/>
                <w:szCs w:val="20"/>
                <w:color w:val="auto"/>
              </w:rPr>
            </w:pPr>
            <w:r>
              <w:rPr>
                <w:rFonts w:ascii="Arial" w:cs="Arial" w:eastAsia="Arial" w:hAnsi="Arial"/>
                <w:sz w:val="18"/>
                <w:szCs w:val="18"/>
                <w:b w:val="1"/>
                <w:bCs w:val="1"/>
                <w:color w:val="auto"/>
              </w:rPr>
              <w:t>7</w:t>
            </w:r>
          </w:p>
        </w:tc>
        <w:tc>
          <w:tcPr>
            <w:tcW w:w="9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9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0"/>
        </w:trPr>
        <w:tc>
          <w:tcPr>
            <w:tcW w:w="5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-179070</wp:posOffset>
            </wp:positionV>
            <wp:extent cx="939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-179070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-179070</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3" w:lineRule="exact"/>
        <w:rPr>
          <w:sz w:val="20"/>
          <w:szCs w:val="20"/>
          <w:color w:val="auto"/>
        </w:rPr>
      </w:pPr>
    </w:p>
    <w:p>
      <w:pPr>
        <w:ind w:right="300" w:firstLine="494"/>
        <w:spacing w:after="0" w:line="271" w:lineRule="auto"/>
        <w:rPr>
          <w:sz w:val="20"/>
          <w:szCs w:val="20"/>
          <w:color w:val="auto"/>
        </w:rPr>
      </w:pPr>
      <w:r>
        <w:rPr>
          <w:rFonts w:ascii="Arial" w:cs="Arial" w:eastAsia="Arial" w:hAnsi="Arial"/>
          <w:sz w:val="18"/>
          <w:szCs w:val="18"/>
          <w:color w:val="auto"/>
        </w:rPr>
        <w:t>The components of net periodic benefit cost (credit) other than the service cost component are included in Other income (expense), net in the Condensed Consolidated Statements of Comprehensive Income.</w:t>
      </w:r>
    </w:p>
    <w:p>
      <w:pPr>
        <w:spacing w:after="0" w:line="139" w:lineRule="exact"/>
        <w:rPr>
          <w:sz w:val="20"/>
          <w:szCs w:val="20"/>
          <w:color w:val="auto"/>
        </w:rPr>
      </w:pPr>
    </w:p>
    <w:p>
      <w:pPr>
        <w:ind w:right="20" w:firstLine="494"/>
        <w:spacing w:after="0" w:line="241" w:lineRule="auto"/>
        <w:rPr>
          <w:sz w:val="20"/>
          <w:szCs w:val="20"/>
          <w:color w:val="auto"/>
        </w:rPr>
      </w:pPr>
      <w:r>
        <w:rPr>
          <w:rFonts w:ascii="Arial" w:cs="Arial" w:eastAsia="Arial" w:hAnsi="Arial"/>
          <w:sz w:val="18"/>
          <w:szCs w:val="18"/>
          <w:color w:val="auto"/>
        </w:rPr>
        <w:t>In June 2024, the Company completed a pension risk transfer to a third-party insurance company of a portion of its salaried defined benefit pension plan's obligations for certain participants and their beneficiaries. The Company agreed to an annuity contract that was purchased using pension plan assets, resulting in the transfer of $30 million of pension plan assets and $30 million of pension plan benefit obligations to the insurance company. As a result of this transaction, in the second quarter of 2024, the Company recognized a non-recurring, non-cash $4 million settlement charge for a pro rata portion of previously unrecognized pension plan actuarial net losses, which was recorded in Other income (expense), net in the Condensed Consolidated Statements of Comprehensive Income.</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INCOME TAXES</w:t>
      </w:r>
    </w:p>
    <w:p>
      <w:pPr>
        <w:spacing w:after="0" w:line="103" w:lineRule="exact"/>
        <w:rPr>
          <w:sz w:val="20"/>
          <w:szCs w:val="20"/>
          <w:color w:val="auto"/>
        </w:rPr>
      </w:pPr>
    </w:p>
    <w:p>
      <w:pPr>
        <w:ind w:right="40" w:firstLine="494"/>
        <w:spacing w:after="0" w:line="246" w:lineRule="auto"/>
        <w:rPr>
          <w:sz w:val="20"/>
          <w:szCs w:val="20"/>
          <w:color w:val="auto"/>
        </w:rPr>
      </w:pPr>
      <w:r>
        <w:rPr>
          <w:rFonts w:ascii="Arial" w:cs="Arial" w:eastAsia="Arial" w:hAnsi="Arial"/>
          <w:sz w:val="18"/>
          <w:szCs w:val="18"/>
          <w:color w:val="auto"/>
        </w:rPr>
        <w:t>For the three and nine months ended September 30, 2024, the Company recorded total income tax expense of $49 million and $131 million, respectively. The effective tax rate for the three and nine months ended September 30, 2024 was 20% and 19%, respectively. For the three and nine months ended September 30, 2023, the Company recorded total income tax expense of $35 million and $118 million, respectively. The effective tax rate for the three and nine months ended September 30, 2023 was 18% and 19%, respectively.</w:t>
      </w:r>
    </w:p>
    <w:p>
      <w:pPr>
        <w:spacing w:after="0" w:line="68" w:lineRule="exact"/>
        <w:rPr>
          <w:sz w:val="20"/>
          <w:szCs w:val="20"/>
          <w:color w:val="auto"/>
        </w:rPr>
      </w:pPr>
    </w:p>
    <w:p>
      <w:pPr>
        <w:ind w:right="220" w:firstLine="494"/>
        <w:spacing w:after="0" w:line="243"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85"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color w:val="auto"/>
        </w:rPr>
        <w:t>The Company continues to provide for a valuation allowance on certain of its foreign deferred tax assets. The Company has determined, based on the evaluation of both objective and subjective evidence available, that this valuation allowance is necessary and that it is more likely than not that the deferred tax assets are not fully realizable.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ACCUMULATED OTHER COMPREHENSIVE LOSS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reconcile changes in AOCL by component (net of tax,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0"/>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175"/>
              <w:spacing w:after="0" w:line="159" w:lineRule="exact"/>
              <w:rPr>
                <w:sz w:val="20"/>
                <w:szCs w:val="20"/>
                <w:color w:val="auto"/>
              </w:rPr>
            </w:pPr>
            <w:r>
              <w:rPr>
                <w:rFonts w:ascii="Arial" w:cs="Arial" w:eastAsia="Arial" w:hAnsi="Arial"/>
                <w:sz w:val="14"/>
                <w:szCs w:val="14"/>
                <w:b w:val="1"/>
                <w:bCs w:val="1"/>
                <w:color w:val="auto"/>
              </w:rPr>
              <w:t>Pension</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2"/>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rPr>
              <w:t>and OPEB</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234"/>
              <w:spacing w:after="0"/>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215"/>
              <w:spacing w:after="0"/>
              <w:rPr>
                <w:sz w:val="20"/>
                <w:szCs w:val="20"/>
                <w:color w:val="auto"/>
              </w:rPr>
            </w:pPr>
            <w:r>
              <w:rPr>
                <w:rFonts w:ascii="Arial" w:cs="Arial" w:eastAsia="Arial" w:hAnsi="Arial"/>
                <w:sz w:val="14"/>
                <w:szCs w:val="14"/>
                <w:b w:val="1"/>
                <w:bCs w:val="1"/>
                <w:color w:val="auto"/>
                <w:w w:val="99"/>
              </w:rPr>
              <w:t>liability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194"/>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234"/>
              <w:spacing w:after="0"/>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5"/>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rate swaps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items</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June 30, 2023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(42 )</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2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(7 )</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AOCL as of September 30, 2023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(47 )</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June 30, 2024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(47 )</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Other comprehensive (loss) income before reclassifications</w:t>
            </w:r>
          </w:p>
        </w:tc>
        <w:tc>
          <w:tcPr>
            <w:tcW w:w="1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4</w:t>
            </w: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(6 )</w:t>
            </w: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w:t>
            </w:r>
          </w:p>
        </w:tc>
      </w:tr>
      <w:tr>
        <w:trPr>
          <w:trHeight w:val="22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(6 )</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8</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AOCL as of September 30, 2024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(4 )</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(39 )</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(38 )</w:t>
            </w: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71"/>
        </w:trPr>
        <w:tc>
          <w:tcPr>
            <w:tcW w:w="5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60"/>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175"/>
              <w:spacing w:after="0" w:line="159" w:lineRule="exact"/>
              <w:rPr>
                <w:sz w:val="20"/>
                <w:szCs w:val="20"/>
                <w:color w:val="auto"/>
              </w:rPr>
            </w:pPr>
            <w:r>
              <w:rPr>
                <w:rFonts w:ascii="Arial" w:cs="Arial" w:eastAsia="Arial" w:hAnsi="Arial"/>
                <w:sz w:val="14"/>
                <w:szCs w:val="14"/>
                <w:b w:val="1"/>
                <w:bCs w:val="1"/>
                <w:color w:val="auto"/>
              </w:rPr>
              <w:t>Pension</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2"/>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rPr>
              <w:t>and OPEB</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234"/>
              <w:spacing w:after="0"/>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215"/>
              <w:spacing w:after="0"/>
              <w:rPr>
                <w:sz w:val="20"/>
                <w:szCs w:val="20"/>
                <w:color w:val="auto"/>
              </w:rPr>
            </w:pPr>
            <w:r>
              <w:rPr>
                <w:rFonts w:ascii="Arial" w:cs="Arial" w:eastAsia="Arial" w:hAnsi="Arial"/>
                <w:sz w:val="14"/>
                <w:szCs w:val="14"/>
                <w:b w:val="1"/>
                <w:bCs w:val="1"/>
                <w:color w:val="auto"/>
                <w:w w:val="99"/>
              </w:rPr>
              <w:t>liability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194"/>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234"/>
              <w:spacing w:after="0"/>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5"/>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rate swaps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items</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December 31, 2022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(42 )</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w:t>
            </w: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r>
      <w:tr>
        <w:trPr>
          <w:trHeight w:val="22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(10 )</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AOCL as of September 30, 2023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(47 )</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December 31, 2023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(40 )</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(31 )</w:t>
            </w: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7</w:t>
            </w: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(5 )</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(10 )</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(15 )</w:t>
            </w: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w:t>
            </w:r>
          </w:p>
        </w:tc>
      </w:tr>
      <w:tr>
        <w:trPr>
          <w:trHeight w:val="22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(6 )</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(7 )</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AOCL as of September 30, 2024</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b w:val="1"/>
                <w:bCs w:val="1"/>
                <w:color w:val="auto"/>
              </w:rPr>
              <w:t>5</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(39 )</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(38 )</w:t>
            </w: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-3621405</wp:posOffset>
            </wp:positionV>
            <wp:extent cx="939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-3621405</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-3621405</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-2705100</wp:posOffset>
            </wp:positionV>
            <wp:extent cx="939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-2705100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-2705100</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-1095375</wp:posOffset>
            </wp:positionV>
            <wp:extent cx="939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-1095375</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-1095375</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-179070</wp:posOffset>
            </wp:positionV>
            <wp:extent cx="939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-179070</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-179070</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372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Amounts reclassified from AOCL</w:t>
            </w:r>
          </w:p>
        </w:tc>
        <w:tc>
          <w:tcPr>
            <w:tcW w:w="300" w:type="dxa"/>
            <w:vAlign w:val="bottom"/>
            <w:tcBorders>
              <w:bottom w:val="single" w:sz="8" w:color="auto"/>
            </w:tcBorders>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880" w:type="dxa"/>
            <w:vAlign w:val="bottom"/>
          </w:tcPr>
          <w:p>
            <w:pPr>
              <w:spacing w:after="0"/>
              <w:rPr>
                <w:sz w:val="13"/>
                <w:szCs w:val="13"/>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3"/>
                <w:szCs w:val="13"/>
                <w:color w:val="auto"/>
              </w:rPr>
            </w:pPr>
          </w:p>
        </w:tc>
        <w:tc>
          <w:tcPr>
            <w:tcW w:w="3340" w:type="dxa"/>
            <w:vAlign w:val="bottom"/>
          </w:tcPr>
          <w:p>
            <w:pPr>
              <w:jc w:val="center"/>
              <w:ind w:left="97"/>
              <w:spacing w:after="0" w:line="159" w:lineRule="exact"/>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340" w:type="dxa"/>
            <w:vAlign w:val="bottom"/>
          </w:tcPr>
          <w:p>
            <w:pPr>
              <w:jc w:val="center"/>
              <w:ind w:left="117"/>
              <w:spacing w:after="0" w:line="149"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85"/>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AOCL Components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2024</w:t>
            </w:r>
          </w:p>
        </w:tc>
        <w:tc>
          <w:tcPr>
            <w:tcW w:w="3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tcBorders>
              <w:bottom w:val="single" w:sz="8" w:color="auto"/>
            </w:tcBorders>
          </w:tcPr>
          <w:p>
            <w:pPr>
              <w:spacing w:after="0"/>
              <w:rPr>
                <w:sz w:val="16"/>
                <w:szCs w:val="16"/>
                <w:color w:val="auto"/>
              </w:rPr>
            </w:pPr>
          </w:p>
        </w:tc>
        <w:tc>
          <w:tcPr>
            <w:tcW w:w="3340" w:type="dxa"/>
            <w:vAlign w:val="bottom"/>
          </w:tcPr>
          <w:p>
            <w:pPr>
              <w:jc w:val="center"/>
              <w:ind w:left="117"/>
              <w:spacing w:after="0"/>
              <w:rPr>
                <w:sz w:val="20"/>
                <w:szCs w:val="20"/>
                <w:color w:val="auto"/>
              </w:rPr>
            </w:pPr>
            <w:r>
              <w:rPr>
                <w:rFonts w:ascii="Arial" w:cs="Arial" w:eastAsia="Arial" w:hAnsi="Arial"/>
                <w:sz w:val="14"/>
                <w:szCs w:val="14"/>
                <w:b w:val="1"/>
                <w:bCs w:val="1"/>
                <w:color w:val="auto"/>
              </w:rPr>
              <w:t>Comprehensive Income</w:t>
            </w: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620" w:type="dxa"/>
            <w:vAlign w:val="bottom"/>
            <w:shd w:val="clear" w:color="auto" w:fill="CFF0FC"/>
          </w:tcPr>
          <w:p>
            <w:pPr>
              <w:jc w:val="right"/>
              <w:ind w:right="1419"/>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w:t>
            </w:r>
          </w:p>
        </w:tc>
        <w:tc>
          <w:tcPr>
            <w:tcW w:w="1780" w:type="dxa"/>
            <w:vAlign w:val="bottom"/>
            <w:gridSpan w:val="2"/>
            <w:shd w:val="clear" w:color="auto" w:fill="CFF0FC"/>
          </w:tcPr>
          <w:p>
            <w:pPr>
              <w:jc w:val="right"/>
              <w:ind w:right="1428"/>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3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rPr>
              <w:t>Prior service credit</w:t>
            </w:r>
          </w:p>
        </w:tc>
        <w:tc>
          <w:tcPr>
            <w:tcW w:w="162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334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Recognized actuarial gain</w:t>
            </w:r>
          </w:p>
        </w:tc>
        <w:tc>
          <w:tcPr>
            <w:tcW w:w="16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3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color w:val="auto"/>
              </w:rPr>
              <w:t>Total reclassifications, before tax</w:t>
            </w:r>
          </w:p>
        </w:tc>
        <w:tc>
          <w:tcPr>
            <w:tcW w:w="1620" w:type="dxa"/>
            <w:vAlign w:val="bottom"/>
          </w:tcPr>
          <w:p>
            <w:pPr>
              <w:jc w:val="right"/>
              <w:ind w:right="1419"/>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1780" w:type="dxa"/>
            <w:vAlign w:val="bottom"/>
            <w:gridSpan w:val="2"/>
          </w:tcPr>
          <w:p>
            <w:pPr>
              <w:jc w:val="right"/>
              <w:ind w:right="1428"/>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334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16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6"/>
              </w:rPr>
              <w:t>(1 )</w:t>
            </w:r>
          </w:p>
        </w:tc>
        <w:tc>
          <w:tcPr>
            <w:tcW w:w="18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(1 )</w:t>
            </w:r>
          </w:p>
        </w:tc>
        <w:tc>
          <w:tcPr>
            <w:tcW w:w="3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color w:val="auto"/>
              </w:rPr>
              <w:t>Total reclassifications, net of tax</w:t>
            </w:r>
          </w:p>
        </w:tc>
        <w:tc>
          <w:tcPr>
            <w:tcW w:w="1620" w:type="dxa"/>
            <w:vAlign w:val="bottom"/>
          </w:tcPr>
          <w:p>
            <w:pPr>
              <w:jc w:val="right"/>
              <w:ind w:right="1419"/>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1780" w:type="dxa"/>
            <w:vAlign w:val="bottom"/>
            <w:gridSpan w:val="2"/>
          </w:tcPr>
          <w:p>
            <w:pPr>
              <w:jc w:val="right"/>
              <w:ind w:right="1428"/>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3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21</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38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-1343660</wp:posOffset>
            </wp:positionV>
            <wp:extent cx="1111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-1343660</wp:posOffset>
            </wp:positionV>
            <wp:extent cx="1111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-1043940</wp:posOffset>
            </wp:positionV>
            <wp:extent cx="1111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-1043940</wp:posOffset>
            </wp:positionV>
            <wp:extent cx="1111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370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4"/>
                <w:szCs w:val="14"/>
                <w:b w:val="1"/>
                <w:bCs w:val="1"/>
                <w:color w:val="auto"/>
              </w:rPr>
              <w:t>Amounts reclassified from AOCL</w:t>
            </w:r>
          </w:p>
        </w:tc>
        <w:tc>
          <w:tcPr>
            <w:tcW w:w="320" w:type="dxa"/>
            <w:vAlign w:val="bottom"/>
            <w:tcBorders>
              <w:bottom w:val="single" w:sz="8" w:color="auto"/>
            </w:tcBorders>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88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3"/>
                <w:szCs w:val="13"/>
                <w:color w:val="auto"/>
              </w:rPr>
            </w:pPr>
          </w:p>
        </w:tc>
        <w:tc>
          <w:tcPr>
            <w:tcW w:w="3340" w:type="dxa"/>
            <w:vAlign w:val="bottom"/>
          </w:tcPr>
          <w:p>
            <w:pPr>
              <w:ind w:left="540"/>
              <w:spacing w:after="0" w:line="159" w:lineRule="exact"/>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ind w:left="780"/>
              <w:spacing w:after="0" w:line="149"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85"/>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AOCL Components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2024</w:t>
            </w:r>
          </w:p>
        </w:tc>
        <w:tc>
          <w:tcPr>
            <w:tcW w:w="3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2023</w:t>
            </w:r>
          </w:p>
        </w:tc>
        <w:tc>
          <w:tcPr>
            <w:tcW w:w="320" w:type="dxa"/>
            <w:vAlign w:val="bottom"/>
            <w:tcBorders>
              <w:bottom w:val="single" w:sz="8" w:color="auto"/>
            </w:tcBorders>
          </w:tcPr>
          <w:p>
            <w:pPr>
              <w:spacing w:after="0"/>
              <w:rPr>
                <w:sz w:val="16"/>
                <w:szCs w:val="16"/>
                <w:color w:val="auto"/>
              </w:rPr>
            </w:pPr>
          </w:p>
        </w:tc>
        <w:tc>
          <w:tcPr>
            <w:tcW w:w="3340" w:type="dxa"/>
            <w:vAlign w:val="bottom"/>
          </w:tcPr>
          <w:p>
            <w:pPr>
              <w:ind w:left="960"/>
              <w:spacing w:after="0"/>
              <w:rPr>
                <w:sz w:val="20"/>
                <w:szCs w:val="20"/>
                <w:color w:val="auto"/>
              </w:rPr>
            </w:pPr>
            <w:r>
              <w:rPr>
                <w:rFonts w:ascii="Arial" w:cs="Arial" w:eastAsia="Arial" w:hAnsi="Arial"/>
                <w:sz w:val="14"/>
                <w:szCs w:val="14"/>
                <w:b w:val="1"/>
                <w:bCs w:val="1"/>
                <w:color w:val="auto"/>
              </w:rPr>
              <w:t>Comprehensive Income</w:t>
            </w: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600" w:type="dxa"/>
            <w:vAlign w:val="bottom"/>
            <w:shd w:val="clear" w:color="auto" w:fill="CFF0FC"/>
          </w:tcPr>
          <w:p>
            <w:pPr>
              <w:jc w:val="right"/>
              <w:ind w:right="1399"/>
              <w:spacing w:after="0"/>
              <w:rPr>
                <w:sz w:val="20"/>
                <w:szCs w:val="20"/>
                <w:color w:val="auto"/>
              </w:rPr>
            </w:pPr>
            <w:r>
              <w:rPr>
                <w:rFonts w:ascii="Arial" w:cs="Arial" w:eastAsia="Arial" w:hAnsi="Arial"/>
                <w:sz w:val="18"/>
                <w:szCs w:val="18"/>
                <w:b w:val="1"/>
                <w:bCs w:val="1"/>
                <w:color w:val="auto"/>
                <w:w w:val="99"/>
              </w:rPr>
              <w:t>$</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10</w:t>
            </w:r>
          </w:p>
        </w:tc>
        <w:tc>
          <w:tcPr>
            <w:tcW w:w="1760" w:type="dxa"/>
            <w:vAlign w:val="bottom"/>
            <w:gridSpan w:val="2"/>
            <w:shd w:val="clear" w:color="auto" w:fill="CFF0FC"/>
          </w:tcPr>
          <w:p>
            <w:pPr>
              <w:jc w:val="right"/>
              <w:ind w:right="140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3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rPr>
              <w:t>Prior service credit</w:t>
            </w:r>
          </w:p>
        </w:tc>
        <w:tc>
          <w:tcPr>
            <w:tcW w:w="160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7</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334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Pension plan settlement loss</w:t>
            </w:r>
          </w:p>
        </w:tc>
        <w:tc>
          <w:tcPr>
            <w:tcW w:w="16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(4 )</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3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rPr>
              <w:t>Recognized actuarial gain</w:t>
            </w:r>
          </w:p>
        </w:tc>
        <w:tc>
          <w:tcPr>
            <w:tcW w:w="1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334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reclassifications, before tax</w:t>
            </w:r>
          </w:p>
        </w:tc>
        <w:tc>
          <w:tcPr>
            <w:tcW w:w="1600" w:type="dxa"/>
            <w:vAlign w:val="bottom"/>
            <w:shd w:val="clear" w:color="auto" w:fill="CFF0FC"/>
          </w:tcPr>
          <w:p>
            <w:pPr>
              <w:jc w:val="right"/>
              <w:ind w:right="1399"/>
              <w:spacing w:after="0"/>
              <w:rPr>
                <w:sz w:val="20"/>
                <w:szCs w:val="20"/>
                <w:color w:val="auto"/>
              </w:rPr>
            </w:pPr>
            <w:r>
              <w:rPr>
                <w:rFonts w:ascii="Arial" w:cs="Arial" w:eastAsia="Arial" w:hAnsi="Arial"/>
                <w:sz w:val="18"/>
                <w:szCs w:val="18"/>
                <w:b w:val="1"/>
                <w:bCs w:val="1"/>
                <w:color w:val="auto"/>
                <w:w w:val="99"/>
              </w:rPr>
              <w:t>$</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15</w:t>
            </w:r>
          </w:p>
        </w:tc>
        <w:tc>
          <w:tcPr>
            <w:tcW w:w="1760" w:type="dxa"/>
            <w:vAlign w:val="bottom"/>
            <w:gridSpan w:val="2"/>
            <w:shd w:val="clear" w:color="auto" w:fill="CFF0FC"/>
          </w:tcPr>
          <w:p>
            <w:pPr>
              <w:jc w:val="right"/>
              <w:ind w:right="140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9"/>
              </w:rPr>
              <w:t>17</w:t>
            </w:r>
          </w:p>
        </w:tc>
        <w:tc>
          <w:tcPr>
            <w:tcW w:w="3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(3 )</w:t>
            </w:r>
          </w:p>
        </w:tc>
        <w:tc>
          <w:tcPr>
            <w:tcW w:w="18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334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63"/>
        </w:trPr>
        <w:tc>
          <w:tcPr>
            <w:tcW w:w="3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reclassifications, net of tax</w:t>
            </w:r>
          </w:p>
        </w:tc>
        <w:tc>
          <w:tcPr>
            <w:tcW w:w="1600" w:type="dxa"/>
            <w:vAlign w:val="bottom"/>
            <w:tcBorders>
              <w:bottom w:val="single" w:sz="8" w:color="auto"/>
            </w:tcBorders>
            <w:shd w:val="clear" w:color="auto" w:fill="CFF0FC"/>
          </w:tcPr>
          <w:p>
            <w:pPr>
              <w:jc w:val="right"/>
              <w:ind w:right="1399"/>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12</w:t>
            </w:r>
          </w:p>
        </w:tc>
        <w:tc>
          <w:tcPr>
            <w:tcW w:w="180" w:type="dxa"/>
            <w:vAlign w:val="bottom"/>
            <w:tcBorders>
              <w:bottom w:val="single" w:sz="8" w:color="CFF0FC"/>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ind w:right="1402"/>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13</w:t>
            </w:r>
          </w:p>
        </w:tc>
        <w:tc>
          <w:tcPr>
            <w:tcW w:w="33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-24765</wp:posOffset>
            </wp:positionV>
            <wp:extent cx="1111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-7620</wp:posOffset>
            </wp:positionV>
            <wp:extent cx="1111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-24765</wp:posOffset>
            </wp:positionV>
            <wp:extent cx="1111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-7620</wp:posOffset>
            </wp:positionV>
            <wp:extent cx="1111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3" w:lineRule="exact"/>
        <w:rPr>
          <w:sz w:val="20"/>
          <w:szCs w:val="20"/>
          <w:color w:val="auto"/>
        </w:rPr>
      </w:pPr>
    </w:p>
    <w:p>
      <w:pPr>
        <w:ind w:right="460" w:firstLine="494"/>
        <w:spacing w:after="0" w:line="271" w:lineRule="auto"/>
        <w:rPr>
          <w:sz w:val="20"/>
          <w:szCs w:val="20"/>
          <w:color w:val="auto"/>
        </w:rPr>
      </w:pPr>
      <w:r>
        <w:rPr>
          <w:rFonts w:ascii="Arial" w:cs="Arial" w:eastAsia="Arial" w:hAnsi="Arial"/>
          <w:sz w:val="18"/>
          <w:szCs w:val="18"/>
          <w:color w:val="auto"/>
        </w:rPr>
        <w:t>Prior service credits, actuarial gains and pension settlement losses are included in the computation of the Company’s net periodic benefit cost (credit). See "Note M. Employee Benefit Plans” for additional details.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COMMITMENTS AND CONTINGENCIES</w:t>
      </w:r>
    </w:p>
    <w:p>
      <w:pPr>
        <w:spacing w:after="0" w:line="103" w:lineRule="exact"/>
        <w:rPr>
          <w:sz w:val="20"/>
          <w:szCs w:val="20"/>
          <w:color w:val="auto"/>
        </w:rPr>
      </w:pPr>
    </w:p>
    <w:p>
      <w:pPr>
        <w:ind w:right="220" w:firstLine="494"/>
        <w:spacing w:after="0" w:line="243"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EARNINGS PER SHARE</w:t>
      </w:r>
    </w:p>
    <w:p>
      <w:pPr>
        <w:spacing w:after="0" w:line="103" w:lineRule="exact"/>
        <w:rPr>
          <w:sz w:val="20"/>
          <w:szCs w:val="20"/>
          <w:color w:val="auto"/>
        </w:rPr>
      </w:pPr>
    </w:p>
    <w:p>
      <w:pPr>
        <w:ind w:right="180" w:firstLine="494"/>
        <w:spacing w:after="0" w:line="271" w:lineRule="auto"/>
        <w:rPr>
          <w:sz w:val="20"/>
          <w:szCs w:val="20"/>
          <w:color w:val="auto"/>
        </w:rPr>
      </w:pPr>
      <w:r>
        <w:rPr>
          <w:rFonts w:ascii="Arial" w:cs="Arial" w:eastAsia="Arial" w:hAnsi="Arial"/>
          <w:sz w:val="18"/>
          <w:szCs w:val="18"/>
          <w:color w:val="auto"/>
        </w:rPr>
        <w:t>The following table reconciles the numerators and denominators used to calculate basic EPS and diluted EPS (in millions,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18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r>
      <w:tr>
        <w:trPr>
          <w:trHeight w:val="185"/>
        </w:trPr>
        <w:tc>
          <w:tcPr>
            <w:tcW w:w="58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r>
      <w:tr>
        <w:trPr>
          <w:trHeight w:val="182"/>
        </w:trPr>
        <w:tc>
          <w:tcPr>
            <w:tcW w:w="58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FF0FC"/>
          </w:tcPr>
          <w:p>
            <w:pPr>
              <w:jc w:val="right"/>
              <w:ind w:right="557"/>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200</w:t>
            </w:r>
          </w:p>
        </w:tc>
        <w:tc>
          <w:tcPr>
            <w:tcW w:w="900" w:type="dxa"/>
            <w:vAlign w:val="bottom"/>
            <w:gridSpan w:val="2"/>
            <w:shd w:val="clear" w:color="auto" w:fill="CFF0FC"/>
          </w:tcPr>
          <w:p>
            <w:pPr>
              <w:jc w:val="right"/>
              <w:ind w:right="55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w:t>
            </w:r>
          </w:p>
        </w:tc>
        <w:tc>
          <w:tcPr>
            <w:tcW w:w="880" w:type="dxa"/>
            <w:vAlign w:val="bottom"/>
            <w:gridSpan w:val="2"/>
            <w:shd w:val="clear" w:color="auto" w:fill="CFF0FC"/>
          </w:tcPr>
          <w:p>
            <w:pPr>
              <w:jc w:val="right"/>
              <w:ind w:right="542"/>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556</w:t>
            </w:r>
          </w:p>
        </w:tc>
        <w:tc>
          <w:tcPr>
            <w:tcW w:w="880" w:type="dxa"/>
            <w:vAlign w:val="bottom"/>
            <w:gridSpan w:val="2"/>
            <w:shd w:val="clear" w:color="auto" w:fill="CFF0FC"/>
          </w:tcPr>
          <w:p>
            <w:pPr>
              <w:jc w:val="right"/>
              <w:ind w:right="539"/>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503</w:t>
            </w:r>
          </w:p>
        </w:tc>
      </w:tr>
      <w:tr>
        <w:trPr>
          <w:trHeight w:val="210"/>
        </w:trPr>
        <w:tc>
          <w:tcPr>
            <w:tcW w:w="58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shares of common stock outstanding</w:t>
            </w:r>
          </w:p>
        </w:tc>
        <w:tc>
          <w:tcPr>
            <w:tcW w:w="7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87</w:t>
            </w:r>
          </w:p>
        </w:tc>
        <w:tc>
          <w:tcPr>
            <w:tcW w:w="140" w:type="dxa"/>
            <w:vAlign w:val="bottom"/>
            <w:tcBorders>
              <w:top w:val="single" w:sz="8" w:color="CFF0FC"/>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140" w:type="dxa"/>
            <w:vAlign w:val="bottom"/>
            <w:tcBorders>
              <w:top w:val="single" w:sz="8" w:color="CFF0F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87</w:t>
            </w:r>
          </w:p>
        </w:tc>
        <w:tc>
          <w:tcPr>
            <w:tcW w:w="140" w:type="dxa"/>
            <w:vAlign w:val="bottom"/>
            <w:tcBorders>
              <w:top w:val="single" w:sz="8" w:color="CFF0F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r>
      <w:tr>
        <w:trPr>
          <w:trHeight w:val="229"/>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Dilutive effect of stock-based awards</w:t>
            </w:r>
          </w:p>
        </w:tc>
        <w:tc>
          <w:tcPr>
            <w:tcW w:w="7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5820" w:type="dxa"/>
            <w:vAlign w:val="bottom"/>
          </w:tcPr>
          <w:p>
            <w:pPr>
              <w:ind w:left="280"/>
              <w:spacing w:after="0"/>
              <w:rPr>
                <w:sz w:val="20"/>
                <w:szCs w:val="20"/>
                <w:color w:val="auto"/>
              </w:rPr>
            </w:pPr>
            <w:r>
              <w:rPr>
                <w:rFonts w:ascii="Arial" w:cs="Arial" w:eastAsia="Arial" w:hAnsi="Arial"/>
                <w:sz w:val="18"/>
                <w:szCs w:val="18"/>
                <w:color w:val="auto"/>
              </w:rPr>
              <w:t>Diluted weighted average shares of common stock outstanding</w:t>
            </w: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88</w:t>
            </w:r>
          </w:p>
        </w:tc>
        <w:tc>
          <w:tcPr>
            <w:tcW w:w="1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88</w:t>
            </w:r>
          </w:p>
        </w:tc>
        <w:tc>
          <w:tcPr>
            <w:tcW w:w="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r>
      <w:tr>
        <w:trPr>
          <w:trHeight w:val="20"/>
        </w:trPr>
        <w:tc>
          <w:tcPr>
            <w:tcW w:w="5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50"/>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760" w:type="dxa"/>
            <w:vAlign w:val="bottom"/>
            <w:tcBorders>
              <w:bottom w:val="single" w:sz="8" w:color="auto"/>
            </w:tcBorders>
            <w:shd w:val="clear" w:color="auto" w:fill="CFF0FC"/>
          </w:tcPr>
          <w:p>
            <w:pPr>
              <w:jc w:val="right"/>
              <w:ind w:right="55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2.30</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6"/>
              </w:rPr>
              <w:t>1.76</w:t>
            </w: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42"/>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6.39</w:t>
            </w: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5.53</w:t>
            </w:r>
          </w:p>
        </w:tc>
      </w:tr>
      <w:tr>
        <w:trPr>
          <w:trHeight w:val="210"/>
        </w:trPr>
        <w:tc>
          <w:tcPr>
            <w:tcW w:w="5820" w:type="dxa"/>
            <w:vAlign w:val="bottom"/>
          </w:tcPr>
          <w:p>
            <w:pPr>
              <w:ind w:left="280"/>
              <w:spacing w:after="0"/>
              <w:rPr>
                <w:sz w:val="20"/>
                <w:szCs w:val="20"/>
                <w:color w:val="auto"/>
              </w:rPr>
            </w:pPr>
            <w:r>
              <w:rPr>
                <w:rFonts w:ascii="Arial" w:cs="Arial" w:eastAsia="Arial" w:hAnsi="Arial"/>
                <w:sz w:val="18"/>
                <w:szCs w:val="18"/>
                <w:color w:val="auto"/>
              </w:rPr>
              <w:t>Diluted earnings per share attributable to common stockholders</w:t>
            </w:r>
          </w:p>
        </w:tc>
        <w:tc>
          <w:tcPr>
            <w:tcW w:w="760" w:type="dxa"/>
            <w:vAlign w:val="bottom"/>
          </w:tcPr>
          <w:p>
            <w:pPr>
              <w:jc w:val="right"/>
              <w:ind w:right="55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53"/>
              <w:spacing w:after="0"/>
              <w:rPr>
                <w:sz w:val="20"/>
                <w:szCs w:val="20"/>
                <w:color w:val="auto"/>
              </w:rPr>
            </w:pPr>
            <w:r>
              <w:rPr>
                <w:rFonts w:ascii="Arial" w:cs="Arial" w:eastAsia="Arial" w:hAnsi="Arial"/>
                <w:sz w:val="18"/>
                <w:szCs w:val="18"/>
                <w:b w:val="1"/>
                <w:bCs w:val="1"/>
                <w:color w:val="auto"/>
              </w:rPr>
              <w:t>2.27</w:t>
            </w:r>
          </w:p>
        </w:tc>
        <w:tc>
          <w:tcPr>
            <w:tcW w:w="90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1.76</w:t>
            </w:r>
          </w:p>
        </w:tc>
        <w:tc>
          <w:tcPr>
            <w:tcW w:w="880" w:type="dxa"/>
            <w:vAlign w:val="bottom"/>
            <w:gridSpan w:val="2"/>
          </w:tcPr>
          <w:p>
            <w:pPr>
              <w:jc w:val="right"/>
              <w:ind w:right="54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33"/>
              <w:spacing w:after="0"/>
              <w:rPr>
                <w:sz w:val="20"/>
                <w:szCs w:val="20"/>
                <w:color w:val="auto"/>
              </w:rPr>
            </w:pPr>
            <w:r>
              <w:rPr>
                <w:rFonts w:ascii="Arial" w:cs="Arial" w:eastAsia="Arial" w:hAnsi="Arial"/>
                <w:sz w:val="18"/>
                <w:szCs w:val="18"/>
                <w:b w:val="1"/>
                <w:bCs w:val="1"/>
                <w:color w:val="auto"/>
              </w:rPr>
              <w:t>6.32</w:t>
            </w:r>
          </w:p>
        </w:tc>
        <w:tc>
          <w:tcPr>
            <w:tcW w:w="88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5.53</w:t>
            </w:r>
          </w:p>
        </w:tc>
      </w:tr>
      <w:tr>
        <w:trPr>
          <w:trHeight w:val="20"/>
        </w:trPr>
        <w:tc>
          <w:tcPr>
            <w:tcW w:w="5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-838200</wp:posOffset>
            </wp:positionV>
            <wp:extent cx="939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-821055</wp:posOffset>
            </wp:positionV>
            <wp:extent cx="939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-838200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-821055</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-838200</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-821055</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-521970</wp:posOffset>
            </wp:positionV>
            <wp:extent cx="939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-521970</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-521970</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-196215</wp:posOffset>
            </wp:positionV>
            <wp:extent cx="939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-179070</wp:posOffset>
            </wp:positionV>
            <wp:extent cx="939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-196215</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-179070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-196215</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-179070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9" w:lineRule="exact"/>
        <w:rPr>
          <w:sz w:val="20"/>
          <w:szCs w:val="20"/>
          <w:color w:val="auto"/>
        </w:rPr>
      </w:pPr>
    </w:p>
    <w:p>
      <w:pPr>
        <w:ind w:right="100" w:firstLine="494"/>
        <w:spacing w:after="0" w:line="241" w:lineRule="auto"/>
        <w:rPr>
          <w:sz w:val="20"/>
          <w:szCs w:val="20"/>
          <w:color w:val="auto"/>
        </w:rPr>
      </w:pPr>
      <w:r>
        <w:rPr>
          <w:rFonts w:ascii="Arial" w:cs="Arial" w:eastAsia="Arial" w:hAnsi="Arial"/>
          <w:sz w:val="18"/>
          <w:szCs w:val="18"/>
          <w:color w:val="auto"/>
        </w:rPr>
        <w:t>The dilutive impact of stock-based compensation is calculated using the treasury stock method. The treasury stock method assumes that the Company uses the proceeds from the exercise of awards to repurchase common stock at the average market price during the period. For each of the three and nine months ended September 30, 2024 and 2023, there were no outstanding stock options that were anti-dilutive. Basic and diluted EPS for the full-year are calculated using the weighted average shares of common stock outstanding during the year while quarterly basic and diluted EPS are calculated using the weighted average shares of common stock outstanding during the quarter; therefore, the sum of each quarter's EPS may not equal full-year EPS.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COMMON STOCK</w:t>
      </w:r>
    </w:p>
    <w:p>
      <w:pPr>
        <w:spacing w:after="0" w:line="103" w:lineRule="exact"/>
        <w:rPr>
          <w:sz w:val="20"/>
          <w:szCs w:val="20"/>
          <w:color w:val="auto"/>
        </w:rPr>
      </w:pPr>
    </w:p>
    <w:p>
      <w:pPr>
        <w:ind w:right="140" w:firstLine="494"/>
        <w:spacing w:after="0" w:line="271" w:lineRule="auto"/>
        <w:rPr>
          <w:sz w:val="20"/>
          <w:szCs w:val="20"/>
          <w:color w:val="auto"/>
        </w:rPr>
      </w:pPr>
      <w:r>
        <w:rPr>
          <w:rFonts w:ascii="Arial" w:cs="Arial" w:eastAsia="Arial" w:hAnsi="Arial"/>
          <w:sz w:val="18"/>
          <w:szCs w:val="18"/>
          <w:color w:val="auto"/>
        </w:rPr>
        <w:t>The Company's Board of Directors has authorized the Company to repurchase up to $4,000 million of its common stock pursuant to a stock repurchase program (the "Repurchase Program"). During the three and nine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months ended September 30, 2024, the Company repurchased $51 million and $134 million, respectively, of its common stock under the Repurchase Program, leaving $639 million of authorized repurchases remaining under the Repurchase Program as of September 30, 2024. The Repurchase Program has no termination date, and the timing and amount of stock purchases are subject to market conditions and corporate needs. The Repurchase Program may be modified, suspended or discontinued at any time at the Company’s discretion.</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80" w:lineRule="exact"/>
        <w:rPr>
          <w:sz w:val="20"/>
          <w:szCs w:val="20"/>
          <w:color w:val="auto"/>
        </w:rPr>
      </w:pPr>
    </w:p>
    <w:p>
      <w:pPr>
        <w:ind w:right="20" w:firstLine="494"/>
        <w:spacing w:after="0" w:line="251"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65" w:lineRule="exact"/>
        <w:rPr>
          <w:sz w:val="20"/>
          <w:szCs w:val="20"/>
          <w:color w:val="auto"/>
        </w:rPr>
      </w:pPr>
    </w:p>
    <w:p>
      <w:pPr>
        <w:ind w:right="200" w:firstLine="494"/>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and in Part I, Item 1A "Risk Factors" in our Annual Report on Form 10-K for the year ended December 31, 2023 as filed with the Securities and Exchange Commission on February 14, 2024. Our actual results may differ materially from those contained in or implied by any forward-looking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7" w:lineRule="exact"/>
        <w:rPr>
          <w:sz w:val="20"/>
          <w:szCs w:val="20"/>
          <w:color w:val="auto"/>
        </w:rPr>
      </w:pPr>
    </w:p>
    <w:p>
      <w:pPr>
        <w:ind w:right="180" w:firstLine="494"/>
        <w:spacing w:after="0" w:line="246" w:lineRule="auto"/>
        <w:rPr>
          <w:sz w:val="20"/>
          <w:szCs w:val="20"/>
          <w:color w:val="auto"/>
        </w:rPr>
      </w:pPr>
      <w:r>
        <w:rPr>
          <w:rFonts w:ascii="Arial" w:cs="Arial" w:eastAsia="Arial" w:hAnsi="Arial"/>
          <w:sz w:val="18"/>
          <w:szCs w:val="18"/>
          <w:color w:val="auto"/>
        </w:rPr>
        <w:t>Allison Transmission Holdings, Inc. and its subsidiaries (“Allison,” the “Company,” “we,” “us” or “our”)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spacing w:after="0" w:line="68" w:lineRule="exact"/>
        <w:rPr>
          <w:sz w:val="20"/>
          <w:szCs w:val="20"/>
          <w:color w:val="auto"/>
        </w:rPr>
      </w:pPr>
    </w:p>
    <w:p>
      <w:pPr>
        <w:ind w:right="80" w:firstLine="499"/>
        <w:spacing w:after="0" w:line="252" w:lineRule="auto"/>
        <w:rPr>
          <w:sz w:val="20"/>
          <w:szCs w:val="20"/>
          <w:color w:val="auto"/>
        </w:rPr>
      </w:pPr>
      <w:r>
        <w:rPr>
          <w:rFonts w:ascii="Arial" w:cs="Arial" w:eastAsia="Arial" w:hAnsi="Arial"/>
          <w:sz w:val="18"/>
          <w:szCs w:val="18"/>
          <w:color w:val="auto"/>
        </w:rPr>
        <w:t>We have a global presence by serving customers in North America, Asia, Europe, South America, and Africa, with approximately 75% of our revenues being generated in North America in 2023. We serve customers through an independent network of approximately 1,600 independent distributor and dealer locations worldwide.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57"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color w:val="auto"/>
        </w:rPr>
        <w:t>In January 2024, the International Union, United Automobile, Aerospace and Agricultural Implement Workers of America ("UAW") Local 933 ratified a new four-year collective bargaining agreement with us that expires in November 2027. We have experienced and expect to continue to experience a significant increase in labor costs under the terms of this new agreement.</w:t>
      </w:r>
    </w:p>
    <w:p>
      <w:pPr>
        <w:spacing w:after="0" w:line="63" w:lineRule="exact"/>
        <w:rPr>
          <w:sz w:val="20"/>
          <w:szCs w:val="20"/>
          <w:color w:val="auto"/>
        </w:rPr>
      </w:pPr>
    </w:p>
    <w:p>
      <w:pPr>
        <w:ind w:right="80" w:firstLine="499"/>
        <w:spacing w:after="0" w:line="271" w:lineRule="auto"/>
        <w:rPr>
          <w:sz w:val="20"/>
          <w:szCs w:val="20"/>
          <w:color w:val="auto"/>
        </w:rPr>
      </w:pPr>
      <w:r>
        <w:rPr>
          <w:rFonts w:ascii="Arial" w:cs="Arial" w:eastAsia="Arial" w:hAnsi="Arial"/>
          <w:sz w:val="18"/>
          <w:szCs w:val="18"/>
          <w:color w:val="auto"/>
        </w:rPr>
        <w:t>In 2024, we expect higher net sales driven by price increases on certain products, increased North America On-Highway and Defense end market demand and the continued execution of growth initiatives.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Net Sales by End Market (dollars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3040" w:type="dxa"/>
            <w:vAlign w:val="bottom"/>
            <w:gridSpan w:val="6"/>
          </w:tcPr>
          <w:p>
            <w:pPr>
              <w:jc w:val="center"/>
              <w:ind w:right="52"/>
              <w:spacing w:after="0"/>
              <w:rPr>
                <w:sz w:val="20"/>
                <w:szCs w:val="20"/>
                <w:color w:val="auto"/>
              </w:rPr>
            </w:pPr>
            <w:r>
              <w:rPr>
                <w:rFonts w:ascii="Arial" w:cs="Arial" w:eastAsia="Arial" w:hAnsi="Arial"/>
                <w:sz w:val="14"/>
                <w:szCs w:val="14"/>
                <w:b w:val="1"/>
                <w:bCs w:val="1"/>
                <w:color w:val="auto"/>
              </w:rPr>
              <w:t>For the Three Months Ended September</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30,</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End Market</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Variance</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North America On-Highway</w:t>
            </w:r>
          </w:p>
        </w:tc>
        <w:tc>
          <w:tcPr>
            <w:tcW w:w="320" w:type="dxa"/>
            <w:vAlign w:val="bottom"/>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457</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376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North America Off-Highway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(89 )%</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Defense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Outside North America On-Highway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Outside North America Off-Highway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Service Parts, Support Equipment and 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w:t>
            </w:r>
          </w:p>
        </w:tc>
        <w:tc>
          <w:tcPr>
            <w:tcW w:w="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171</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(2 )%</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320" w:type="dxa"/>
            <w:vAlign w:val="bottom"/>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824</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736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-1052830</wp:posOffset>
            </wp:positionV>
            <wp:extent cx="7132320" cy="145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45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3" w:lineRule="exact"/>
        <w:rPr>
          <w:sz w:val="20"/>
          <w:szCs w:val="20"/>
          <w:color w:val="auto"/>
        </w:rPr>
      </w:pPr>
    </w:p>
    <w:p>
      <w:pPr>
        <w:ind w:right="500" w:firstLine="494"/>
        <w:spacing w:after="0" w:line="301" w:lineRule="auto"/>
        <w:rPr>
          <w:sz w:val="20"/>
          <w:szCs w:val="20"/>
          <w:color w:val="auto"/>
        </w:rPr>
      </w:pPr>
      <w:r>
        <w:rPr>
          <w:rFonts w:ascii="Arial" w:cs="Arial" w:eastAsia="Arial" w:hAnsi="Arial"/>
          <w:sz w:val="17"/>
          <w:szCs w:val="17"/>
          <w:color w:val="auto"/>
        </w:rPr>
        <w:t>North America On-Highway end market net sales were up 22% for the third quarter 2024 compared to the third quarter 2023, principally driven by strength in demand for Class 8 vocational vehicles and medium-duty trucks and price increases on certain products.</w:t>
      </w:r>
    </w:p>
    <w:p>
      <w:pPr>
        <w:spacing w:after="0" w:line="22" w:lineRule="exact"/>
        <w:rPr>
          <w:sz w:val="20"/>
          <w:szCs w:val="20"/>
          <w:color w:val="auto"/>
        </w:rPr>
      </w:pPr>
    </w:p>
    <w:p>
      <w:pPr>
        <w:ind w:right="180" w:firstLine="494"/>
        <w:spacing w:after="0" w:line="252" w:lineRule="auto"/>
        <w:rPr>
          <w:sz w:val="20"/>
          <w:szCs w:val="20"/>
          <w:color w:val="auto"/>
        </w:rPr>
      </w:pPr>
      <w:r>
        <w:rPr>
          <w:rFonts w:ascii="Arial" w:cs="Arial" w:eastAsia="Arial" w:hAnsi="Arial"/>
          <w:sz w:val="18"/>
          <w:szCs w:val="18"/>
          <w:color w:val="auto"/>
        </w:rPr>
        <w:t>Global Off-Highway net sales were down 29% for the third quarter 2024 compared to the third quarter 2023, principally driven by lower demand from the energy sector in North America and the mining and construction sectors outside of North America, partially offset by strength in demand from the energy sector outside of North America.</w:t>
      </w:r>
    </w:p>
    <w:p>
      <w:pPr>
        <w:spacing w:after="0" w:line="63" w:lineRule="exact"/>
        <w:rPr>
          <w:sz w:val="20"/>
          <w:szCs w:val="20"/>
          <w:color w:val="auto"/>
        </w:rPr>
      </w:pPr>
    </w:p>
    <w:p>
      <w:pPr>
        <w:ind w:right="820" w:firstLine="494"/>
        <w:spacing w:after="0" w:line="271" w:lineRule="auto"/>
        <w:rPr>
          <w:sz w:val="20"/>
          <w:szCs w:val="20"/>
          <w:color w:val="auto"/>
        </w:rPr>
      </w:pPr>
      <w:r>
        <w:rPr>
          <w:rFonts w:ascii="Arial" w:cs="Arial" w:eastAsia="Arial" w:hAnsi="Arial"/>
          <w:sz w:val="18"/>
          <w:szCs w:val="18"/>
          <w:color w:val="auto"/>
        </w:rPr>
        <w:t>Defense end market net sales were up 23% for the third quarter 2024 compared to the third quarter 2023, principally driven by increased demand for Tracked vehicle applications.</w:t>
      </w:r>
    </w:p>
    <w:p>
      <w:pPr>
        <w:spacing w:after="0" w:line="45" w:lineRule="exact"/>
        <w:rPr>
          <w:sz w:val="20"/>
          <w:szCs w:val="20"/>
          <w:color w:val="auto"/>
        </w:rPr>
      </w:pPr>
    </w:p>
    <w:p>
      <w:pPr>
        <w:ind w:right="360" w:firstLine="494"/>
        <w:spacing w:after="0" w:line="271" w:lineRule="auto"/>
        <w:rPr>
          <w:sz w:val="20"/>
          <w:szCs w:val="20"/>
          <w:color w:val="auto"/>
        </w:rPr>
      </w:pPr>
      <w:r>
        <w:rPr>
          <w:rFonts w:ascii="Arial" w:cs="Arial" w:eastAsia="Arial" w:hAnsi="Arial"/>
          <w:sz w:val="18"/>
          <w:szCs w:val="18"/>
          <w:color w:val="auto"/>
        </w:rPr>
        <w:t>Outside North America On-Highway end market net sales were up 7% for the third quarter 2024 compared to the third quarter 2023, principally driven by higher demand in Asia and price increases on certain products, partially offset by lower demand in Europe.</w:t>
      </w:r>
    </w:p>
    <w:p>
      <w:pPr>
        <w:spacing w:after="0" w:line="45" w:lineRule="exact"/>
        <w:rPr>
          <w:sz w:val="20"/>
          <w:szCs w:val="20"/>
          <w:color w:val="auto"/>
        </w:rPr>
      </w:pPr>
    </w:p>
    <w:p>
      <w:pPr>
        <w:ind w:right="560" w:firstLine="494"/>
        <w:spacing w:after="0" w:line="271" w:lineRule="auto"/>
        <w:rPr>
          <w:sz w:val="20"/>
          <w:szCs w:val="20"/>
          <w:color w:val="auto"/>
        </w:rPr>
      </w:pPr>
      <w:r>
        <w:rPr>
          <w:rFonts w:ascii="Arial" w:cs="Arial" w:eastAsia="Arial" w:hAnsi="Arial"/>
          <w:sz w:val="18"/>
          <w:szCs w:val="18"/>
          <w:color w:val="auto"/>
        </w:rPr>
        <w:t>Service Parts, Support Equipment and Other end market net sales were down 2% for the third quarter 2024 compared to the third quarter 2023, principally driven by lower demand for global service parts, partially offset by price increases on certain products.</w:t>
      </w:r>
    </w:p>
    <w:p>
      <w:pPr>
        <w:spacing w:after="0" w:line="9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7"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01" w:lineRule="exact"/>
        <w:rPr>
          <w:sz w:val="20"/>
          <w:szCs w:val="20"/>
          <w:color w:val="auto"/>
        </w:rPr>
      </w:pPr>
    </w:p>
    <w:p>
      <w:pPr>
        <w:ind w:right="240" w:firstLine="494"/>
        <w:spacing w:after="0" w:line="241" w:lineRule="auto"/>
        <w:rPr>
          <w:sz w:val="20"/>
          <w:szCs w:val="20"/>
          <w:color w:val="auto"/>
        </w:rPr>
      </w:pPr>
      <w:r>
        <w:rPr>
          <w:rFonts w:ascii="Arial" w:cs="Arial" w:eastAsia="Arial" w:hAnsi="Arial"/>
          <w:sz w:val="18"/>
          <w:szCs w:val="18"/>
          <w:color w:val="auto"/>
        </w:rPr>
        <w:t>We generate our net sales primarily from the sale of vehicle propulsion solutions, service and component parts, support equipment, defense kits, engineering services, royalties and extended transmission coverage to a wide array of original equipment manufacturers, distributors and the U.S. government. Sales are recorded in accordance with the terms of the contract, net of provisions for customer incentives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01"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Our primary components of cost of sales are purchased parts, the overhead expense related to our manufacturing operations and direct labor associated with the manufacture and assembly of vehicle propulsion solutions and parts. For the nine months ended September 30, 2024, direct material costs were approximately 65%, overhead costs were approximately 27%, and direct labor costs were approximately 8% of cost of sales. We are subject to changes in our cost of sales caused by movements in underlying commodity prices. We seek to hedge against this risk by using long-term agreements (“LTAs”), as appropriate. See Part I, Item 3, “Quantitative and Qualitative Disclosures about Market Risk—Commodity Price Risk” included below.</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01" w:lineRule="exact"/>
        <w:rPr>
          <w:sz w:val="20"/>
          <w:szCs w:val="20"/>
          <w:color w:val="auto"/>
        </w:rPr>
      </w:pPr>
    </w:p>
    <w:p>
      <w:pPr>
        <w:ind w:right="600" w:firstLine="494"/>
        <w:spacing w:after="0" w:line="252" w:lineRule="auto"/>
        <w:rPr>
          <w:sz w:val="20"/>
          <w:szCs w:val="20"/>
          <w:color w:val="auto"/>
        </w:rPr>
      </w:pPr>
      <w:r>
        <w:rPr>
          <w:rFonts w:ascii="Arial" w:cs="Arial" w:eastAsia="Arial" w:hAnsi="Arial"/>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01" w:lineRule="exact"/>
        <w:rPr>
          <w:sz w:val="20"/>
          <w:szCs w:val="20"/>
          <w:color w:val="auto"/>
        </w:rPr>
      </w:pPr>
    </w:p>
    <w:p>
      <w:pPr>
        <w:ind w:right="160" w:firstLine="494"/>
        <w:spacing w:after="0" w:line="271"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55"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net, income tax expense, amortization of intangible assets, depreciation of property, plant and equipment and other adjustments as defined by the Second Amended and Restated Credit Agreement dated as of March 29, 2019, as amended (the “Credit Agreement”), governing Allison Transmission, Inc.’s (“ATI”), our wholly-owned subsidiary, term loan facility in the amount of $515 million due March 2031 (“Term Loan”) and ATI’s revolving credit facility with commitments in the amount of $750 million due March 2029 ("Revolving Credit Facility" and, together with the Term Loan, the "Senior Secured Credit Facility"). Adjusted EBITDA as a percent of net sales is calculated as Adjusted EBITDA divided by net sales.</w:t>
      </w:r>
    </w:p>
    <w:p>
      <w:pPr>
        <w:spacing w:after="0" w:line="126" w:lineRule="exact"/>
        <w:rPr>
          <w:sz w:val="20"/>
          <w:szCs w:val="20"/>
          <w:color w:val="auto"/>
        </w:rPr>
      </w:pPr>
    </w:p>
    <w:p>
      <w:pPr>
        <w:ind w:right="80" w:firstLine="494"/>
        <w:spacing w:after="0"/>
        <w:rPr>
          <w:sz w:val="20"/>
          <w:szCs w:val="20"/>
          <w:color w:val="auto"/>
        </w:rPr>
      </w:pPr>
      <w:r>
        <w:rPr>
          <w:rFonts w:ascii="Arial" w:cs="Arial" w:eastAsia="Arial" w:hAnsi="Arial"/>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40" w:firstLine="494"/>
        <w:spacing w:after="0" w:line="255" w:lineRule="auto"/>
        <w:rPr>
          <w:sz w:val="20"/>
          <w:szCs w:val="20"/>
          <w:color w:val="auto"/>
        </w:rPr>
      </w:pPr>
      <w:r>
        <w:rPr>
          <w:rFonts w:ascii="Arial" w:cs="Arial" w:eastAsia="Arial" w:hAnsi="Arial"/>
          <w:sz w:val="18"/>
          <w:szCs w:val="18"/>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tbl>
      <w:tblPr>
        <w:tblLayout w:type="fixed"/>
        <w:tblInd w:w="0" w:type="dxa"/>
        <w:tblCellMar>
          <w:top w:w="0" w:type="dxa"/>
          <w:left w:w="0" w:type="dxa"/>
          <w:bottom w:w="0" w:type="dxa"/>
          <w:right w:w="0" w:type="dxa"/>
        </w:tblCellMar>
      </w:tblPr>
      <w:tr>
        <w:trPr>
          <w:trHeight w:val="150"/>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5"/>
          </w:tcPr>
          <w:p>
            <w:pPr>
              <w:jc w:val="right"/>
              <w:ind w:right="800"/>
              <w:spacing w:after="0" w:line="149" w:lineRule="exact"/>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3"/>
                <w:szCs w:val="13"/>
                <w:color w:val="auto"/>
              </w:rPr>
            </w:pPr>
          </w:p>
        </w:tc>
        <w:tc>
          <w:tcPr>
            <w:tcW w:w="2420" w:type="dxa"/>
            <w:vAlign w:val="bottom"/>
            <w:gridSpan w:val="5"/>
          </w:tcPr>
          <w:p>
            <w:pPr>
              <w:jc w:val="right"/>
              <w:ind w:right="760"/>
              <w:spacing w:after="0" w:line="149" w:lineRule="exact"/>
              <w:rPr>
                <w:sz w:val="20"/>
                <w:szCs w:val="20"/>
                <w:color w:val="auto"/>
              </w:rPr>
            </w:pPr>
            <w:r>
              <w:rPr>
                <w:rFonts w:ascii="Arial" w:cs="Arial" w:eastAsia="Arial" w:hAnsi="Arial"/>
                <w:sz w:val="14"/>
                <w:szCs w:val="14"/>
                <w:b w:val="1"/>
                <w:bCs w:val="1"/>
                <w:color w:val="auto"/>
              </w:rPr>
              <w:t>Nine Months Ended</w:t>
            </w:r>
          </w:p>
        </w:tc>
      </w:tr>
      <w:tr>
        <w:trPr>
          <w:trHeight w:val="185"/>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5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5"/>
                <w:szCs w:val="15"/>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(GAAP)</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200</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556</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503</w:t>
            </w:r>
          </w:p>
        </w:tc>
        <w:tc>
          <w:tcPr>
            <w:tcW w:w="60" w:type="dxa"/>
            <w:vAlign w:val="bottom"/>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plus: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49</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131</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26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28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82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9"/>
                <w:szCs w:val="19"/>
                <w:color w:val="auto"/>
              </w:rPr>
            </w:pP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21</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68</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9"/>
                <w:szCs w:val="19"/>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 expense (a)</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20</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UAW Local 933 contract signing incentives (b)</w:t>
            </w:r>
          </w:p>
        </w:tc>
        <w:tc>
          <w:tcPr>
            <w:tcW w:w="26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14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Unrealized (gain) loss on marketable securities (c)</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60" w:type="dxa"/>
            <w:vAlign w:val="bottom"/>
          </w:tcPr>
          <w:p>
            <w:pPr>
              <w:spacing w:after="0"/>
              <w:rPr>
                <w:sz w:val="19"/>
                <w:szCs w:val="19"/>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Pension plan settlement loss (d)</w:t>
            </w:r>
          </w:p>
        </w:tc>
        <w:tc>
          <w:tcPr>
            <w:tcW w:w="26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Unrealized loss on foreign exchange (e)</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Equity earnings in equity method investments (f)</w:t>
            </w:r>
          </w:p>
        </w:tc>
        <w:tc>
          <w:tcPr>
            <w:tcW w:w="26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Technology-related investments loss (gain) (g)</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60" w:type="dxa"/>
            <w:vAlign w:val="bottom"/>
          </w:tcPr>
          <w:p>
            <w:pPr>
              <w:spacing w:after="0"/>
              <w:rPr>
                <w:sz w:val="19"/>
                <w:szCs w:val="19"/>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Loss associated with impairment of long-lived assets</w:t>
            </w:r>
          </w:p>
        </w:tc>
        <w:tc>
          <w:tcPr>
            <w:tcW w:w="26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6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305</w:t>
            </w:r>
          </w:p>
        </w:tc>
        <w:tc>
          <w:tcPr>
            <w:tcW w:w="1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267</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895</w:t>
            </w:r>
          </w:p>
        </w:tc>
        <w:tc>
          <w:tcPr>
            <w:tcW w:w="1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831</w:t>
            </w:r>
          </w:p>
        </w:tc>
        <w:tc>
          <w:tcPr>
            <w:tcW w:w="60" w:type="dxa"/>
            <w:vAlign w:val="bottom"/>
          </w:tcPr>
          <w:p>
            <w:pPr>
              <w:spacing w:after="0"/>
              <w:rPr>
                <w:sz w:val="22"/>
                <w:szCs w:val="22"/>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Net sales (GAAP)</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824</w:t>
            </w:r>
          </w:p>
        </w:tc>
        <w:tc>
          <w:tcPr>
            <w:tcW w:w="14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736</w:t>
            </w:r>
          </w:p>
        </w:tc>
        <w:tc>
          <w:tcPr>
            <w:tcW w:w="14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2,429</w:t>
            </w:r>
          </w:p>
        </w:tc>
        <w:tc>
          <w:tcPr>
            <w:tcW w:w="14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2,260</w:t>
            </w:r>
          </w:p>
        </w:tc>
        <w:tc>
          <w:tcPr>
            <w:tcW w:w="60" w:type="dxa"/>
            <w:vAlign w:val="bottom"/>
          </w:tcPr>
          <w:p>
            <w:pPr>
              <w:spacing w:after="0"/>
              <w:rPr>
                <w:sz w:val="18"/>
                <w:szCs w:val="18"/>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Net income as a percent of net sales (GAAP)</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24.3 %</w:t>
            </w:r>
          </w:p>
        </w:tc>
        <w:tc>
          <w:tcPr>
            <w:tcW w:w="3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21.5 %</w:t>
            </w: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22.9 %</w:t>
            </w:r>
          </w:p>
        </w:tc>
        <w:tc>
          <w:tcPr>
            <w:tcW w:w="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22.3 %</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Adjusted EBITDA as a percent of net sales (Non-GAAP)</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37.0 %</w:t>
            </w:r>
          </w:p>
        </w:tc>
        <w:tc>
          <w:tcPr>
            <w:tcW w:w="3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36.3 %</w:t>
            </w: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36.8 %</w:t>
            </w:r>
          </w:p>
        </w:tc>
        <w:tc>
          <w:tcPr>
            <w:tcW w:w="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36.8 %</w:t>
            </w: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cash provided by operating activities (GAAP)</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246</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590</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546</w:t>
            </w:r>
          </w:p>
        </w:tc>
        <w:tc>
          <w:tcPr>
            <w:tcW w:w="60" w:type="dxa"/>
            <w:vAlign w:val="bottom"/>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Deductions to reconcile to Adjusted free cash flow:</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Additions of long-lived assets</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(36 )</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(30 )</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(68 )</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(73 )</w:t>
            </w:r>
          </w:p>
        </w:tc>
        <w:tc>
          <w:tcPr>
            <w:tcW w:w="60" w:type="dxa"/>
            <w:vAlign w:val="bottom"/>
          </w:tcPr>
          <w:p>
            <w:pPr>
              <w:spacing w:after="0"/>
              <w:rPr>
                <w:sz w:val="19"/>
                <w:szCs w:val="19"/>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 (Non-GAAP)</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210</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522</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473</w:t>
            </w:r>
          </w:p>
        </w:tc>
        <w:tc>
          <w:tcPr>
            <w:tcW w:w="6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-1078230</wp:posOffset>
            </wp:positionV>
            <wp:extent cx="939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-1061085</wp:posOffset>
            </wp:positionV>
            <wp:extent cx="939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-1078230</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-1061085</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-1078230</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-1061085</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-179070</wp:posOffset>
            </wp:positionV>
            <wp:extent cx="939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-179070</wp:posOffset>
            </wp:positionV>
            <wp:extent cx="857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-179070</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3" w:lineRule="exact"/>
        <w:rPr>
          <w:sz w:val="20"/>
          <w:szCs w:val="20"/>
          <w:color w:val="auto"/>
        </w:rPr>
      </w:pPr>
    </w:p>
    <w:p>
      <w:pPr>
        <w:ind w:left="640" w:right="240" w:hanging="377"/>
        <w:spacing w:after="0" w:line="24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Cost of sales, Selling, general and administrative, and Engineering — research and development).</w:t>
      </w:r>
    </w:p>
    <w:p>
      <w:pPr>
        <w:spacing w:after="0" w:line="1" w:lineRule="exact"/>
        <w:rPr>
          <w:rFonts w:ascii="Arial" w:cs="Arial" w:eastAsia="Arial" w:hAnsi="Arial"/>
          <w:sz w:val="18"/>
          <w:szCs w:val="18"/>
          <w:color w:val="auto"/>
        </w:rPr>
      </w:pPr>
    </w:p>
    <w:p>
      <w:pPr>
        <w:jc w:val="both"/>
        <w:ind w:left="640" w:right="220" w:hanging="377"/>
        <w:spacing w:after="0" w:line="23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non-recurring incentives (recorded in Cost of sales, Selling, general and administrative, and Engineering - research and development) to eligible employees as a result of UAW Local 933 represented employees ratifying a four-year collective bargaining agreement effective through November 2027.</w:t>
      </w:r>
    </w:p>
    <w:p>
      <w:pPr>
        <w:spacing w:after="0" w:line="1" w:lineRule="exact"/>
        <w:rPr>
          <w:rFonts w:ascii="Arial" w:cs="Arial" w:eastAsia="Arial" w:hAnsi="Arial"/>
          <w:sz w:val="18"/>
          <w:szCs w:val="18"/>
          <w:color w:val="auto"/>
        </w:rPr>
      </w:pPr>
    </w:p>
    <w:p>
      <w:pPr>
        <w:ind w:left="640" w:right="140" w:hanging="377"/>
        <w:spacing w:after="0" w:line="23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(gain) loss (recorded in Other income (expense), net) related to an investment in the common stock of Jing-Jin Electric Technologies Co. Ltd.</w:t>
      </w:r>
    </w:p>
    <w:p>
      <w:pPr>
        <w:ind w:left="640" w:right="60" w:hanging="377"/>
        <w:spacing w:after="0" w:line="23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non-cash settlement charge (recorded in Other income (expense), net) for a pro rata portion of previously unrecognized pension plan actuarial net losses associated with the pension risk transfer of a portion of our salaried defined benefit pension plan obligations to a third-party insurance company.</w:t>
      </w:r>
    </w:p>
    <w:p>
      <w:pPr>
        <w:spacing w:after="0" w:line="1" w:lineRule="exact"/>
        <w:rPr>
          <w:rFonts w:ascii="Arial" w:cs="Arial" w:eastAsia="Arial" w:hAnsi="Arial"/>
          <w:sz w:val="18"/>
          <w:szCs w:val="18"/>
          <w:color w:val="auto"/>
        </w:rPr>
      </w:pPr>
    </w:p>
    <w:p>
      <w:pPr>
        <w:ind w:left="640" w:hanging="377"/>
        <w:spacing w:after="0" w:line="23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losses (recorded in Other income (expense), net) on intercompany financing transactions for our India facility.</w:t>
      </w:r>
    </w:p>
    <w:p>
      <w:pPr>
        <w:ind w:left="640" w:hanging="377"/>
        <w:spacing w:after="0" w:line="23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loss (recorded in Other income (expense), net) related to equity earnings in equity method investments.</w:t>
      </w:r>
    </w:p>
    <w:p>
      <w:pPr>
        <w:ind w:left="640" w:right="160" w:hanging="377"/>
        <w:spacing w:after="0" w:line="25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loss (gain) (recorded in Other income (expense), net) related to investments in co-development agreements to expand our position in propulsion solution technologies.</w:t>
      </w:r>
    </w:p>
    <w:p>
      <w:pPr>
        <w:spacing w:after="0" w:line="11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three months ended September 30, 2024 and 2023</w:t>
      </w:r>
    </w:p>
    <w:p>
      <w:pPr>
        <w:spacing w:after="0" w:line="101" w:lineRule="exact"/>
        <w:rPr>
          <w:sz w:val="20"/>
          <w:szCs w:val="20"/>
          <w:color w:val="auto"/>
        </w:rPr>
      </w:pPr>
    </w:p>
    <w:p>
      <w:pPr>
        <w:ind w:right="60" w:firstLine="494"/>
        <w:spacing w:after="0" w:line="252" w:lineRule="auto"/>
        <w:rPr>
          <w:sz w:val="20"/>
          <w:szCs w:val="20"/>
          <w:color w:val="auto"/>
        </w:rPr>
      </w:pPr>
      <w:r>
        <w:rPr>
          <w:rFonts w:ascii="Arial" w:cs="Arial" w:eastAsia="Arial" w:hAnsi="Arial"/>
          <w:sz w:val="18"/>
          <w:szCs w:val="18"/>
          <w:color w:val="auto"/>
        </w:rPr>
        <w:t>The following table sets forth certain financial information for the three months ended September 30, 2024 and 2023. The following table and discussion should be read in conjunction with the information contained in our condensed consolidated financial statements and the notes thereto included in Part I, Item 1 of this Quarterly Report on Form 10-Q.</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Three Months Ended September 30,</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454"/>
              <w:spacing w:after="0" w:line="15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453"/>
              <w:spacing w:after="0" w:line="15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of net sales</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of net sales</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824</w:t>
            </w:r>
          </w:p>
        </w:tc>
        <w:tc>
          <w:tcPr>
            <w:tcW w:w="240" w:type="dxa"/>
            <w:vAlign w:val="bottom"/>
          </w:tcPr>
          <w:p>
            <w:pPr>
              <w:spacing w:after="0"/>
              <w:rPr>
                <w:sz w:val="19"/>
                <w:szCs w:val="19"/>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 xml:space="preserve">100 % </w:t>
            </w: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736</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w:t>
            </w:r>
          </w:p>
        </w:tc>
        <w:tc>
          <w:tcPr>
            <w:tcW w:w="2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396</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85</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Engineering — research and development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2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136</w:t>
            </w:r>
          </w:p>
        </w:tc>
        <w:tc>
          <w:tcPr>
            <w:tcW w:w="2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260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(21 )</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(2 )</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(27 )</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(2 )</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249</w:t>
            </w:r>
          </w:p>
        </w:tc>
        <w:tc>
          <w:tcPr>
            <w:tcW w:w="24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(49 )</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(6 )</w:t>
            </w: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(35 )</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240" w:type="dxa"/>
            <w:vAlign w:val="bottom"/>
          </w:tcPr>
          <w:p>
            <w:pPr>
              <w:spacing w:after="0"/>
              <w:rPr>
                <w:sz w:val="19"/>
                <w:szCs w:val="19"/>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 xml:space="preserve">24 % </w:t>
            </w: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-1960245</wp:posOffset>
            </wp:positionV>
            <wp:extent cx="7132320" cy="145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-923925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-923925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-923925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-923925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01" w:lineRule="exact"/>
        <w:rPr>
          <w:sz w:val="20"/>
          <w:szCs w:val="20"/>
          <w:color w:val="auto"/>
        </w:rPr>
      </w:pPr>
    </w:p>
    <w:p>
      <w:pPr>
        <w:ind w:right="80" w:firstLine="494"/>
        <w:spacing w:after="0" w:line="238" w:lineRule="auto"/>
        <w:rPr>
          <w:sz w:val="20"/>
          <w:szCs w:val="20"/>
          <w:color w:val="auto"/>
        </w:rPr>
      </w:pPr>
      <w:r>
        <w:rPr>
          <w:rFonts w:ascii="Arial" w:cs="Arial" w:eastAsia="Arial" w:hAnsi="Arial"/>
          <w:sz w:val="18"/>
          <w:szCs w:val="18"/>
          <w:color w:val="auto"/>
        </w:rPr>
        <w:t>Net sales for the quarter ended September 30, 2024 were $824 million compared to $736 million for the quarter ended September 30, 2023, an increase of 12%. The increase was principally driven by an $81 million, or 22%, increase in net sales in the North America On-Highway end market principally driven by strength in demand for Class 8 vocational vehicles and medium-duty trucks and price increases on certain products, a $10 million, or 23%, increase in net sales in the Defense end market principally driven by increased demand for Tracked vehicle applications and an $8 million, or 7%, increase in net sales in the Outside North America On-Highway end market principally driven by higher demand in Asia and price increases on certain products, partially offset by lower demand in Europe, partially offset by an $8 million, or 29%, decrease in Global Off-Highway net sales principally driven by lower demand from the energy sector in North America and the mining and construction sectors outside of North America, partially offset by strength in demand from the energy sector outside of North America, and a $3 million, or 2%, decrease in net sales in the Service Parts, Support Equipment and Other end market principally driven by lower demand for global service parts, partially offset by price increases on certain products.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01" w:lineRule="exact"/>
        <w:rPr>
          <w:sz w:val="20"/>
          <w:szCs w:val="20"/>
          <w:color w:val="auto"/>
        </w:rPr>
      </w:pPr>
    </w:p>
    <w:p>
      <w:pPr>
        <w:jc w:val="both"/>
        <w:ind w:right="220" w:firstLine="494"/>
        <w:spacing w:after="0" w:line="252" w:lineRule="auto"/>
        <w:rPr>
          <w:sz w:val="20"/>
          <w:szCs w:val="20"/>
          <w:color w:val="auto"/>
        </w:rPr>
      </w:pPr>
      <w:r>
        <w:rPr>
          <w:rFonts w:ascii="Arial" w:cs="Arial" w:eastAsia="Arial" w:hAnsi="Arial"/>
          <w:sz w:val="18"/>
          <w:szCs w:val="18"/>
          <w:color w:val="auto"/>
        </w:rPr>
        <w:t>Cost of sales for the quarter ended September 30, 2024 was $428 million compared to $379 million for the quarter ended September 30, 2023, an increase of 13%. The increase was principally driven by higher direct material and manufacturing expense commensurate with increased net sales and higher manufacturing expense.</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01" w:lineRule="exact"/>
        <w:rPr>
          <w:sz w:val="20"/>
          <w:szCs w:val="20"/>
          <w:color w:val="auto"/>
        </w:rPr>
      </w:pPr>
    </w:p>
    <w:p>
      <w:pPr>
        <w:ind w:right="60" w:firstLine="494"/>
        <w:spacing w:after="0" w:line="243" w:lineRule="auto"/>
        <w:rPr>
          <w:sz w:val="20"/>
          <w:szCs w:val="20"/>
          <w:color w:val="auto"/>
        </w:rPr>
      </w:pPr>
      <w:r>
        <w:rPr>
          <w:rFonts w:ascii="Arial" w:cs="Arial" w:eastAsia="Arial" w:hAnsi="Arial"/>
          <w:sz w:val="18"/>
          <w:szCs w:val="18"/>
          <w:color w:val="auto"/>
        </w:rPr>
        <w:t>Gross profit for the quarter ended September 30, 2024 was $396 million compared to $ 357 million for the quarter ended September 30, 2023, an increase of 11%. The increase was principally driven by $40 million of increased net sales and $ 24 million of price increases on certain products, partially offset by $23 million of higher manufacturing expense. Gross profit as a percent of net sales for the three months ended September 30, 2024 decreased 40 basis points compared to the same period in 2023 principally driven by increased cost of sales, partially offset by increased net sales and price increases on certain products.</w:t>
      </w:r>
    </w:p>
    <w:p>
      <w:pPr>
        <w:spacing w:after="0" w:line="1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01" w:lineRule="exact"/>
        <w:rPr>
          <w:sz w:val="20"/>
          <w:szCs w:val="20"/>
          <w:color w:val="auto"/>
        </w:rPr>
      </w:pPr>
    </w:p>
    <w:p>
      <w:pPr>
        <w:ind w:right="140" w:firstLine="494"/>
        <w:spacing w:after="0" w:line="252" w:lineRule="auto"/>
        <w:rPr>
          <w:sz w:val="20"/>
          <w:szCs w:val="20"/>
          <w:color w:val="auto"/>
        </w:rPr>
      </w:pPr>
      <w:r>
        <w:rPr>
          <w:rFonts w:ascii="Arial" w:cs="Arial" w:eastAsia="Arial" w:hAnsi="Arial"/>
          <w:sz w:val="18"/>
          <w:szCs w:val="18"/>
          <w:color w:val="auto"/>
        </w:rPr>
        <w:t>Selling, general and administrative expenses for the quarter ended September 30, 2024 were $85 million compared to $86 million for the quarter ended September 30, 2023, a decrease of 1%. The decrease was principally driven by lower intangible amortization expense, partially offset by increased commercial activities spending and higher incentive compensation expense.</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01" w:lineRule="exact"/>
        <w:rPr>
          <w:sz w:val="20"/>
          <w:szCs w:val="20"/>
          <w:color w:val="auto"/>
        </w:rPr>
      </w:pPr>
    </w:p>
    <w:p>
      <w:pPr>
        <w:ind w:right="460" w:firstLine="494"/>
        <w:spacing w:after="0" w:line="271" w:lineRule="auto"/>
        <w:rPr>
          <w:sz w:val="20"/>
          <w:szCs w:val="20"/>
          <w:color w:val="auto"/>
        </w:rPr>
      </w:pPr>
      <w:r>
        <w:rPr>
          <w:rFonts w:ascii="Arial" w:cs="Arial" w:eastAsia="Arial" w:hAnsi="Arial"/>
          <w:sz w:val="18"/>
          <w:szCs w:val="18"/>
          <w:color w:val="auto"/>
        </w:rPr>
        <w:t>Engineering expenses for the quarter ended September 30, 2024 were $51 million compared to $49 million for the quarter ended September 30, 2023, an increase of 4%.</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01" w:lineRule="exact"/>
        <w:rPr>
          <w:sz w:val="20"/>
          <w:szCs w:val="20"/>
          <w:color w:val="auto"/>
        </w:rPr>
      </w:pPr>
    </w:p>
    <w:p>
      <w:pPr>
        <w:ind w:right="160" w:firstLine="494"/>
        <w:spacing w:after="0" w:line="252" w:lineRule="auto"/>
        <w:rPr>
          <w:sz w:val="20"/>
          <w:szCs w:val="20"/>
          <w:color w:val="auto"/>
        </w:rPr>
      </w:pPr>
      <w:r>
        <w:rPr>
          <w:rFonts w:ascii="Arial" w:cs="Arial" w:eastAsia="Arial" w:hAnsi="Arial"/>
          <w:sz w:val="18"/>
          <w:szCs w:val="18"/>
          <w:color w:val="auto"/>
        </w:rPr>
        <w:t>Interest expense, net for the quarter ended September 30, 2024 was $21 million compared to $27 million for the quarter ended September 30, 2023, a decrease of 22%. The decrease was principally driven by higher interest income on cash and cash equivalents and lower interest expense on ATI's Term Loan due primarily to the repayment of $101 million of principal in the first quarter of 2024.</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1"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color w:val="auto"/>
        </w:rPr>
        <w:t>Other income (expense), net for the quarter ended September 30, 2024 was $10 million compared to ($2) million for the quarter ended September 30, 2023. The change was principally driven by $7 million of favorable foreign exchange and a $4 million change in unrealized mark-to-market adjustments for marketable securities.</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1" w:lineRule="exact"/>
        <w:rPr>
          <w:sz w:val="20"/>
          <w:szCs w:val="20"/>
          <w:color w:val="auto"/>
        </w:rPr>
      </w:pPr>
    </w:p>
    <w:p>
      <w:pPr>
        <w:ind w:right="540" w:firstLine="494"/>
        <w:spacing w:after="0" w:line="252" w:lineRule="auto"/>
        <w:rPr>
          <w:sz w:val="20"/>
          <w:szCs w:val="20"/>
          <w:color w:val="auto"/>
        </w:rPr>
      </w:pPr>
      <w:r>
        <w:rPr>
          <w:rFonts w:ascii="Arial" w:cs="Arial" w:eastAsia="Arial" w:hAnsi="Arial"/>
          <w:sz w:val="18"/>
          <w:szCs w:val="18"/>
          <w:color w:val="auto"/>
        </w:rPr>
        <w:t>Income tax expense for the three months ended September 30, 2024 was $49 million, resulting in an effective tax rate of 20%, compared to $35 million of income tax expense and an effective tax rate of 18% for the three months ended September 30, 2023. The increases in income tax expense and the effective tax rate were principally driven by higher taxable income.</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nine months ended September 30, 2024 and 2023</w:t>
      </w:r>
    </w:p>
    <w:p>
      <w:pPr>
        <w:spacing w:after="0" w:line="101" w:lineRule="exact"/>
        <w:rPr>
          <w:sz w:val="20"/>
          <w:szCs w:val="20"/>
          <w:color w:val="auto"/>
        </w:rPr>
      </w:pPr>
    </w:p>
    <w:p>
      <w:pPr>
        <w:ind w:right="60" w:firstLine="494"/>
        <w:spacing w:after="0" w:line="252" w:lineRule="auto"/>
        <w:rPr>
          <w:sz w:val="20"/>
          <w:szCs w:val="20"/>
          <w:color w:val="auto"/>
        </w:rPr>
      </w:pPr>
      <w:r>
        <w:rPr>
          <w:rFonts w:ascii="Arial" w:cs="Arial" w:eastAsia="Arial" w:hAnsi="Arial"/>
          <w:sz w:val="18"/>
          <w:szCs w:val="18"/>
          <w:color w:val="auto"/>
        </w:rPr>
        <w:t>The following table sets forth certain financial information for the nine months ended September 30, 2024 and 2023. The following table and discussion should be read in conjunction with the information contained in our condensed consolidated financial statements and the notes thereto included in Part I, Item 1 of this Quarterly Report on Form 10-Q.</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0"/>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gridSpan w:val="2"/>
          </w:tcPr>
          <w:p>
            <w:pPr>
              <w:jc w:val="right"/>
              <w:ind w:right="555"/>
              <w:spacing w:after="0" w:line="15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80" w:type="dxa"/>
            <w:vAlign w:val="bottom"/>
            <w:gridSpan w:val="2"/>
          </w:tcPr>
          <w:p>
            <w:pPr>
              <w:jc w:val="right"/>
              <w:ind w:right="553"/>
              <w:spacing w:after="0" w:line="15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r>
      <w:tr>
        <w:trPr>
          <w:trHeight w:val="185"/>
        </w:trPr>
        <w:tc>
          <w:tcPr>
            <w:tcW w:w="5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of net sales</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of net sales</w:t>
            </w:r>
          </w:p>
        </w:tc>
        <w:tc>
          <w:tcPr>
            <w:tcW w:w="60" w:type="dxa"/>
            <w:vAlign w:val="bottom"/>
          </w:tcPr>
          <w:p>
            <w:pPr>
              <w:spacing w:after="0"/>
              <w:rPr>
                <w:sz w:val="16"/>
                <w:szCs w:val="16"/>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2,429</w:t>
            </w:r>
          </w:p>
        </w:tc>
        <w:tc>
          <w:tcPr>
            <w:tcW w:w="18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 xml:space="preserve">100 % </w:t>
            </w: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2,260</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1,273</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52</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9"/>
                <w:szCs w:val="19"/>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1,156</w:t>
            </w:r>
          </w:p>
        </w:tc>
        <w:tc>
          <w:tcPr>
            <w:tcW w:w="142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48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1,099</w:t>
            </w:r>
          </w:p>
        </w:tc>
        <w:tc>
          <w:tcPr>
            <w:tcW w:w="1380" w:type="dxa"/>
            <w:vAlign w:val="bottom"/>
            <w:gridSpan w:val="2"/>
            <w:shd w:val="clear" w:color="auto" w:fill="CFF0FC"/>
          </w:tcPr>
          <w:p>
            <w:pPr>
              <w:jc w:val="right"/>
              <w:ind w:right="33"/>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253</w:t>
            </w:r>
          </w:p>
        </w:tc>
        <w:tc>
          <w:tcPr>
            <w:tcW w:w="142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11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265</w:t>
            </w:r>
          </w:p>
        </w:tc>
        <w:tc>
          <w:tcPr>
            <w:tcW w:w="1380" w:type="dxa"/>
            <w:vAlign w:val="bottom"/>
            <w:gridSpan w:val="2"/>
            <w:shd w:val="clear" w:color="auto" w:fill="CFF0FC"/>
          </w:tcPr>
          <w:p>
            <w:pPr>
              <w:jc w:val="right"/>
              <w:ind w:right="33"/>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Engineering — research and development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146</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r>
      <w:tr>
        <w:trPr>
          <w:trHeight w:val="223"/>
        </w:trPr>
        <w:tc>
          <w:tcPr>
            <w:tcW w:w="58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399</w:t>
            </w:r>
          </w:p>
        </w:tc>
        <w:tc>
          <w:tcPr>
            <w:tcW w:w="1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17</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757</w:t>
            </w:r>
          </w:p>
        </w:tc>
        <w:tc>
          <w:tcPr>
            <w:tcW w:w="1420" w:type="dxa"/>
            <w:vAlign w:val="bottom"/>
            <w:gridSpan w:val="2"/>
          </w:tcPr>
          <w:p>
            <w:pPr>
              <w:jc w:val="right"/>
              <w:ind w:right="35"/>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694</w:t>
            </w:r>
          </w:p>
        </w:tc>
        <w:tc>
          <w:tcPr>
            <w:tcW w:w="1380" w:type="dxa"/>
            <w:vAlign w:val="bottom"/>
            <w:gridSpan w:val="2"/>
          </w:tcPr>
          <w:p>
            <w:pPr>
              <w:jc w:val="right"/>
              <w:ind w:right="33"/>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(68 )</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(83 )</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60" w:type="dxa"/>
            <w:vAlign w:val="bottom"/>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687</w:t>
            </w:r>
          </w:p>
        </w:tc>
        <w:tc>
          <w:tcPr>
            <w:tcW w:w="142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28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621</w:t>
            </w:r>
          </w:p>
        </w:tc>
        <w:tc>
          <w:tcPr>
            <w:tcW w:w="1380" w:type="dxa"/>
            <w:vAlign w:val="bottom"/>
            <w:gridSpan w:val="2"/>
            <w:shd w:val="clear" w:color="auto" w:fill="CFF0FC"/>
          </w:tcPr>
          <w:p>
            <w:pPr>
              <w:jc w:val="right"/>
              <w:ind w:right="33"/>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(131 )</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(5 )</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60" w:type="dxa"/>
            <w:vAlign w:val="bottom"/>
          </w:tcPr>
          <w:p>
            <w:pPr>
              <w:spacing w:after="0"/>
              <w:rPr>
                <w:sz w:val="19"/>
                <w:szCs w:val="19"/>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556</w:t>
            </w:r>
          </w:p>
        </w:tc>
        <w:tc>
          <w:tcPr>
            <w:tcW w:w="18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 xml:space="preserve">23 % </w:t>
            </w: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503</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22 %</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-1960245</wp:posOffset>
            </wp:positionV>
            <wp:extent cx="7132320" cy="145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-923925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-923925</wp:posOffset>
            </wp:positionV>
            <wp:extent cx="85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-923925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01" w:lineRule="exact"/>
        <w:rPr>
          <w:sz w:val="20"/>
          <w:szCs w:val="20"/>
          <w:color w:val="auto"/>
        </w:rPr>
      </w:pPr>
    </w:p>
    <w:p>
      <w:pPr>
        <w:ind w:right="80" w:firstLine="494"/>
        <w:spacing w:after="0" w:line="254" w:lineRule="auto"/>
        <w:rPr>
          <w:sz w:val="20"/>
          <w:szCs w:val="20"/>
          <w:color w:val="auto"/>
        </w:rPr>
      </w:pPr>
      <w:r>
        <w:rPr>
          <w:rFonts w:ascii="Arial" w:cs="Arial" w:eastAsia="Arial" w:hAnsi="Arial"/>
          <w:sz w:val="17"/>
          <w:szCs w:val="17"/>
          <w:color w:val="auto"/>
        </w:rPr>
        <w:t>Net sales for the nine months ended September 30, 2024 were $2,429 million compared to $2,260 million for the nine months ended September 30, 2023, an increase of 7%. The increase was principally driven by a $184 million, or 16%, increase in net sales in the North America On-Highway end market principally driven by strength in demand for Class 8 vocational and medium-duty trucks and price increases on certain products, a $41 million, or 40%, increase in net sales in the Defense end market principally driven by increased demand for Tracked vehicle applications and a $20 million, or 6%, increase in net sales in the Outside North America On-Highway end market principally driven by higher demand in Asia and price increases on certain products, partially offset by lower demand in Europe, partially offset by a $41 million, or 8%, decrease in net sales in the Service Parts, Support Equipment and Other end market principally driven by lower demand for North America service parts and aluminum die cast components, partially offset by price increases on certain products and a $35 million, or 28%, decrease in Global Off-Highway net sales principally driven by lower demand from the energy sector in North America and the mining and construction sectors outside of North America, partially offset by strength in demand from the energy sector outside of North America.</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01" w:lineRule="exact"/>
        <w:rPr>
          <w:sz w:val="20"/>
          <w:szCs w:val="20"/>
          <w:color w:val="auto"/>
        </w:rPr>
      </w:pPr>
    </w:p>
    <w:p>
      <w:pPr>
        <w:ind w:right="60" w:firstLine="494"/>
        <w:spacing w:after="0" w:line="246" w:lineRule="auto"/>
        <w:rPr>
          <w:sz w:val="20"/>
          <w:szCs w:val="20"/>
          <w:color w:val="auto"/>
        </w:rPr>
      </w:pPr>
      <w:r>
        <w:rPr>
          <w:rFonts w:ascii="Arial" w:cs="Arial" w:eastAsia="Arial" w:hAnsi="Arial"/>
          <w:sz w:val="18"/>
          <w:szCs w:val="18"/>
          <w:color w:val="auto"/>
        </w:rPr>
        <w:t>Cost of sales for the nine months ended September 30, 2024 was $1,273 million compared to $1,161 million for the nine months ended September 30, 2023, an increase of 10%. The increase was principally driven by higher direct material and manufacturing expense commensurate with increased net sales and higher manufacturing expense, including $13 million of non-recurring UAW contract signing incentives.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01" w:lineRule="exact"/>
        <w:rPr>
          <w:sz w:val="20"/>
          <w:szCs w:val="20"/>
          <w:color w:val="auto"/>
        </w:rPr>
      </w:pPr>
    </w:p>
    <w:p>
      <w:pPr>
        <w:ind w:right="180" w:firstLine="494"/>
        <w:spacing w:after="0" w:line="243" w:lineRule="auto"/>
        <w:rPr>
          <w:sz w:val="20"/>
          <w:szCs w:val="20"/>
          <w:color w:val="auto"/>
        </w:rPr>
      </w:pPr>
      <w:r>
        <w:rPr>
          <w:rFonts w:ascii="Arial" w:cs="Arial" w:eastAsia="Arial" w:hAnsi="Arial"/>
          <w:sz w:val="18"/>
          <w:szCs w:val="18"/>
          <w:color w:val="auto"/>
        </w:rPr>
        <w:t>Gross profit for the nine months ended September 30, 2024 was $1,156 million compared to $1,099 million for the nine months ended September 30, 2023, an increase of 5%. The increase was principally driven by $64 million related to increased net sales and $59 million of price increases on certain products, partially offset by $60 million of higher manufacturing expense, including $ 13 million of non-recurring UAW contract signing incentives, and $6 million of higher direct material costs. Gross profit as a percent of net sales for the nine months ended</w:t>
      </w:r>
    </w:p>
    <w:p>
      <w:pPr>
        <w:spacing w:after="0" w:line="1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September 30, 2024 decreased 100 basis points compared to the same period in 2023 principally driven by increased cost of sales, including $13 million of non-recurring UAW contract signing incentives, partially offset by increased net sales and price increases on certain products.</w:t>
      </w:r>
    </w:p>
    <w:p>
      <w:pPr>
        <w:spacing w:after="0" w:line="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01" w:lineRule="exact"/>
        <w:rPr>
          <w:sz w:val="20"/>
          <w:szCs w:val="20"/>
          <w:color w:val="auto"/>
        </w:rPr>
      </w:pPr>
    </w:p>
    <w:p>
      <w:pPr>
        <w:ind w:right="380" w:firstLine="494"/>
        <w:spacing w:after="0" w:line="252" w:lineRule="auto"/>
        <w:rPr>
          <w:sz w:val="20"/>
          <w:szCs w:val="20"/>
          <w:color w:val="auto"/>
        </w:rPr>
      </w:pPr>
      <w:r>
        <w:rPr>
          <w:rFonts w:ascii="Arial" w:cs="Arial" w:eastAsia="Arial" w:hAnsi="Arial"/>
          <w:sz w:val="18"/>
          <w:szCs w:val="18"/>
          <w:color w:val="auto"/>
        </w:rPr>
        <w:t>Selling, general and administrative expenses for the nine months ended September 30, 2024 were $253 million compared to $265 million for the nine months ended September 30, 2023, a decrease of 5%. The decrease was principally driven by lower intangible amortization expense, partially offset by increased commercial activities spending.</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01" w:lineRule="exact"/>
        <w:rPr>
          <w:sz w:val="20"/>
          <w:szCs w:val="20"/>
          <w:color w:val="auto"/>
        </w:rPr>
      </w:pPr>
    </w:p>
    <w:p>
      <w:pPr>
        <w:ind w:right="20" w:firstLine="494"/>
        <w:spacing w:after="0" w:line="271" w:lineRule="auto"/>
        <w:rPr>
          <w:sz w:val="20"/>
          <w:szCs w:val="20"/>
          <w:color w:val="auto"/>
        </w:rPr>
      </w:pPr>
      <w:r>
        <w:rPr>
          <w:rFonts w:ascii="Arial" w:cs="Arial" w:eastAsia="Arial" w:hAnsi="Arial"/>
          <w:sz w:val="18"/>
          <w:szCs w:val="18"/>
          <w:color w:val="auto"/>
        </w:rPr>
        <w:t>Engineering expenses for the nine months ended September 30, 2024 were $146 million compared to $140 million for the nine months ended September 30, 2023, an increase of 4%. The increase was principally driven by increased product initiatives spending.</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01" w:lineRule="exact"/>
        <w:rPr>
          <w:sz w:val="20"/>
          <w:szCs w:val="20"/>
          <w:color w:val="auto"/>
        </w:rPr>
      </w:pPr>
    </w:p>
    <w:p>
      <w:pPr>
        <w:ind w:firstLine="494"/>
        <w:spacing w:after="0" w:line="274" w:lineRule="auto"/>
        <w:rPr>
          <w:sz w:val="20"/>
          <w:szCs w:val="20"/>
          <w:color w:val="auto"/>
        </w:rPr>
      </w:pPr>
      <w:r>
        <w:rPr>
          <w:rFonts w:ascii="Arial" w:cs="Arial" w:eastAsia="Arial" w:hAnsi="Arial"/>
          <w:sz w:val="17"/>
          <w:szCs w:val="17"/>
          <w:color w:val="auto"/>
        </w:rPr>
        <w:t>Interest expense, net for the nine months ended September 30, 2024 was $68 million compared to $83 million for the nine months ended September 30, 2023, a decrease of 18%. The decrease was principally driven by higher interest income on cash and cash equivalents and lower interest expense on ATI's Term Loan due primarily to the repayment of $101 million of principal in the first quarter of 2024.</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01" w:lineRule="exact"/>
        <w:rPr>
          <w:sz w:val="20"/>
          <w:szCs w:val="20"/>
          <w:color w:val="auto"/>
        </w:rPr>
      </w:pPr>
    </w:p>
    <w:p>
      <w:pPr>
        <w:ind w:right="140" w:firstLine="494"/>
        <w:spacing w:after="0" w:line="246" w:lineRule="auto"/>
        <w:rPr>
          <w:sz w:val="20"/>
          <w:szCs w:val="20"/>
          <w:color w:val="auto"/>
        </w:rPr>
      </w:pPr>
      <w:r>
        <w:rPr>
          <w:rFonts w:ascii="Arial" w:cs="Arial" w:eastAsia="Arial" w:hAnsi="Arial"/>
          <w:sz w:val="18"/>
          <w:szCs w:val="18"/>
          <w:color w:val="auto"/>
        </w:rPr>
        <w:t>Other (expense) income, net for the nine months ended September 30, 2024 was ($2) million compared to $10 million for the nine months ended September 30, 2023. The change was principally driven by a $9 million change in unrealized mark-to-market adjustments for marketable securities, a $4 million change in technology-related investments gains and losses and a $4 million non-cash defined benefit pension plan settlement charge, partially offset by $5 million of favorable foreign exchange.</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1" w:lineRule="exact"/>
        <w:rPr>
          <w:sz w:val="20"/>
          <w:szCs w:val="20"/>
          <w:color w:val="auto"/>
        </w:rPr>
      </w:pPr>
    </w:p>
    <w:p>
      <w:pPr>
        <w:ind w:right="560" w:firstLine="494"/>
        <w:spacing w:after="0" w:line="252" w:lineRule="auto"/>
        <w:rPr>
          <w:sz w:val="20"/>
          <w:szCs w:val="20"/>
          <w:color w:val="auto"/>
        </w:rPr>
      </w:pPr>
      <w:r>
        <w:rPr>
          <w:rFonts w:ascii="Arial" w:cs="Arial" w:eastAsia="Arial" w:hAnsi="Arial"/>
          <w:sz w:val="18"/>
          <w:szCs w:val="18"/>
          <w:color w:val="auto"/>
        </w:rPr>
        <w:t>Income tax expense for the nine months ended September 30, 2024 was $ 131 million, resulting in an effective tax rate of 19%, compared to $118 million of income tax expense and an effective tax rate of 19% for the nine months ended September 30, 2023. The increase in income tax expense was principally driven by higher taxable income.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3"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We generate cash primarily from our operations to fund our operating, investing and financing activities. Our principal uses of cash are operating expenses, capital expenditures, working capital needs, debt service, dividends on common stock, stock repurchases and strategic growth initiatives, including investments, acquisitions and collaborations. Our ability to generate cash in the future and our future uses of cash are subject to general economic, financial, competitive, legislative, regulatory and other factors that may be beyond our control. We had total available cash and cash equivalents of $788 million and $555 million as of September 30, 2024 and December 31, 2023, respectively. Of the available cash and cash equivalents, $200 million was deposited in operating accounts and $588 million was invested in U.S. government backed securities and time deposits as of September 30, 2024, compared to $134 million deposited in operating accounts and $421 million invested in U.S. government backed securities as of December 31, 2023.</w:t>
      </w:r>
    </w:p>
    <w:p>
      <w:pPr>
        <w:spacing w:after="0" w:line="77" w:lineRule="exact"/>
        <w:rPr>
          <w:sz w:val="20"/>
          <w:szCs w:val="20"/>
          <w:color w:val="auto"/>
        </w:rPr>
      </w:pPr>
    </w:p>
    <w:p>
      <w:pPr>
        <w:ind w:right="140" w:firstLine="494"/>
        <w:spacing w:after="0" w:line="243" w:lineRule="auto"/>
        <w:rPr>
          <w:sz w:val="20"/>
          <w:szCs w:val="20"/>
          <w:color w:val="auto"/>
        </w:rPr>
      </w:pPr>
      <w:r>
        <w:rPr>
          <w:rFonts w:ascii="Arial" w:cs="Arial" w:eastAsia="Arial" w:hAnsi="Arial"/>
          <w:sz w:val="18"/>
          <w:szCs w:val="18"/>
          <w:color w:val="auto"/>
        </w:rPr>
        <w:t>As of September 30, 2024, the total of cash held by foreign subsidiaries was $70 million, the majority of which was at our subsidiaries located in China, Japan, India, Hungary and the Netherlands. We manage our worldwide cash requirements considering available funds among the subsidiaries through which we conduct our business and the cost effectiveness with which those funds can be accessed. As a result, we do not currently anticipate that local liquidity restrictions will preclude us from funding our targeted initiatives or operating needs with local resources.</w:t>
      </w:r>
    </w:p>
    <w:p>
      <w:pPr>
        <w:spacing w:after="0" w:line="125" w:lineRule="exact"/>
        <w:rPr>
          <w:sz w:val="20"/>
          <w:szCs w:val="20"/>
          <w:color w:val="auto"/>
        </w:rPr>
      </w:pPr>
    </w:p>
    <w:p>
      <w:pPr>
        <w:ind w:right="20" w:firstLine="494"/>
        <w:spacing w:after="0" w:line="243" w:lineRule="auto"/>
        <w:rPr>
          <w:sz w:val="20"/>
          <w:szCs w:val="20"/>
          <w:color w:val="auto"/>
        </w:rPr>
      </w:pPr>
      <w:r>
        <w:rPr>
          <w:rFonts w:ascii="Arial" w:cs="Arial" w:eastAsia="Arial" w:hAnsi="Arial"/>
          <w:sz w:val="18"/>
          <w:szCs w:val="18"/>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spacing w:after="0" w:line="125" w:lineRule="exact"/>
        <w:rPr>
          <w:sz w:val="20"/>
          <w:szCs w:val="20"/>
          <w:color w:val="auto"/>
        </w:rPr>
      </w:pPr>
    </w:p>
    <w:p>
      <w:pPr>
        <w:ind w:right="140" w:firstLine="494"/>
        <w:spacing w:after="0" w:line="239" w:lineRule="auto"/>
        <w:rPr>
          <w:sz w:val="20"/>
          <w:szCs w:val="20"/>
          <w:color w:val="auto"/>
        </w:rPr>
      </w:pPr>
      <w:r>
        <w:rPr>
          <w:rFonts w:ascii="Arial" w:cs="Arial" w:eastAsia="Arial" w:hAnsi="Arial"/>
          <w:sz w:val="18"/>
          <w:szCs w:val="18"/>
          <w:color w:val="auto"/>
        </w:rPr>
        <w:t>Our liquidity requirements are significant, primarily due to our debt service requirements. As of September 30, 2024, we had $515 million of indebtedness associated with ATI’s Term Loan, $400 million of indebtedness associated with ATI’s 4.75% Senior Notes due October 2027 (“4.75% Senior Notes”), $500 million of indebtedness associated with ATI’s 5.875% Senior Notes due June 2029 (“5.875% Senior Notes”) and $1,000 million of indebtedness associated with ATI’s 3.75% Senior Notes due January 2031 (“3.75% Senior Notes” and, together with the 4.75% Senior Notes and 5.875% Senior Notes, the “Senior Notes”). Short-term and long-term debt service liquidity requirements consist of $1 million of minimum required quarterly principal payments on ATI’s Term Loan through its maturity date of March 2031 and periodic interest payments on ATI’s Term Loan and the Senior Notes. There are no required quarterly principal payments on the Senior Notes. Long-term debt service liquidity requirements also consist of the payment in full of any remaining principal balance of ATI’s Term Loan and the Senior Notes upon their respective maturity dates.</w:t>
      </w:r>
    </w:p>
    <w:p>
      <w:pPr>
        <w:spacing w:after="0" w:line="127" w:lineRule="exact"/>
        <w:rPr>
          <w:sz w:val="20"/>
          <w:szCs w:val="20"/>
          <w:color w:val="auto"/>
        </w:rPr>
      </w:pPr>
    </w:p>
    <w:p>
      <w:pPr>
        <w:ind w:right="140" w:firstLine="494"/>
        <w:spacing w:after="0" w:line="252" w:lineRule="auto"/>
        <w:rPr>
          <w:sz w:val="20"/>
          <w:szCs w:val="20"/>
          <w:color w:val="auto"/>
        </w:rPr>
      </w:pPr>
      <w:r>
        <w:rPr>
          <w:rFonts w:ascii="Arial" w:cs="Arial" w:eastAsia="Arial" w:hAnsi="Arial"/>
          <w:sz w:val="18"/>
          <w:szCs w:val="18"/>
          <w:color w:val="auto"/>
        </w:rPr>
        <w:t>We made $103 million and $5 million of principal payments on the Term Loan during the nine months ended September 30, 2024 and 2023, respectively. Our ability to make payments on and refinance our indebtedness and to fund planned capital expenditures and growth initiatives will depend on our ability to generate cash in the future.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The Senior Secured Credit Facility provides for a $750 million Revolving Credit Facility, net of an allowance for up to $75 million in outstanding letter of credit commitments. As of September 30, 2024, we had $745 million available under the Revolving Credit Facility, net of $5 million in letters of credit. As of September 30, 2024, we had no amounts outstanding under the Revolving Credit Facility. If we have commitments outstanding on the Revolving Credit Facility at the end of a fiscal quarter, the Senior Secured Credit Facility requires us to maintain a specified maximum first lien net leverage ratio of 5.50x. Additionally, within the terms of the Senior Secured Credit Facility, a first lien net leverage ratio at or below 4.00x results in the elimination of excess cash flow payments on the Senior Secured Credit Facility for the applicable year. As of September 30, 2024, our first lien net leverage ratio was (0.23x). The Senior Secured Credit Facility also provides certain financial incentives based on our first lien net leverage ratio. A first lien net leverage ratio at or below 4.00x and above 3.50x results in a 25 basis point reduction to the applicable margin on the Revolving Credit Facility. A first lien net leverage ratio at or below 3.50x results in an additional 25 basis point reduction to the applicable margin on the Revolving Credit Facility. These reductions remain in effect as long as we achieve a first lien net leverage ratio at or below the related threshold.</w:t>
      </w:r>
    </w:p>
    <w:p>
      <w:pPr>
        <w:spacing w:after="0" w:line="129"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September 30, 2024, we are in compliance with all covenants under the Senior Secured Credit Facility and indentures governing the Senior Notes.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credit ratings and outlook are reviewed periodically by Moody’s Ratings (“Moody’s”) and Fitch Ratings, Inc. (“Fitch”). As of</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2024, our credit ratings from both Moody's and Fitch are shown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 2024</w:t>
            </w:r>
          </w:p>
        </w:tc>
      </w:tr>
      <w:tr>
        <w:trPr>
          <w:trHeight w:val="182"/>
        </w:trPr>
        <w:tc>
          <w:tcPr>
            <w:tcW w:w="6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Credit Ratings</w:t>
            </w:r>
          </w:p>
        </w:tc>
        <w:tc>
          <w:tcPr>
            <w:tcW w:w="17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Moody's</w:t>
            </w:r>
          </w:p>
        </w:tc>
        <w:tc>
          <w:tcPr>
            <w:tcW w:w="7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Fitch</w:t>
            </w:r>
          </w:p>
        </w:tc>
      </w:tr>
      <w:tr>
        <w:trPr>
          <w:trHeight w:val="223"/>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Credit</w:t>
            </w:r>
          </w:p>
        </w:tc>
        <w:tc>
          <w:tcPr>
            <w:tcW w:w="1720" w:type="dxa"/>
            <w:vAlign w:val="bottom"/>
            <w:shd w:val="clear" w:color="auto" w:fill="CFF0FC"/>
          </w:tcPr>
          <w:p>
            <w:pPr>
              <w:jc w:val="center"/>
              <w:ind w:left="713"/>
              <w:spacing w:after="0"/>
              <w:rPr>
                <w:sz w:val="20"/>
                <w:szCs w:val="20"/>
                <w:color w:val="auto"/>
              </w:rPr>
            </w:pPr>
            <w:r>
              <w:rPr>
                <w:rFonts w:ascii="Arial" w:cs="Arial" w:eastAsia="Arial" w:hAnsi="Arial"/>
                <w:sz w:val="18"/>
                <w:szCs w:val="18"/>
                <w:color w:val="auto"/>
                <w:w w:val="99"/>
              </w:rPr>
              <w:t>Ba1</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BB+</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Term Loan</w:t>
            </w:r>
          </w:p>
        </w:tc>
        <w:tc>
          <w:tcPr>
            <w:tcW w:w="1720" w:type="dxa"/>
            <w:vAlign w:val="bottom"/>
          </w:tcPr>
          <w:p>
            <w:pPr>
              <w:jc w:val="center"/>
              <w:ind w:left="693"/>
              <w:spacing w:after="0"/>
              <w:rPr>
                <w:sz w:val="20"/>
                <w:szCs w:val="20"/>
                <w:color w:val="auto"/>
              </w:rPr>
            </w:pPr>
            <w:r>
              <w:rPr>
                <w:rFonts w:ascii="Arial" w:cs="Arial" w:eastAsia="Arial" w:hAnsi="Arial"/>
                <w:sz w:val="18"/>
                <w:szCs w:val="18"/>
                <w:color w:val="auto"/>
                <w:w w:val="99"/>
              </w:rPr>
              <w:t>Baa2</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9"/>
              </w:rPr>
              <w:t>BBB-</w:t>
            </w:r>
          </w:p>
        </w:tc>
      </w:tr>
      <w:tr>
        <w:trPr>
          <w:trHeight w:val="229"/>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4.75% Senior Notes</w:t>
            </w:r>
          </w:p>
        </w:tc>
        <w:tc>
          <w:tcPr>
            <w:tcW w:w="1720" w:type="dxa"/>
            <w:vAlign w:val="bottom"/>
            <w:shd w:val="clear" w:color="auto" w:fill="CFF0FC"/>
          </w:tcPr>
          <w:p>
            <w:pPr>
              <w:jc w:val="center"/>
              <w:ind w:left="713"/>
              <w:spacing w:after="0"/>
              <w:rPr>
                <w:sz w:val="20"/>
                <w:szCs w:val="20"/>
                <w:color w:val="auto"/>
              </w:rPr>
            </w:pPr>
            <w:r>
              <w:rPr>
                <w:rFonts w:ascii="Arial" w:cs="Arial" w:eastAsia="Arial" w:hAnsi="Arial"/>
                <w:sz w:val="18"/>
                <w:szCs w:val="18"/>
                <w:color w:val="auto"/>
                <w:w w:val="99"/>
              </w:rPr>
              <w:t>Ba2</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BB+</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5.875% Senior Notes</w:t>
            </w:r>
          </w:p>
        </w:tc>
        <w:tc>
          <w:tcPr>
            <w:tcW w:w="1720" w:type="dxa"/>
            <w:vAlign w:val="bottom"/>
          </w:tcPr>
          <w:p>
            <w:pPr>
              <w:jc w:val="center"/>
              <w:ind w:left="713"/>
              <w:spacing w:after="0"/>
              <w:rPr>
                <w:sz w:val="20"/>
                <w:szCs w:val="20"/>
                <w:color w:val="auto"/>
              </w:rPr>
            </w:pPr>
            <w:r>
              <w:rPr>
                <w:rFonts w:ascii="Arial" w:cs="Arial" w:eastAsia="Arial" w:hAnsi="Arial"/>
                <w:sz w:val="18"/>
                <w:szCs w:val="18"/>
                <w:color w:val="auto"/>
                <w:w w:val="99"/>
              </w:rPr>
              <w:t>Ba2</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8"/>
              </w:rPr>
              <w:t>BB+</w:t>
            </w:r>
          </w:p>
        </w:tc>
      </w:tr>
      <w:tr>
        <w:trPr>
          <w:trHeight w:val="229"/>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3.75% Senior Notes</w:t>
            </w:r>
          </w:p>
        </w:tc>
        <w:tc>
          <w:tcPr>
            <w:tcW w:w="1720" w:type="dxa"/>
            <w:vAlign w:val="bottom"/>
            <w:shd w:val="clear" w:color="auto" w:fill="CFF0FC"/>
          </w:tcPr>
          <w:p>
            <w:pPr>
              <w:jc w:val="center"/>
              <w:ind w:left="713"/>
              <w:spacing w:after="0"/>
              <w:rPr>
                <w:sz w:val="20"/>
                <w:szCs w:val="20"/>
                <w:color w:val="auto"/>
              </w:rPr>
            </w:pPr>
            <w:r>
              <w:rPr>
                <w:rFonts w:ascii="Arial" w:cs="Arial" w:eastAsia="Arial" w:hAnsi="Arial"/>
                <w:sz w:val="18"/>
                <w:szCs w:val="18"/>
                <w:color w:val="auto"/>
                <w:w w:val="99"/>
              </w:rPr>
              <w:t>Ba2</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BB+</w:t>
            </w:r>
          </w:p>
        </w:tc>
      </w:tr>
    </w:tbl>
    <w:p>
      <w:pPr>
        <w:spacing w:after="0" w:line="143" w:lineRule="exact"/>
        <w:rPr>
          <w:sz w:val="20"/>
          <w:szCs w:val="20"/>
          <w:color w:val="auto"/>
        </w:rPr>
      </w:pPr>
    </w:p>
    <w:p>
      <w:pPr>
        <w:ind w:right="120" w:firstLine="494"/>
        <w:spacing w:after="0" w:line="243" w:lineRule="auto"/>
        <w:rPr>
          <w:sz w:val="20"/>
          <w:szCs w:val="20"/>
          <w:color w:val="auto"/>
        </w:rPr>
      </w:pPr>
      <w:r>
        <w:rPr>
          <w:rFonts w:ascii="Arial" w:cs="Arial" w:eastAsia="Arial" w:hAnsi="Arial"/>
          <w:sz w:val="18"/>
          <w:szCs w:val="18"/>
          <w:color w:val="auto"/>
        </w:rPr>
        <w:t>Our Board of Directors has authorized us to repurchase up to $ 4,000 million of our common stock pursuant to a stock repurchase program (the "Repurchase Program"). During the nine months ended September 30, 2024, we repurchased $ 134 million of our common stock under the Repurchase Program. Substantially all of the repurchase transactions during the nine months ended September 30, 2024 were settled in cash during the same period. As of September 30, 2024, we had approximately $639 million available under the Repurchase Program.</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sources and uses of funds for the nine months ended September 30, 2024 and 2023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14"/>
                <w:szCs w:val="14"/>
                <w:color w:val="auto"/>
              </w:rPr>
            </w:pPr>
          </w:p>
        </w:tc>
      </w:tr>
      <w:tr>
        <w:trPr>
          <w:trHeight w:val="185"/>
        </w:trPr>
        <w:tc>
          <w:tcPr>
            <w:tcW w:w="44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r>
      <w:tr>
        <w:trPr>
          <w:trHeight w:val="182"/>
        </w:trPr>
        <w:tc>
          <w:tcPr>
            <w:tcW w:w="4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Statements of Cash Flows Data</w:t>
            </w:r>
          </w:p>
        </w:tc>
        <w:tc>
          <w:tcPr>
            <w:tcW w:w="326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r>
      <w:tr>
        <w:trPr>
          <w:trHeight w:val="223"/>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424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590</w:t>
            </w:r>
          </w:p>
        </w:tc>
        <w:tc>
          <w:tcPr>
            <w:tcW w:w="76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546</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4240" w:type="dxa"/>
            <w:vAlign w:val="bottom"/>
            <w:gridSpan w:val="2"/>
          </w:tcPr>
          <w:p>
            <w:pPr>
              <w:jc w:val="right"/>
              <w:ind w:right="808"/>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(70 )</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(71 )</w:t>
            </w:r>
          </w:p>
        </w:tc>
      </w:tr>
      <w:tr>
        <w:trPr>
          <w:trHeight w:val="229"/>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424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(287 )</w:t>
            </w:r>
          </w:p>
        </w:tc>
        <w:tc>
          <w:tcPr>
            <w:tcW w:w="76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(205 )</w:t>
            </w:r>
          </w:p>
        </w:tc>
      </w:tr>
      <w:tr>
        <w:trPr>
          <w:trHeight w:val="597"/>
        </w:trPr>
        <w:tc>
          <w:tcPr>
            <w:tcW w:w="4480" w:type="dxa"/>
            <w:vAlign w:val="bottom"/>
          </w:tcPr>
          <w:p>
            <w:pPr>
              <w:spacing w:after="0"/>
              <w:rPr>
                <w:sz w:val="24"/>
                <w:szCs w:val="24"/>
                <w:color w:val="auto"/>
              </w:rPr>
            </w:pPr>
          </w:p>
        </w:tc>
        <w:tc>
          <w:tcPr>
            <w:tcW w:w="3260" w:type="dxa"/>
            <w:vAlign w:val="bottom"/>
          </w:tcPr>
          <w:p>
            <w:pPr>
              <w:jc w:val="right"/>
              <w:ind w:right="1930"/>
              <w:spacing w:after="0"/>
              <w:rPr>
                <w:sz w:val="20"/>
                <w:szCs w:val="20"/>
                <w:color w:val="auto"/>
              </w:rPr>
            </w:pPr>
            <w:r>
              <w:rPr>
                <w:rFonts w:ascii="Arial" w:cs="Arial" w:eastAsia="Arial" w:hAnsi="Arial"/>
                <w:sz w:val="18"/>
                <w:szCs w:val="18"/>
                <w:color w:val="auto"/>
              </w:rPr>
              <w:t>34</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745"/>
        </w:trPr>
        <w:tc>
          <w:tcPr>
            <w:tcW w:w="44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firstLine="494"/>
        <w:spacing w:after="0" w:line="266" w:lineRule="auto"/>
        <w:rPr>
          <w:sz w:val="20"/>
          <w:szCs w:val="20"/>
          <w:color w:val="auto"/>
        </w:rPr>
      </w:pPr>
      <w:r>
        <w:rPr>
          <w:rFonts w:ascii="Arial" w:cs="Arial" w:eastAsia="Arial" w:hAnsi="Arial"/>
          <w:sz w:val="17"/>
          <w:szCs w:val="17"/>
          <w:color w:val="auto"/>
        </w:rPr>
        <w:t>Generally, cash provided by operating activities has been adequate to fund our operations. We have significant liquidity, including $ 788 million of cash and cash equivalents and $745 million available under the Revolving Credit Facility, net of $5 million of letters of credit, as of September 30, 2024. At this time, we believe cash provided by operating activities, cash and cash equivalents and borrowing capacity under the Revolving Credit Facility will be sufficient to meet our known and anticipated cash requirements for the next twelve months and thereafter.</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01" w:lineRule="exact"/>
        <w:rPr>
          <w:sz w:val="20"/>
          <w:szCs w:val="20"/>
          <w:color w:val="auto"/>
        </w:rPr>
      </w:pPr>
    </w:p>
    <w:p>
      <w:pPr>
        <w:ind w:right="60" w:firstLine="494"/>
        <w:spacing w:after="0" w:line="246" w:lineRule="auto"/>
        <w:rPr>
          <w:sz w:val="20"/>
          <w:szCs w:val="20"/>
          <w:color w:val="auto"/>
        </w:rPr>
      </w:pPr>
      <w:r>
        <w:rPr>
          <w:rFonts w:ascii="Arial" w:cs="Arial" w:eastAsia="Arial" w:hAnsi="Arial"/>
          <w:sz w:val="18"/>
          <w:szCs w:val="18"/>
          <w:color w:val="auto"/>
        </w:rPr>
        <w:t>Operating activities for the nine months ended September 30, 2024 generated $590 million of cash compared to $546 million for the nine months ended September 30, 2023. The increase was principally driven by higher gross profit, lower cash income taxes and lower cash interest payments, partially offset by higher cash incentive compensation payments, higher operating working capital funding requirements and non-recurring UAW contract signing incentive payments.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01" w:lineRule="exact"/>
        <w:rPr>
          <w:sz w:val="20"/>
          <w:szCs w:val="20"/>
          <w:color w:val="auto"/>
        </w:rPr>
      </w:pPr>
    </w:p>
    <w:p>
      <w:pPr>
        <w:ind w:right="20" w:firstLine="499"/>
        <w:spacing w:after="0" w:line="252" w:lineRule="auto"/>
        <w:rPr>
          <w:sz w:val="20"/>
          <w:szCs w:val="20"/>
          <w:color w:val="auto"/>
        </w:rPr>
      </w:pPr>
      <w:r>
        <w:rPr>
          <w:rFonts w:ascii="Arial" w:cs="Arial" w:eastAsia="Arial" w:hAnsi="Arial"/>
          <w:sz w:val="18"/>
          <w:szCs w:val="18"/>
          <w:color w:val="auto"/>
        </w:rPr>
        <w:t>Investing activities for the nine months ended September 30, 2024 used $70 million of cash compared to $71 million for the nine months ended September 30, 2023. The decrease was principally driven by a $5 million decrease in capital expenditures, partially offset by a $4 million increase in equity method investments.</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01" w:lineRule="exact"/>
        <w:rPr>
          <w:sz w:val="20"/>
          <w:szCs w:val="20"/>
          <w:color w:val="auto"/>
        </w:rPr>
      </w:pPr>
    </w:p>
    <w:p>
      <w:pPr>
        <w:ind w:right="120" w:firstLine="494"/>
        <w:spacing w:after="0" w:line="246" w:lineRule="auto"/>
        <w:rPr>
          <w:sz w:val="20"/>
          <w:szCs w:val="20"/>
          <w:color w:val="auto"/>
        </w:rPr>
      </w:pPr>
      <w:r>
        <w:rPr>
          <w:rFonts w:ascii="Arial" w:cs="Arial" w:eastAsia="Arial" w:hAnsi="Arial"/>
          <w:sz w:val="18"/>
          <w:szCs w:val="18"/>
          <w:color w:val="auto"/>
        </w:rPr>
        <w:t>Financing activities for the nine months ended September 30, 2024 used $287 million of cash compared to $205 million for the nine months ended September 30, 2023. The increase was principally driven by $98 million of increased payments on our long-term debt and $4 million of debt financing fees associated with the amendment of the Credit Agreement governing our Senior Secured Credit Facility, partially offset by $24 million of lower stock repurchases under the Repurchase Program.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03" w:lineRule="exact"/>
        <w:rPr>
          <w:sz w:val="20"/>
          <w:szCs w:val="20"/>
          <w:color w:val="auto"/>
        </w:rPr>
      </w:pPr>
    </w:p>
    <w:p>
      <w:pPr>
        <w:ind w:firstLine="494"/>
        <w:spacing w:after="0" w:line="246" w:lineRule="auto"/>
        <w:rPr>
          <w:sz w:val="20"/>
          <w:szCs w:val="20"/>
          <w:color w:val="auto"/>
        </w:rPr>
      </w:pPr>
      <w:r>
        <w:rPr>
          <w:rFonts w:ascii="Arial" w:cs="Arial" w:eastAsia="Arial" w:hAnsi="Arial"/>
          <w:sz w:val="18"/>
          <w:szCs w:val="18"/>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P. Commitments and Contingencies” of our condensed consolidated financial statements included in Part I, Item 1 of this Quarterly Report on Form 10-Q.</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03"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A discussion of our critical accounting policies and significant accounting estimates is included in Part II, Item 7, “Management’s Discussion and Analysis of Financial Condition and Results of Operations” in our Annual Report on Form 10-K for the year ended December 31, 2023 as filed with the Securities and Exchange Commission on February 14, 2024.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three and nine months ended September 30, 2024.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B. Summary of Significant Accounting Policies” in Part I, Item 1, of this Quarterly Report on Form 10-Q.</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3"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increases in cost, disruption of supply or shortage of labor, freight, raw materials, energy or components used to manufacture or transport our products or those of our customers or suppliers, including as a result of geopolitical risks, wars and pandemics; global economic volatility; general economic and industry conditions, including the risk of recession; labor strikes, work stoppages or similar labor disputes, which could significantly disrupt our operations or those of our principal customers or suppliers; the highly cyclical industries in which certain of our end users operate; uncertainty in the global regulatory and business environments in which we operate; the concentration of our net sales in our top five customers and the loss of any one of these;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and risks related to our indebtedness.</w:t>
      </w:r>
    </w:p>
    <w:p>
      <w:pPr>
        <w:spacing w:after="0" w:line="80" w:lineRule="exact"/>
        <w:rPr>
          <w:sz w:val="20"/>
          <w:szCs w:val="20"/>
          <w:color w:val="auto"/>
        </w:rPr>
      </w:pPr>
    </w:p>
    <w:p>
      <w:pPr>
        <w:ind w:right="20" w:firstLine="494"/>
        <w:spacing w:after="0" w:line="241"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2023 as filed with the Securities and Exchange Commission on February 14, 2024 and Part II, Item 1A of this Quarterly Report on Form 10-Q. All written and oral forward-looking statements attributable to us, or persons acting on our behalf, are expressly qualified in their entirety by these cautionary statements as well as other cautionary statements that are made from time to time in our other Securities and Exchange Commission filings or public communications. You should evaluate all forward-looking statements made in this Quarterly Report on Form 10-Q in the context of these risks and uncertainties.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8" w:lineRule="exact"/>
        <w:rPr>
          <w:sz w:val="20"/>
          <w:szCs w:val="20"/>
          <w:color w:val="auto"/>
        </w:rPr>
      </w:pPr>
    </w:p>
    <w:p>
      <w:pPr>
        <w:ind w:right="420" w:firstLine="499"/>
        <w:spacing w:after="0" w:line="271" w:lineRule="auto"/>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1" w:lineRule="exact"/>
        <w:rPr>
          <w:sz w:val="20"/>
          <w:szCs w:val="20"/>
          <w:color w:val="auto"/>
        </w:rPr>
      </w:pPr>
    </w:p>
    <w:p>
      <w:pPr>
        <w:ind w:right="140" w:firstLine="499"/>
        <w:spacing w:after="0" w:line="239" w:lineRule="auto"/>
        <w:rPr>
          <w:sz w:val="20"/>
          <w:szCs w:val="20"/>
          <w:color w:val="auto"/>
        </w:rPr>
      </w:pPr>
      <w:r>
        <w:rPr>
          <w:rFonts w:ascii="Arial" w:cs="Arial" w:eastAsia="Arial" w:hAnsi="Arial"/>
          <w:sz w:val="18"/>
          <w:szCs w:val="18"/>
          <w:color w:val="auto"/>
        </w:rPr>
        <w:t>Our principal interest rate exposure relates to outstanding amounts under our Senior Secured Credit Facility. Our Senior Secured Credit Facility provides for variable rate borrowings of up to $1,260 million, including our $515 million Term Loan and $745 million under our Revolving Credit Facility, net of $5 million of letters of credit. As of September 30, 2024, we held interest rate swap contracts that, in the aggregate, effectively hedge $500 million of the variable rate debt associated with the Term Loan at the forward-looking term rate based on the Secured Overnight Financing Rate weighted average fixed rate of 2.81% through September 2025. A one-eighth percent increase or decrease in assumed interest rates for the Senior Secured Credit Facility, if fully drawn as of September 30, 2024, would have an impact of approximately $1 million on interest expense per year. As of September 30, 2024, we had no outstanding borrowings against the Revolving Credit Facility.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01" w:lineRule="exact"/>
        <w:rPr>
          <w:sz w:val="20"/>
          <w:szCs w:val="20"/>
          <w:color w:val="auto"/>
        </w:rPr>
      </w:pPr>
    </w:p>
    <w:p>
      <w:pPr>
        <w:ind w:right="160" w:firstLine="499"/>
        <w:spacing w:after="0" w:line="246"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spacing w:after="0" w:line="68"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Chinese Yuan Renminbi, Euro, Indian Rupee, and Japanese Yen would correspondingly change our earnings, net of tax, by an estimated $6 million per year. We believe our other direct exposure to foreign currencies is immaterial.</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01" w:lineRule="exact"/>
        <w:rPr>
          <w:sz w:val="20"/>
          <w:szCs w:val="20"/>
          <w:color w:val="auto"/>
        </w:rPr>
      </w:pPr>
    </w:p>
    <w:p>
      <w:pPr>
        <w:ind w:right="40" w:firstLine="499"/>
        <w:spacing w:after="0" w:line="241" w:lineRule="auto"/>
        <w:rPr>
          <w:sz w:val="20"/>
          <w:szCs w:val="20"/>
          <w:color w:val="auto"/>
        </w:rPr>
      </w:pPr>
      <w:r>
        <w:rPr>
          <w:rFonts w:ascii="Arial" w:cs="Arial" w:eastAsia="Arial" w:hAnsi="Arial"/>
          <w:sz w:val="18"/>
          <w:szCs w:val="18"/>
          <w:color w:val="auto"/>
        </w:rPr>
        <w:t>We are subject to changes in our cost of sales caused by movements in underlying commodity prices. As of September 30, 2024, approximately 65% of our cost of sales consisted of purchased components.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includes an index-based component. As our costs change, we are able to pass through a portion of the changes in commodity prices to certain of our customers according to our LTAs. We historically have not entered into long-term purchase contracts related to the purchase of aluminum and steel.</w:t>
      </w:r>
    </w:p>
    <w:p>
      <w:pPr>
        <w:spacing w:after="0" w:line="74" w:lineRule="exact"/>
        <w:rPr>
          <w:sz w:val="20"/>
          <w:szCs w:val="20"/>
          <w:color w:val="auto"/>
        </w:rPr>
      </w:pPr>
    </w:p>
    <w:p>
      <w:pPr>
        <w:ind w:right="240" w:firstLine="499"/>
        <w:spacing w:after="0" w:line="271" w:lineRule="auto"/>
        <w:rPr>
          <w:sz w:val="20"/>
          <w:szCs w:val="20"/>
          <w:color w:val="auto"/>
        </w:rPr>
      </w:pPr>
      <w:r>
        <w:rPr>
          <w:rFonts w:ascii="Arial" w:cs="Arial" w:eastAsia="Arial" w:hAnsi="Arial"/>
          <w:sz w:val="18"/>
          <w:szCs w:val="18"/>
          <w:color w:val="auto"/>
        </w:rPr>
        <w:t>Assuming current levels of commodity purchases, a 10% variation in the price of aluminum and steel would correspondingly change our earnings by approximately $8 million and $13 million per year, respectively.</w:t>
      </w:r>
    </w:p>
    <w:p>
      <w:pPr>
        <w:spacing w:after="0" w:line="45" w:lineRule="exact"/>
        <w:rPr>
          <w:sz w:val="20"/>
          <w:szCs w:val="20"/>
          <w:color w:val="auto"/>
        </w:rPr>
      </w:pPr>
    </w:p>
    <w:p>
      <w:pPr>
        <w:ind w:right="60" w:firstLine="499"/>
        <w:spacing w:after="0" w:line="271" w:lineRule="auto"/>
        <w:rPr>
          <w:sz w:val="20"/>
          <w:szCs w:val="20"/>
          <w:color w:val="auto"/>
        </w:rPr>
      </w:pPr>
      <w:r>
        <w:rPr>
          <w:rFonts w:ascii="Arial" w:cs="Arial" w:eastAsia="Arial" w:hAnsi="Arial"/>
          <w:sz w:val="18"/>
          <w:szCs w:val="18"/>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3" w:lineRule="exact"/>
        <w:rPr>
          <w:sz w:val="20"/>
          <w:szCs w:val="20"/>
          <w:color w:val="auto"/>
        </w:rPr>
      </w:pPr>
    </w:p>
    <w:p>
      <w:pPr>
        <w:ind w:right="100" w:firstLine="499"/>
        <w:spacing w:after="0"/>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75" w:lineRule="exact"/>
        <w:rPr>
          <w:sz w:val="20"/>
          <w:szCs w:val="20"/>
          <w:color w:val="auto"/>
        </w:rPr>
      </w:pPr>
    </w:p>
    <w:p>
      <w:pPr>
        <w:ind w:firstLine="499"/>
        <w:spacing w:after="0" w:line="241" w:lineRule="auto"/>
        <w:rPr>
          <w:sz w:val="20"/>
          <w:szCs w:val="20"/>
          <w:color w:val="auto"/>
        </w:rPr>
      </w:pPr>
      <w:r>
        <w:rPr>
          <w:rFonts w:ascii="Arial" w:cs="Arial" w:eastAsia="Arial" w:hAnsi="Arial"/>
          <w:sz w:val="18"/>
          <w:szCs w:val="18"/>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3" w:lineRule="exact"/>
        <w:rPr>
          <w:sz w:val="20"/>
          <w:szCs w:val="20"/>
          <w:color w:val="auto"/>
        </w:rPr>
      </w:pPr>
    </w:p>
    <w:p>
      <w:pPr>
        <w:ind w:firstLine="499"/>
        <w:spacing w:after="0" w:line="252"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695960</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3" w:lineRule="exact"/>
        <w:rPr>
          <w:sz w:val="20"/>
          <w:szCs w:val="20"/>
          <w:color w:val="auto"/>
        </w:rPr>
      </w:pPr>
    </w:p>
    <w:p>
      <w:pPr>
        <w:ind w:right="120" w:firstLine="499"/>
        <w:spacing w:after="0" w:line="266" w:lineRule="auto"/>
        <w:rPr>
          <w:sz w:val="20"/>
          <w:szCs w:val="20"/>
          <w:color w:val="auto"/>
        </w:rPr>
      </w:pPr>
      <w:r>
        <w:rPr>
          <w:rFonts w:ascii="Arial" w:cs="Arial" w:eastAsia="Arial" w:hAnsi="Arial"/>
          <w:sz w:val="17"/>
          <w:szCs w:val="17"/>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Information pertaining to legal proceedings can be found in "Note P. Commitments and Contingencies” in the notes to the condensed consolidated financial statements included in Part I, Item 1 of this Quarterly Report on Form 10-Q, which information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3" w:lineRule="exact"/>
        <w:rPr>
          <w:sz w:val="20"/>
          <w:szCs w:val="20"/>
          <w:color w:val="auto"/>
        </w:rPr>
      </w:pPr>
    </w:p>
    <w:p>
      <w:pPr>
        <w:ind w:firstLine="499"/>
        <w:spacing w:after="0" w:line="271" w:lineRule="auto"/>
        <w:rPr>
          <w:sz w:val="20"/>
          <w:szCs w:val="20"/>
          <w:color w:val="auto"/>
        </w:rPr>
      </w:pPr>
      <w:r>
        <w:rPr>
          <w:rFonts w:ascii="Arial" w:cs="Arial" w:eastAsia="Arial" w:hAnsi="Arial"/>
          <w:sz w:val="18"/>
          <w:szCs w:val="18"/>
          <w:color w:val="auto"/>
        </w:rPr>
        <w:t>There have been no material changes from our risk factors as previously reported in Part I, Item 1A of our Annual Report on Form 10-K for the year ended December 31, 2023 as filed with the Securities and Exchange Commission on February 14,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3" w:lineRule="exact"/>
        <w:rPr>
          <w:sz w:val="20"/>
          <w:szCs w:val="20"/>
          <w:color w:val="auto"/>
        </w:rPr>
      </w:pPr>
    </w:p>
    <w:p>
      <w:pPr>
        <w:ind w:right="140" w:firstLine="499"/>
        <w:spacing w:after="0" w:line="271" w:lineRule="auto"/>
        <w:rPr>
          <w:sz w:val="20"/>
          <w:szCs w:val="20"/>
          <w:color w:val="auto"/>
        </w:rPr>
      </w:pPr>
      <w:r>
        <w:rPr>
          <w:rFonts w:ascii="Arial" w:cs="Arial" w:eastAsia="Arial" w:hAnsi="Arial"/>
          <w:sz w:val="18"/>
          <w:szCs w:val="18"/>
          <w:color w:val="auto"/>
        </w:rPr>
        <w:t>The following table sets forth information related to our repurchases of our common stock on a monthly basis during the three months ended September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w w:val="99"/>
              </w:rPr>
              <w:t>Total Number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56"/>
              <w:spacing w:after="0"/>
              <w:rPr>
                <w:sz w:val="20"/>
                <w:szCs w:val="20"/>
                <w:color w:val="auto"/>
              </w:rPr>
            </w:pPr>
            <w:r>
              <w:rPr>
                <w:rFonts w:ascii="Arial" w:cs="Arial" w:eastAsia="Arial" w:hAnsi="Arial"/>
                <w:sz w:val="14"/>
                <w:szCs w:val="14"/>
                <w:b w:val="1"/>
                <w:bCs w:val="1"/>
                <w:color w:val="auto"/>
              </w:rPr>
              <w:t>Approximate</w:t>
            </w:r>
          </w:p>
        </w:tc>
      </w:t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Purchased</w:t>
            </w:r>
          </w:p>
        </w:tc>
        <w:tc>
          <w:tcPr>
            <w:tcW w:w="140" w:type="dxa"/>
            <w:vAlign w:val="bottom"/>
          </w:tcPr>
          <w:p>
            <w:pPr>
              <w:spacing w:after="0"/>
              <w:rPr>
                <w:sz w:val="14"/>
                <w:szCs w:val="14"/>
                <w:color w:val="auto"/>
              </w:rPr>
            </w:pPr>
          </w:p>
        </w:tc>
        <w:tc>
          <w:tcPr>
            <w:tcW w:w="1240" w:type="dxa"/>
            <w:vAlign w:val="bottom"/>
            <w:gridSpan w:val="2"/>
          </w:tcPr>
          <w:p>
            <w:pPr>
              <w:jc w:val="center"/>
              <w:ind w:right="36"/>
              <w:spacing w:after="0"/>
              <w:rPr>
                <w:sz w:val="20"/>
                <w:szCs w:val="20"/>
                <w:color w:val="auto"/>
              </w:rPr>
            </w:pPr>
            <w:r>
              <w:rPr>
                <w:rFonts w:ascii="Arial" w:cs="Arial" w:eastAsia="Arial" w:hAnsi="Arial"/>
                <w:sz w:val="14"/>
                <w:szCs w:val="14"/>
                <w:b w:val="1"/>
                <w:bCs w:val="1"/>
                <w:color w:val="auto"/>
              </w:rPr>
              <w:t>Dollar Value of</w:t>
            </w:r>
          </w:p>
        </w:tc>
      </w:t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as Part of</w:t>
            </w:r>
          </w:p>
        </w:tc>
        <w:tc>
          <w:tcPr>
            <w:tcW w:w="140" w:type="dxa"/>
            <w:vAlign w:val="bottom"/>
          </w:tcPr>
          <w:p>
            <w:pPr>
              <w:spacing w:after="0"/>
              <w:rPr>
                <w:sz w:val="14"/>
                <w:szCs w:val="14"/>
                <w:color w:val="auto"/>
              </w:rPr>
            </w:pPr>
          </w:p>
        </w:tc>
        <w:tc>
          <w:tcPr>
            <w:tcW w:w="1240" w:type="dxa"/>
            <w:vAlign w:val="bottom"/>
            <w:gridSpan w:val="2"/>
          </w:tcPr>
          <w:p>
            <w:pPr>
              <w:jc w:val="center"/>
              <w:ind w:right="16"/>
              <w:spacing w:after="0"/>
              <w:rPr>
                <w:sz w:val="20"/>
                <w:szCs w:val="20"/>
                <w:color w:val="auto"/>
              </w:rPr>
            </w:pPr>
            <w:r>
              <w:rPr>
                <w:rFonts w:ascii="Arial" w:cs="Arial" w:eastAsia="Arial" w:hAnsi="Arial"/>
                <w:sz w:val="14"/>
                <w:szCs w:val="14"/>
                <w:b w:val="1"/>
                <w:bCs w:val="1"/>
                <w:color w:val="auto"/>
              </w:rPr>
              <w:t>Shares that May</w:t>
            </w:r>
          </w:p>
        </w:tc>
      </w:t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Publicly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96"/>
              <w:spacing w:after="0"/>
              <w:rPr>
                <w:sz w:val="20"/>
                <w:szCs w:val="20"/>
                <w:color w:val="auto"/>
              </w:rPr>
            </w:pPr>
            <w:r>
              <w:rPr>
                <w:rFonts w:ascii="Arial" w:cs="Arial" w:eastAsia="Arial" w:hAnsi="Arial"/>
                <w:sz w:val="14"/>
                <w:szCs w:val="14"/>
                <w:b w:val="1"/>
                <w:bCs w:val="1"/>
                <w:color w:val="auto"/>
              </w:rPr>
              <w:t>Yet Be</w:t>
            </w:r>
          </w:p>
        </w:tc>
      </w:tr>
      <w:tr>
        <w:trPr>
          <w:trHeight w:val="162"/>
        </w:trPr>
        <w:tc>
          <w:tcPr>
            <w:tcW w:w="5760" w:type="dxa"/>
            <w:vAlign w:val="bottom"/>
          </w:tcPr>
          <w:p>
            <w:pPr>
              <w:spacing w:after="0"/>
              <w:rPr>
                <w:sz w:val="14"/>
                <w:szCs w:val="14"/>
                <w:color w:val="auto"/>
              </w:rPr>
            </w:pPr>
          </w:p>
        </w:tc>
        <w:tc>
          <w:tcPr>
            <w:tcW w:w="1320" w:type="dxa"/>
            <w:vAlign w:val="bottom"/>
          </w:tcPr>
          <w:p>
            <w:pPr>
              <w:jc w:val="center"/>
              <w:ind w:right="44"/>
              <w:spacing w:after="0"/>
              <w:rPr>
                <w:sz w:val="20"/>
                <w:szCs w:val="20"/>
                <w:color w:val="auto"/>
              </w:rPr>
            </w:pPr>
            <w:r>
              <w:rPr>
                <w:rFonts w:ascii="Arial" w:cs="Arial" w:eastAsia="Arial" w:hAnsi="Arial"/>
                <w:sz w:val="14"/>
                <w:szCs w:val="14"/>
                <w:b w:val="1"/>
                <w:bCs w:val="1"/>
                <w:color w:val="auto"/>
              </w:rPr>
              <w:t>Total Number</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98"/>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Announced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36"/>
              <w:spacing w:after="0"/>
              <w:rPr>
                <w:sz w:val="20"/>
                <w:szCs w:val="20"/>
                <w:color w:val="auto"/>
              </w:rPr>
            </w:pPr>
            <w:r>
              <w:rPr>
                <w:rFonts w:ascii="Arial" w:cs="Arial" w:eastAsia="Arial" w:hAnsi="Arial"/>
                <w:sz w:val="14"/>
                <w:szCs w:val="14"/>
                <w:b w:val="1"/>
                <w:bCs w:val="1"/>
                <w:color w:val="auto"/>
              </w:rPr>
              <w:t>Purchased</w:t>
            </w:r>
          </w:p>
        </w:tc>
      </w:tr>
      <w:tr>
        <w:trPr>
          <w:trHeight w:val="162"/>
        </w:trPr>
        <w:tc>
          <w:tcPr>
            <w:tcW w:w="5760" w:type="dxa"/>
            <w:vAlign w:val="bottom"/>
          </w:tcPr>
          <w:p>
            <w:pPr>
              <w:spacing w:after="0"/>
              <w:rPr>
                <w:sz w:val="14"/>
                <w:szCs w:val="14"/>
                <w:color w:val="auto"/>
              </w:rPr>
            </w:pPr>
          </w:p>
        </w:tc>
        <w:tc>
          <w:tcPr>
            <w:tcW w:w="1320" w:type="dxa"/>
            <w:vAlign w:val="bottom"/>
          </w:tcPr>
          <w:p>
            <w:pPr>
              <w:jc w:val="center"/>
              <w:ind w:right="64"/>
              <w:spacing w:after="0"/>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218"/>
              <w:spacing w:after="0"/>
              <w:rPr>
                <w:sz w:val="20"/>
                <w:szCs w:val="20"/>
                <w:color w:val="auto"/>
              </w:rPr>
            </w:pPr>
            <w:r>
              <w:rPr>
                <w:rFonts w:ascii="Arial" w:cs="Arial" w:eastAsia="Arial" w:hAnsi="Arial"/>
                <w:sz w:val="14"/>
                <w:szCs w:val="14"/>
                <w:b w:val="1"/>
                <w:bCs w:val="1"/>
                <w:color w:val="auto"/>
              </w:rPr>
              <w:t>Price Paid</w:t>
            </w: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Plans or</w:t>
            </w:r>
          </w:p>
        </w:tc>
        <w:tc>
          <w:tcPr>
            <w:tcW w:w="140" w:type="dxa"/>
            <w:vAlign w:val="bottom"/>
          </w:tcPr>
          <w:p>
            <w:pPr>
              <w:spacing w:after="0"/>
              <w:rPr>
                <w:sz w:val="14"/>
                <w:szCs w:val="14"/>
                <w:color w:val="auto"/>
              </w:rPr>
            </w:pPr>
          </w:p>
        </w:tc>
        <w:tc>
          <w:tcPr>
            <w:tcW w:w="1240" w:type="dxa"/>
            <w:vAlign w:val="bottom"/>
            <w:gridSpan w:val="2"/>
          </w:tcPr>
          <w:p>
            <w:pPr>
              <w:jc w:val="center"/>
              <w:ind w:right="36"/>
              <w:spacing w:after="0"/>
              <w:rPr>
                <w:sz w:val="20"/>
                <w:szCs w:val="20"/>
                <w:color w:val="auto"/>
              </w:rPr>
            </w:pPr>
            <w:r>
              <w:rPr>
                <w:rFonts w:ascii="Arial" w:cs="Arial" w:eastAsia="Arial" w:hAnsi="Arial"/>
                <w:sz w:val="14"/>
                <w:szCs w:val="14"/>
                <w:b w:val="1"/>
                <w:bCs w:val="1"/>
                <w:color w:val="auto"/>
              </w:rPr>
              <w:t>Under the Plans</w:t>
            </w:r>
          </w:p>
        </w:tc>
      </w:tr>
      <w:tr>
        <w:trPr>
          <w:trHeight w:val="185"/>
        </w:trPr>
        <w:tc>
          <w:tcPr>
            <w:tcW w:w="5760" w:type="dxa"/>
            <w:vAlign w:val="bottom"/>
          </w:tcPr>
          <w:p>
            <w:pPr>
              <w:spacing w:after="0"/>
              <w:rPr>
                <w:sz w:val="16"/>
                <w:szCs w:val="16"/>
                <w:color w:val="auto"/>
              </w:rPr>
            </w:pPr>
          </w:p>
        </w:tc>
        <w:tc>
          <w:tcPr>
            <w:tcW w:w="13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Purchased</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rPr>
              <w:t>Programs</w:t>
            </w:r>
          </w:p>
        </w:tc>
        <w:tc>
          <w:tcPr>
            <w:tcW w:w="140" w:type="dxa"/>
            <w:vAlign w:val="bottom"/>
          </w:tcPr>
          <w:p>
            <w:pPr>
              <w:spacing w:after="0"/>
              <w:rPr>
                <w:sz w:val="16"/>
                <w:szCs w:val="16"/>
                <w:color w:val="auto"/>
              </w:rPr>
            </w:pPr>
          </w:p>
        </w:tc>
        <w:tc>
          <w:tcPr>
            <w:tcW w:w="1240" w:type="dxa"/>
            <w:vAlign w:val="bottom"/>
            <w:tcBorders>
              <w:bottom w:val="single" w:sz="8" w:color="auto"/>
            </w:tcBorders>
            <w:gridSpan w:val="2"/>
          </w:tcPr>
          <w:p>
            <w:pPr>
              <w:jc w:val="center"/>
              <w:ind w:right="16"/>
              <w:spacing w:after="0"/>
              <w:rPr>
                <w:sz w:val="20"/>
                <w:szCs w:val="20"/>
                <w:color w:val="auto"/>
              </w:rPr>
            </w:pPr>
            <w:r>
              <w:rPr>
                <w:rFonts w:ascii="Arial" w:cs="Arial" w:eastAsia="Arial" w:hAnsi="Arial"/>
                <w:sz w:val="14"/>
                <w:szCs w:val="14"/>
                <w:b w:val="1"/>
                <w:bCs w:val="1"/>
                <w:color w:val="auto"/>
              </w:rPr>
              <w:t>or Programs(1)</w:t>
            </w:r>
          </w:p>
        </w:tc>
      </w:tr>
      <w:tr>
        <w:trPr>
          <w:trHeight w:val="190"/>
        </w:trPr>
        <w:tc>
          <w:tcPr>
            <w:tcW w:w="7080" w:type="dxa"/>
            <w:vAlign w:val="bottom"/>
            <w:gridSpan w:val="2"/>
            <w:shd w:val="clear" w:color="auto" w:fill="CFF0FC"/>
          </w:tcPr>
          <w:p>
            <w:pPr>
              <w:ind w:left="20"/>
              <w:spacing w:after="0" w:line="190" w:lineRule="exact"/>
              <w:rPr>
                <w:sz w:val="20"/>
                <w:szCs w:val="20"/>
                <w:color w:val="auto"/>
              </w:rPr>
            </w:pPr>
            <w:r>
              <w:rPr>
                <w:rFonts w:ascii="Arial" w:cs="Arial" w:eastAsia="Arial" w:hAnsi="Arial"/>
                <w:sz w:val="18"/>
                <w:szCs w:val="18"/>
                <w:color w:val="auto"/>
              </w:rPr>
              <w:t>July 1 – July 31, 2024</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6"/>
              <w:spacing w:after="0" w:line="190" w:lineRule="exact"/>
              <w:rPr>
                <w:sz w:val="20"/>
                <w:szCs w:val="20"/>
                <w:color w:val="auto"/>
              </w:rPr>
            </w:pPr>
            <w:r>
              <w:rPr>
                <w:rFonts w:ascii="Arial" w:cs="Arial" w:eastAsia="Arial" w:hAnsi="Arial"/>
                <w:sz w:val="18"/>
                <w:szCs w:val="18"/>
                <w:color w:val="auto"/>
              </w:rPr>
              <w:t>678,125,79</w:t>
            </w:r>
          </w:p>
        </w:tc>
      </w:tr>
      <w:tr>
        <w:trPr>
          <w:trHeight w:val="235"/>
        </w:trPr>
        <w:tc>
          <w:tcPr>
            <w:tcW w:w="7080" w:type="dxa"/>
            <w:vAlign w:val="bottom"/>
            <w:gridSpan w:val="2"/>
            <w:shd w:val="clear" w:color="auto" w:fill="CFF0FC"/>
          </w:tcPr>
          <w:p>
            <w:pPr>
              <w:jc w:val="right"/>
              <w:ind w:right="64"/>
              <w:spacing w:after="0"/>
              <w:rPr>
                <w:sz w:val="20"/>
                <w:szCs w:val="20"/>
                <w:color w:val="auto"/>
              </w:rPr>
            </w:pPr>
            <w:r>
              <w:rPr>
                <w:rFonts w:ascii="Arial" w:cs="Arial" w:eastAsia="Arial" w:hAnsi="Arial"/>
                <w:sz w:val="18"/>
                <w:szCs w:val="18"/>
                <w:color w:val="auto"/>
              </w:rPr>
              <w:t>136,153</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80.77</w:t>
            </w:r>
          </w:p>
        </w:tc>
        <w:tc>
          <w:tcPr>
            <w:tcW w:w="1380" w:type="dxa"/>
            <w:vAlign w:val="bottom"/>
            <w:gridSpan w:val="2"/>
            <w:shd w:val="clear" w:color="auto" w:fill="CFF0FC"/>
          </w:tcPr>
          <w:p>
            <w:pPr>
              <w:jc w:val="right"/>
              <w:ind w:right="46"/>
              <w:spacing w:after="0"/>
              <w:rPr>
                <w:sz w:val="20"/>
                <w:szCs w:val="20"/>
                <w:color w:val="auto"/>
              </w:rPr>
            </w:pPr>
            <w:r>
              <w:rPr>
                <w:rFonts w:ascii="Arial" w:cs="Arial" w:eastAsia="Arial" w:hAnsi="Arial"/>
                <w:sz w:val="18"/>
                <w:szCs w:val="18"/>
                <w:color w:val="auto"/>
              </w:rPr>
              <w:t>136,153</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w:t>
            </w:r>
          </w:p>
        </w:tc>
      </w:tr>
      <w:tr>
        <w:trPr>
          <w:trHeight w:val="197"/>
        </w:trPr>
        <w:tc>
          <w:tcPr>
            <w:tcW w:w="708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August 1 – August 31, 2024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6"/>
              <w:spacing w:after="0" w:line="197" w:lineRule="exact"/>
              <w:rPr>
                <w:sz w:val="20"/>
                <w:szCs w:val="20"/>
                <w:color w:val="auto"/>
              </w:rPr>
            </w:pPr>
            <w:r>
              <w:rPr>
                <w:rFonts w:ascii="Arial" w:cs="Arial" w:eastAsia="Arial" w:hAnsi="Arial"/>
                <w:sz w:val="18"/>
                <w:szCs w:val="18"/>
                <w:color w:val="auto"/>
              </w:rPr>
              <w:t>658,628,68</w:t>
            </w:r>
          </w:p>
        </w:tc>
      </w:tr>
      <w:tr>
        <w:trPr>
          <w:trHeight w:val="235"/>
        </w:trPr>
        <w:tc>
          <w:tcPr>
            <w:tcW w:w="7080" w:type="dxa"/>
            <w:vAlign w:val="bottom"/>
            <w:gridSpan w:val="2"/>
          </w:tcPr>
          <w:p>
            <w:pPr>
              <w:jc w:val="right"/>
              <w:ind w:right="64"/>
              <w:spacing w:after="0"/>
              <w:rPr>
                <w:sz w:val="20"/>
                <w:szCs w:val="20"/>
                <w:color w:val="auto"/>
              </w:rPr>
            </w:pPr>
            <w:r>
              <w:rPr>
                <w:rFonts w:ascii="Arial" w:cs="Arial" w:eastAsia="Arial" w:hAnsi="Arial"/>
                <w:sz w:val="18"/>
                <w:szCs w:val="18"/>
                <w:color w:val="auto"/>
              </w:rPr>
              <w:t>224,504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86.85</w:t>
            </w:r>
          </w:p>
        </w:tc>
        <w:tc>
          <w:tcPr>
            <w:tcW w:w="1380" w:type="dxa"/>
            <w:vAlign w:val="bottom"/>
            <w:gridSpan w:val="2"/>
          </w:tcPr>
          <w:p>
            <w:pPr>
              <w:jc w:val="right"/>
              <w:ind w:right="46"/>
              <w:spacing w:after="0"/>
              <w:rPr>
                <w:sz w:val="20"/>
                <w:szCs w:val="20"/>
                <w:color w:val="auto"/>
              </w:rPr>
            </w:pPr>
            <w:r>
              <w:rPr>
                <w:rFonts w:ascii="Arial" w:cs="Arial" w:eastAsia="Arial" w:hAnsi="Arial"/>
                <w:sz w:val="18"/>
                <w:szCs w:val="18"/>
                <w:color w:val="auto"/>
              </w:rPr>
              <w:t>224,504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w:t>
            </w:r>
          </w:p>
        </w:tc>
      </w:tr>
      <w:tr>
        <w:trPr>
          <w:trHeight w:val="183"/>
        </w:trPr>
        <w:tc>
          <w:tcPr>
            <w:tcW w:w="708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8"/>
                <w:szCs w:val="18"/>
                <w:color w:val="auto"/>
              </w:rPr>
              <w:t>September 1 – September 30, 2024</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36"/>
              <w:spacing w:after="0" w:line="183" w:lineRule="exact"/>
              <w:rPr>
                <w:sz w:val="20"/>
                <w:szCs w:val="20"/>
                <w:color w:val="auto"/>
              </w:rPr>
            </w:pPr>
            <w:r>
              <w:rPr>
                <w:rFonts w:ascii="Arial" w:cs="Arial" w:eastAsia="Arial" w:hAnsi="Arial"/>
                <w:sz w:val="18"/>
                <w:szCs w:val="18"/>
                <w:color w:val="auto"/>
              </w:rPr>
              <w:t>638,631,61</w:t>
            </w:r>
          </w:p>
        </w:tc>
      </w:tr>
      <w:tr>
        <w:trPr>
          <w:trHeight w:val="235"/>
        </w:trPr>
        <w:tc>
          <w:tcPr>
            <w:tcW w:w="576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8"/>
                <w:szCs w:val="18"/>
                <w:color w:val="auto"/>
              </w:rPr>
              <w:t>222,991</w:t>
            </w:r>
          </w:p>
        </w:tc>
        <w:tc>
          <w:tcPr>
            <w:tcW w:w="3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89.68</w:t>
            </w:r>
          </w:p>
        </w:tc>
        <w:tc>
          <w:tcPr>
            <w:tcW w:w="1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8"/>
                <w:szCs w:val="18"/>
                <w:color w:val="auto"/>
              </w:rPr>
              <w:t>222,991</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9</w:t>
            </w:r>
          </w:p>
        </w:tc>
      </w:tr>
      <w:tr>
        <w:trPr>
          <w:trHeight w:val="223"/>
        </w:trPr>
        <w:tc>
          <w:tcPr>
            <w:tcW w:w="7080" w:type="dxa"/>
            <w:vAlign w:val="bottom"/>
            <w:gridSpan w:val="2"/>
          </w:tcPr>
          <w:p>
            <w:pPr>
              <w:jc w:val="right"/>
              <w:ind w:right="64"/>
              <w:spacing w:after="0"/>
              <w:rPr>
                <w:sz w:val="20"/>
                <w:szCs w:val="20"/>
                <w:color w:val="auto"/>
              </w:rPr>
            </w:pPr>
            <w:r>
              <w:rPr>
                <w:rFonts w:ascii="Arial" w:cs="Arial" w:eastAsia="Arial" w:hAnsi="Arial"/>
                <w:sz w:val="18"/>
                <w:szCs w:val="18"/>
                <w:color w:val="auto"/>
              </w:rPr>
              <w:t>583,648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86.51</w:t>
            </w:r>
          </w:p>
        </w:tc>
        <w:tc>
          <w:tcPr>
            <w:tcW w:w="1380" w:type="dxa"/>
            <w:vAlign w:val="bottom"/>
            <w:gridSpan w:val="2"/>
          </w:tcPr>
          <w:p>
            <w:pPr>
              <w:jc w:val="right"/>
              <w:ind w:right="46"/>
              <w:spacing w:after="0"/>
              <w:rPr>
                <w:sz w:val="20"/>
                <w:szCs w:val="20"/>
                <w:color w:val="auto"/>
              </w:rPr>
            </w:pPr>
            <w:r>
              <w:rPr>
                <w:rFonts w:ascii="Arial" w:cs="Arial" w:eastAsia="Arial" w:hAnsi="Arial"/>
                <w:sz w:val="18"/>
                <w:szCs w:val="18"/>
                <w:color w:val="auto"/>
              </w:rPr>
              <w:t>583,648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-179070</wp:posOffset>
            </wp:positionV>
            <wp:extent cx="939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-179070</wp:posOffset>
            </wp:positionV>
            <wp:extent cx="85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3" w:lineRule="exact"/>
        <w:rPr>
          <w:sz w:val="20"/>
          <w:szCs w:val="20"/>
          <w:color w:val="auto"/>
        </w:rPr>
      </w:pPr>
    </w:p>
    <w:p>
      <w:pPr>
        <w:ind w:left="640" w:right="260" w:hanging="372"/>
        <w:spacing w:after="0" w:line="246"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values reflect the amounts that may be repurchased under the Repurchase Program approved by the Board of Directors on November 14, 2016 and the increases approved by the Board of Directors on November 8, 2017, July 30, 2018, May 9, 2019 and February 24, 2022, which in the aggregate total authorized repurchases of $4,000 million. The Repurchase Program has no termination date.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Insider Trading Arrangements</w:t>
      </w:r>
    </w:p>
    <w:p>
      <w:pPr>
        <w:spacing w:after="0" w:line="103" w:lineRule="exact"/>
        <w:rPr>
          <w:sz w:val="20"/>
          <w:szCs w:val="20"/>
          <w:color w:val="auto"/>
        </w:rPr>
      </w:pPr>
    </w:p>
    <w:p>
      <w:pPr>
        <w:ind w:right="180" w:firstLine="499"/>
        <w:spacing w:after="0" w:line="246" w:lineRule="auto"/>
        <w:rPr>
          <w:sz w:val="20"/>
          <w:szCs w:val="20"/>
          <w:color w:val="auto"/>
        </w:rPr>
      </w:pPr>
      <w:r>
        <w:rPr>
          <w:rFonts w:ascii="Arial" w:cs="Arial" w:eastAsia="Arial" w:hAnsi="Arial"/>
          <w:sz w:val="18"/>
          <w:szCs w:val="18"/>
          <w:color w:val="auto"/>
        </w:rPr>
        <w:t>The following table sets forth information related to the Company's directors and officers who adopted, modified or terminated any contract, instruction or written plan for the purchase or sale of Company securities that was intended to satisfy the affirmative defense conditions of Rule 10b5-1(c) ("Rule 10b5-1 trading arrangement") or any “non-Rule 10b5-1 trading arrangement,” as such term is defined in Item 408(c) of Regulation S-K, during the three months ended September 30, 2024: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Trading Arrangement</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0"/>
        </w:trPr>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Non-Rule</w:t>
            </w:r>
          </w:p>
        </w:tc>
        <w:tc>
          <w:tcPr>
            <w:tcW w:w="100" w:type="dxa"/>
            <w:vAlign w:val="bottom"/>
          </w:tcPr>
          <w:p>
            <w:pPr>
              <w:spacing w:after="0"/>
              <w:rPr>
                <w:sz w:val="13"/>
                <w:szCs w:val="13"/>
                <w:color w:val="auto"/>
              </w:rPr>
            </w:pPr>
          </w:p>
        </w:tc>
        <w:tc>
          <w:tcPr>
            <w:tcW w:w="1200" w:type="dxa"/>
            <w:vAlign w:val="bottom"/>
          </w:tcPr>
          <w:p>
            <w:pPr>
              <w:jc w:val="center"/>
              <w:ind w:right="68"/>
              <w:spacing w:after="0" w:line="159" w:lineRule="exact"/>
              <w:rPr>
                <w:sz w:val="20"/>
                <w:szCs w:val="20"/>
                <w:color w:val="auto"/>
              </w:rPr>
            </w:pPr>
            <w:r>
              <w:rPr>
                <w:rFonts w:ascii="Arial" w:cs="Arial" w:eastAsia="Arial" w:hAnsi="Arial"/>
                <w:sz w:val="14"/>
                <w:szCs w:val="14"/>
                <w:b w:val="1"/>
                <w:bCs w:val="1"/>
                <w:color w:val="auto"/>
              </w:rPr>
              <w:t>Total Shares to</w:t>
            </w:r>
          </w:p>
        </w:tc>
        <w:tc>
          <w:tcPr>
            <w:tcW w:w="14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Expiration</w:t>
            </w:r>
          </w:p>
        </w:tc>
      </w:tr>
      <w:tr>
        <w:trPr>
          <w:trHeight w:val="185"/>
        </w:trPr>
        <w:tc>
          <w:tcPr>
            <w:tcW w:w="17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6"/>
                <w:szCs w:val="16"/>
                <w:color w:val="auto"/>
              </w:rPr>
            </w:pPr>
          </w:p>
        </w:tc>
        <w:tc>
          <w:tcPr>
            <w:tcW w:w="270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Action</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6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Rule 10b5-1*</w:t>
            </w:r>
          </w:p>
        </w:tc>
        <w:tc>
          <w:tcPr>
            <w:tcW w:w="14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10b5-1**</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be Sold</w:t>
            </w:r>
          </w:p>
        </w:tc>
        <w:tc>
          <w:tcPr>
            <w:tcW w:w="14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223"/>
        </w:trPr>
        <w:tc>
          <w:tcPr>
            <w:tcW w:w="1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Rafael Basso</w:t>
            </w:r>
          </w:p>
        </w:tc>
        <w:tc>
          <w:tcPr>
            <w:tcW w:w="16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Vice President, Operations</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Adopted</w:t>
            </w:r>
          </w:p>
        </w:tc>
        <w:tc>
          <w:tcPr>
            <w:tcW w:w="10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8/6/2024</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14,610</w:t>
            </w:r>
          </w:p>
        </w:tc>
        <w:tc>
          <w:tcPr>
            <w:tcW w:w="11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10/31/2025</w:t>
            </w:r>
          </w:p>
        </w:tc>
      </w:tr>
    </w:tbl>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Intended to satisfy the affirmative defense of Rule 10b5-1(c)</w:t>
      </w:r>
    </w:p>
    <w:p>
      <w:pPr>
        <w:spacing w:after="0" w:line="13" w:lineRule="exact"/>
        <w:rPr>
          <w:sz w:val="20"/>
          <w:szCs w:val="20"/>
          <w:color w:val="auto"/>
        </w:rPr>
      </w:pPr>
    </w:p>
    <w:p>
      <w:pPr>
        <w:ind w:left="5520" w:right="5520" w:hanging="5252"/>
        <w:spacing w:after="0" w:line="358" w:lineRule="auto"/>
        <w:tabs>
          <w:tab w:leader="none" w:pos="454" w:val="left"/>
        </w:tabs>
        <w:numPr>
          <w:ilvl w:val="0"/>
          <w:numId w:val="5"/>
        </w:numPr>
        <w:rPr>
          <w:rFonts w:ascii="Arial" w:cs="Arial" w:eastAsia="Arial" w:hAnsi="Arial"/>
          <w:sz w:val="17"/>
          <w:szCs w:val="17"/>
          <w:color w:val="auto"/>
        </w:rPr>
      </w:pPr>
      <w:r>
        <w:rPr>
          <w:rFonts w:ascii="Arial" w:cs="Arial" w:eastAsia="Arial" w:hAnsi="Arial"/>
          <w:sz w:val="17"/>
          <w:szCs w:val="17"/>
          <w:color w:val="auto"/>
        </w:rPr>
        <w:t>Not intended to satisfy the affirmative defense of Rule 10b5-1(c)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695960</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440" w:type="dxa"/>
            <w:vAlign w:val="bottom"/>
            <w:gridSpan w:val="5"/>
          </w:tcPr>
          <w:p>
            <w:pPr>
              <w:jc w:val="center"/>
              <w:ind w:right="820"/>
              <w:spacing w:after="0"/>
              <w:rPr>
                <w:sz w:val="20"/>
                <w:szCs w:val="20"/>
                <w:color w:val="auto"/>
              </w:rPr>
            </w:pPr>
            <w:r>
              <w:rPr>
                <w:rFonts w:ascii="Arial" w:cs="Arial" w:eastAsia="Arial" w:hAnsi="Arial"/>
                <w:sz w:val="18"/>
                <w:szCs w:val="18"/>
                <w:b w:val="1"/>
                <w:bCs w:val="1"/>
                <w:color w:val="auto"/>
              </w:rPr>
              <w:t>Item 6.</w:t>
            </w:r>
          </w:p>
        </w:tc>
        <w:tc>
          <w:tcPr>
            <w:tcW w:w="8580" w:type="dxa"/>
            <w:vAlign w:val="bottom"/>
            <w:gridSpan w:val="5"/>
          </w:tcPr>
          <w:p>
            <w:pPr>
              <w:ind w:left="20"/>
              <w:spacing w:after="0"/>
              <w:rPr>
                <w:sz w:val="20"/>
                <w:szCs w:val="20"/>
                <w:color w:val="auto"/>
              </w:rPr>
            </w:pPr>
            <w:r>
              <w:rPr>
                <w:rFonts w:ascii="Arial" w:cs="Arial" w:eastAsia="Arial" w:hAnsi="Arial"/>
                <w:sz w:val="18"/>
                <w:szCs w:val="18"/>
                <w:b w:val="1"/>
                <w:bCs w:val="1"/>
                <w:color w:val="auto"/>
              </w:rPr>
              <w:t>Exhibits</w:t>
            </w: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1440" w:type="dxa"/>
            <w:vAlign w:val="bottom"/>
            <w:gridSpan w:val="5"/>
          </w:tcPr>
          <w:p>
            <w:pPr>
              <w:spacing w:after="0"/>
              <w:rPr>
                <w:sz w:val="20"/>
                <w:szCs w:val="20"/>
                <w:color w:val="auto"/>
              </w:rPr>
            </w:pPr>
            <w:r>
              <w:rPr>
                <w:rFonts w:ascii="Arial" w:cs="Arial" w:eastAsia="Arial" w:hAnsi="Arial"/>
                <w:sz w:val="18"/>
                <w:szCs w:val="18"/>
                <w:color w:val="auto"/>
              </w:rPr>
              <w:t>(a) Exhibits</w:t>
            </w:r>
          </w:p>
        </w:tc>
        <w:tc>
          <w:tcPr>
            <w:tcW w:w="3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3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320" w:type="dxa"/>
            <w:vAlign w:val="bottom"/>
            <w:gridSpan w:val="2"/>
            <w:vMerge w:val="restart"/>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Number</w:t>
            </w:r>
          </w:p>
        </w:tc>
        <w:tc>
          <w:tcPr>
            <w:tcW w:w="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332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920" w:type="dxa"/>
            <w:vAlign w:val="bottom"/>
            <w:gridSpan w:val="3"/>
          </w:tcPr>
          <w:p>
            <w:pPr>
              <w:jc w:val="center"/>
              <w:ind w:right="268"/>
              <w:spacing w:after="0"/>
              <w:rPr>
                <w:sz w:val="20"/>
                <w:szCs w:val="20"/>
                <w:color w:val="auto"/>
              </w:rPr>
            </w:pPr>
            <w:r>
              <w:rPr>
                <w:rFonts w:ascii="Arial" w:cs="Arial" w:eastAsia="Arial" w:hAnsi="Arial"/>
                <w:sz w:val="18"/>
                <w:szCs w:val="18"/>
                <w:color w:val="auto"/>
                <w:w w:val="96"/>
              </w:rPr>
              <w:t>31.1</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80" w:type="dxa"/>
            <w:vAlign w:val="bottom"/>
            <w:gridSpan w:val="5"/>
          </w:tcPr>
          <w:p>
            <w:pPr>
              <w:spacing w:after="0"/>
              <w:rPr>
                <w:sz w:val="20"/>
                <w:szCs w:val="20"/>
                <w:color w:val="auto"/>
              </w:rPr>
            </w:pPr>
            <w:r>
              <w:rPr>
                <w:rFonts w:ascii="Arial" w:cs="Arial" w:eastAsia="Arial" w:hAnsi="Arial"/>
                <w:sz w:val="18"/>
                <w:szCs w:val="18"/>
                <w:color w:val="0000FF"/>
                <w:w w:val="99"/>
              </w:rPr>
              <w:t>Certification of Chief Executive Officer pursuant to Rule 13a-14(a)/15d-14(a) as adopted pursuant to Section</w:t>
            </w:r>
          </w:p>
        </w:tc>
        <w:tc>
          <w:tcPr>
            <w:tcW w:w="1220" w:type="dxa"/>
            <w:vAlign w:val="bottom"/>
            <w:gridSpan w:val="4"/>
          </w:tcPr>
          <w:p>
            <w:pPr>
              <w:ind w:left="80"/>
              <w:spacing w:after="0"/>
              <w:rPr>
                <w:sz w:val="20"/>
                <w:szCs w:val="20"/>
                <w:color w:val="auto"/>
              </w:rPr>
            </w:pPr>
            <w:r>
              <w:rPr>
                <w:rFonts w:ascii="Arial" w:cs="Arial" w:eastAsia="Arial" w:hAnsi="Arial"/>
                <w:sz w:val="18"/>
                <w:szCs w:val="18"/>
                <w:color w:val="0000FF"/>
              </w:rPr>
              <w:t>302 of the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58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Sarbanes-Oxley Act of 2002 (filed herewith)</w:t>
            </w:r>
          </w:p>
        </w:tc>
        <w:tc>
          <w:tcPr>
            <w:tcW w:w="8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gridSpan w:val="3"/>
          </w:tcPr>
          <w:p>
            <w:pPr>
              <w:jc w:val="center"/>
              <w:ind w:right="268"/>
              <w:spacing w:after="0"/>
              <w:rPr>
                <w:sz w:val="20"/>
                <w:szCs w:val="20"/>
                <w:color w:val="auto"/>
              </w:rPr>
            </w:pPr>
            <w:r>
              <w:rPr>
                <w:rFonts w:ascii="Arial" w:cs="Arial" w:eastAsia="Arial" w:hAnsi="Arial"/>
                <w:sz w:val="18"/>
                <w:szCs w:val="18"/>
                <w:color w:val="auto"/>
                <w:w w:val="96"/>
              </w:rPr>
              <w:t>31.2</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80" w:type="dxa"/>
            <w:vAlign w:val="bottom"/>
            <w:gridSpan w:val="5"/>
          </w:tcPr>
          <w:p>
            <w:pPr>
              <w:spacing w:after="0"/>
              <w:rPr>
                <w:sz w:val="20"/>
                <w:szCs w:val="20"/>
                <w:color w:val="auto"/>
              </w:rPr>
            </w:pPr>
            <w:r>
              <w:rPr>
                <w:rFonts w:ascii="Arial" w:cs="Arial" w:eastAsia="Arial" w:hAnsi="Arial"/>
                <w:sz w:val="18"/>
                <w:szCs w:val="18"/>
                <w:color w:val="0000FF"/>
              </w:rPr>
              <w:t>Certification of Chief Financial Officer pursuant to Rule 13a-14(a)/15d-14(a) as adopted pursuant to Section</w:t>
            </w:r>
          </w:p>
        </w:tc>
        <w:tc>
          <w:tcPr>
            <w:tcW w:w="1220" w:type="dxa"/>
            <w:vAlign w:val="bottom"/>
            <w:gridSpan w:val="4"/>
          </w:tcPr>
          <w:p>
            <w:pPr>
              <w:ind w:left="20"/>
              <w:spacing w:after="0"/>
              <w:rPr>
                <w:sz w:val="20"/>
                <w:szCs w:val="20"/>
                <w:color w:val="auto"/>
              </w:rPr>
            </w:pPr>
            <w:r>
              <w:rPr>
                <w:rFonts w:ascii="Arial" w:cs="Arial" w:eastAsia="Arial" w:hAnsi="Arial"/>
                <w:sz w:val="18"/>
                <w:szCs w:val="18"/>
                <w:color w:val="0000FF"/>
              </w:rPr>
              <w:t>302 of the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58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Sarbanes-Oxley Act of 2002 (filed herewith)</w:t>
            </w:r>
          </w:p>
        </w:tc>
        <w:tc>
          <w:tcPr>
            <w:tcW w:w="86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gridSpan w:val="3"/>
          </w:tcPr>
          <w:p>
            <w:pPr>
              <w:jc w:val="center"/>
              <w:ind w:right="268"/>
              <w:spacing w:after="0"/>
              <w:rPr>
                <w:sz w:val="20"/>
                <w:szCs w:val="20"/>
                <w:color w:val="auto"/>
              </w:rPr>
            </w:pPr>
            <w:r>
              <w:rPr>
                <w:rFonts w:ascii="Arial" w:cs="Arial" w:eastAsia="Arial" w:hAnsi="Arial"/>
                <w:sz w:val="18"/>
                <w:szCs w:val="18"/>
                <w:color w:val="auto"/>
                <w:w w:val="96"/>
              </w:rPr>
              <w:t>32.1</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Arial" w:cs="Arial" w:eastAsia="Arial" w:hAnsi="Arial"/>
                <w:sz w:val="18"/>
                <w:szCs w:val="18"/>
                <w:color w:val="0000FF"/>
              </w:rPr>
              <w:t>Certification of Periodic Report by Chief Executive Officer and Chief Financial Officer pursuant to 18 U.S.C. Section 1350,</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58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as adopted pursuant to Section 906 of the Sarbanes-Oxley Act of 2002 (filed herewith)</w:t>
            </w:r>
          </w:p>
        </w:tc>
        <w:tc>
          <w:tcPr>
            <w:tcW w:w="8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Borders>
              <w:right w:val="single" w:sz="8" w:color="0000EE"/>
            </w:tcBorders>
            <w:gridSpan w:val="5"/>
          </w:tcPr>
          <w:p>
            <w:pPr>
              <w:spacing w:after="0" w:line="20" w:lineRule="exact"/>
              <w:rPr>
                <w:sz w:val="1"/>
                <w:szCs w:val="1"/>
                <w:color w:val="auto"/>
              </w:rPr>
            </w:pPr>
          </w:p>
        </w:tc>
        <w:tc>
          <w:tcPr>
            <w:tcW w:w="6880" w:type="dxa"/>
            <w:vAlign w:val="bottom"/>
            <w:gridSpan w:val="4"/>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1440" w:type="dxa"/>
            <w:vAlign w:val="bottom"/>
            <w:gridSpan w:val="5"/>
          </w:tcPr>
          <w:p>
            <w:pPr>
              <w:ind w:left="60"/>
              <w:spacing w:after="0"/>
              <w:rPr>
                <w:sz w:val="20"/>
                <w:szCs w:val="20"/>
                <w:color w:val="auto"/>
              </w:rPr>
            </w:pPr>
            <w:r>
              <w:rPr>
                <w:rFonts w:ascii="Arial" w:cs="Arial" w:eastAsia="Arial" w:hAnsi="Arial"/>
                <w:sz w:val="18"/>
                <w:szCs w:val="18"/>
                <w:color w:val="auto"/>
              </w:rPr>
              <w:t>101.INS</w:t>
            </w:r>
          </w:p>
        </w:tc>
        <w:tc>
          <w:tcPr>
            <w:tcW w:w="8580" w:type="dxa"/>
            <w:vAlign w:val="bottom"/>
            <w:gridSpan w:val="5"/>
          </w:tcPr>
          <w:p>
            <w:pPr>
              <w:spacing w:after="0"/>
              <w:rPr>
                <w:sz w:val="20"/>
                <w:szCs w:val="20"/>
                <w:color w:val="auto"/>
              </w:rPr>
            </w:pPr>
            <w:r>
              <w:rPr>
                <w:rFonts w:ascii="Arial" w:cs="Arial" w:eastAsia="Arial" w:hAnsi="Arial"/>
                <w:sz w:val="18"/>
                <w:szCs w:val="18"/>
                <w:color w:val="auto"/>
              </w:rPr>
              <w:t>Inline XBRL Instance Document (filed herewith)</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440" w:type="dxa"/>
            <w:vAlign w:val="bottom"/>
            <w:gridSpan w:val="5"/>
          </w:tcPr>
          <w:p>
            <w:pPr>
              <w:ind w:left="80"/>
              <w:spacing w:after="0"/>
              <w:rPr>
                <w:sz w:val="20"/>
                <w:szCs w:val="20"/>
                <w:color w:val="auto"/>
              </w:rPr>
            </w:pPr>
            <w:r>
              <w:rPr>
                <w:rFonts w:ascii="Arial" w:cs="Arial" w:eastAsia="Arial" w:hAnsi="Arial"/>
                <w:sz w:val="18"/>
                <w:szCs w:val="18"/>
                <w:color w:val="auto"/>
              </w:rPr>
              <w:t>101.SCH</w:t>
            </w:r>
          </w:p>
        </w:tc>
        <w:tc>
          <w:tcPr>
            <w:tcW w:w="85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With Embedded Linkbase Document (filed herewith)</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420" w:right="360" w:hanging="1358"/>
        <w:spacing w:after="0" w:line="271"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 Page Interactive Data File – The cover page from the Registrant’s Quarterly Report on Form 10-Q for the quarter ended September 30, 2024, formatted in Inline XBRL and contained in Exhibit 101</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right="420" w:firstLine="49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b w:val="1"/>
                <w:bCs w:val="1"/>
                <w:color w:val="auto"/>
              </w:rPr>
              <w:t>ALLISON TRANSMISSION HOLDINGS, INC.</w:t>
            </w:r>
          </w:p>
        </w:tc>
        <w:tc>
          <w:tcPr>
            <w:tcW w:w="2020" w:type="dxa"/>
            <w:vAlign w:val="bottom"/>
          </w:tcPr>
          <w:p>
            <w:pPr>
              <w:spacing w:after="0"/>
              <w:rPr>
                <w:sz w:val="21"/>
                <w:szCs w:val="21"/>
                <w:color w:val="auto"/>
              </w:rPr>
            </w:pPr>
          </w:p>
        </w:tc>
      </w:tr>
      <w:tr>
        <w:trPr>
          <w:trHeight w:val="473"/>
        </w:trPr>
        <w:tc>
          <w:tcPr>
            <w:tcW w:w="2240" w:type="dxa"/>
            <w:vAlign w:val="bottom"/>
          </w:tcPr>
          <w:p>
            <w:pPr>
              <w:ind w:left="20"/>
              <w:spacing w:after="0"/>
              <w:rPr>
                <w:sz w:val="20"/>
                <w:szCs w:val="20"/>
                <w:color w:val="auto"/>
              </w:rPr>
            </w:pPr>
            <w:r>
              <w:rPr>
                <w:rFonts w:ascii="Arial" w:cs="Arial" w:eastAsia="Arial" w:hAnsi="Arial"/>
                <w:sz w:val="18"/>
                <w:szCs w:val="18"/>
                <w:color w:val="auto"/>
              </w:rPr>
              <w:t>Date: October 30, 2024</w:t>
            </w:r>
          </w:p>
        </w:tc>
        <w:tc>
          <w:tcPr>
            <w:tcW w:w="820" w:type="dxa"/>
            <w:vAlign w:val="bottom"/>
          </w:tcPr>
          <w:p>
            <w:pPr>
              <w:ind w:left="360"/>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David S. Graziosi</w:t>
            </w:r>
          </w:p>
        </w:tc>
        <w:tc>
          <w:tcPr>
            <w:tcW w:w="2020" w:type="dxa"/>
            <w:vAlign w:val="bottom"/>
          </w:tcPr>
          <w:p>
            <w:pPr>
              <w:spacing w:after="0"/>
              <w:rPr>
                <w:sz w:val="24"/>
                <w:szCs w:val="24"/>
                <w:color w:val="auto"/>
              </w:rPr>
            </w:pPr>
          </w:p>
        </w:tc>
      </w:tr>
      <w:tr>
        <w:trPr>
          <w:trHeight w:val="469"/>
        </w:trPr>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jc w:val="center"/>
              <w:ind w:left="130"/>
              <w:spacing w:after="0"/>
              <w:rPr>
                <w:sz w:val="20"/>
                <w:szCs w:val="20"/>
                <w:color w:val="auto"/>
              </w:rPr>
            </w:pPr>
            <w:r>
              <w:rPr>
                <w:rFonts w:ascii="Arial" w:cs="Arial" w:eastAsia="Arial" w:hAnsi="Arial"/>
                <w:sz w:val="18"/>
                <w:szCs w:val="18"/>
                <w:color w:val="auto"/>
                <w:w w:val="98"/>
              </w:rPr>
              <w:t>Name:</w:t>
            </w:r>
          </w:p>
        </w:tc>
        <w:tc>
          <w:tcPr>
            <w:tcW w:w="5020" w:type="dxa"/>
            <w:vAlign w:val="bottom"/>
          </w:tcPr>
          <w:p>
            <w:pPr>
              <w:ind w:left="220"/>
              <w:spacing w:after="0"/>
              <w:rPr>
                <w:sz w:val="20"/>
                <w:szCs w:val="20"/>
                <w:color w:val="auto"/>
              </w:rPr>
            </w:pPr>
            <w:r>
              <w:rPr>
                <w:rFonts w:ascii="Arial" w:cs="Arial" w:eastAsia="Arial" w:hAnsi="Arial"/>
                <w:sz w:val="18"/>
                <w:szCs w:val="18"/>
                <w:color w:val="auto"/>
              </w:rPr>
              <w:t>David S. Graziosi</w:t>
            </w:r>
          </w:p>
        </w:tc>
        <w:tc>
          <w:tcPr>
            <w:tcW w:w="2020" w:type="dxa"/>
            <w:vAlign w:val="bottom"/>
          </w:tcPr>
          <w:p>
            <w:pPr>
              <w:spacing w:after="0"/>
              <w:rPr>
                <w:sz w:val="24"/>
                <w:szCs w:val="24"/>
                <w:color w:val="auto"/>
              </w:rPr>
            </w:pPr>
          </w:p>
        </w:tc>
      </w:tr>
      <w:tr>
        <w:trPr>
          <w:trHeight w:val="260"/>
        </w:trPr>
        <w:tc>
          <w:tcPr>
            <w:tcW w:w="2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color w:val="auto"/>
                <w:w w:val="97"/>
              </w:rPr>
              <w:t>Title:</w:t>
            </w:r>
          </w:p>
        </w:tc>
        <w:tc>
          <w:tcPr>
            <w:tcW w:w="5020" w:type="dxa"/>
            <w:vAlign w:val="bottom"/>
          </w:tcPr>
          <w:p>
            <w:pPr>
              <w:ind w:left="220"/>
              <w:spacing w:after="0"/>
              <w:rPr>
                <w:sz w:val="20"/>
                <w:szCs w:val="20"/>
                <w:color w:val="auto"/>
              </w:rPr>
            </w:pPr>
            <w:r>
              <w:rPr>
                <w:rFonts w:ascii="Arial" w:cs="Arial" w:eastAsia="Arial" w:hAnsi="Arial"/>
                <w:sz w:val="18"/>
                <w:szCs w:val="18"/>
                <w:color w:val="auto"/>
              </w:rPr>
              <w:t>Chair, President and Chief Executive Officer</w:t>
            </w:r>
          </w:p>
        </w:tc>
        <w:tc>
          <w:tcPr>
            <w:tcW w:w="2020" w:type="dxa"/>
            <w:vAlign w:val="bottom"/>
          </w:tcPr>
          <w:p>
            <w:pPr>
              <w:spacing w:after="0"/>
              <w:rPr>
                <w:sz w:val="22"/>
                <w:szCs w:val="22"/>
                <w:color w:val="auto"/>
              </w:rPr>
            </w:pPr>
          </w:p>
        </w:tc>
      </w:tr>
      <w:tr>
        <w:trPr>
          <w:trHeight w:val="239"/>
        </w:trPr>
        <w:tc>
          <w:tcPr>
            <w:tcW w:w="2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c>
          <w:tcPr>
            <w:tcW w:w="2020" w:type="dxa"/>
            <w:vAlign w:val="bottom"/>
          </w:tcPr>
          <w:p>
            <w:pPr>
              <w:spacing w:after="0"/>
              <w:rPr>
                <w:sz w:val="20"/>
                <w:szCs w:val="20"/>
                <w:color w:val="auto"/>
              </w:rPr>
            </w:pPr>
          </w:p>
        </w:tc>
      </w:tr>
      <w:tr>
        <w:trPr>
          <w:trHeight w:val="684"/>
        </w:trPr>
        <w:tc>
          <w:tcPr>
            <w:tcW w:w="2240" w:type="dxa"/>
            <w:vAlign w:val="bottom"/>
          </w:tcPr>
          <w:p>
            <w:pPr>
              <w:ind w:left="20"/>
              <w:spacing w:after="0"/>
              <w:rPr>
                <w:sz w:val="20"/>
                <w:szCs w:val="20"/>
                <w:color w:val="auto"/>
              </w:rPr>
            </w:pPr>
            <w:r>
              <w:rPr>
                <w:rFonts w:ascii="Arial" w:cs="Arial" w:eastAsia="Arial" w:hAnsi="Arial"/>
                <w:sz w:val="18"/>
                <w:szCs w:val="18"/>
                <w:color w:val="auto"/>
              </w:rPr>
              <w:t>Date: October 30, 2024</w:t>
            </w:r>
          </w:p>
        </w:tc>
        <w:tc>
          <w:tcPr>
            <w:tcW w:w="820" w:type="dxa"/>
            <w:vAlign w:val="bottom"/>
          </w:tcPr>
          <w:p>
            <w:pPr>
              <w:ind w:left="360"/>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G. Frederick Bohley</w:t>
            </w:r>
          </w:p>
        </w:tc>
        <w:tc>
          <w:tcPr>
            <w:tcW w:w="2020" w:type="dxa"/>
            <w:vAlign w:val="bottom"/>
          </w:tcPr>
          <w:p>
            <w:pPr>
              <w:spacing w:after="0"/>
              <w:rPr>
                <w:sz w:val="24"/>
                <w:szCs w:val="24"/>
                <w:color w:val="auto"/>
              </w:rPr>
            </w:pPr>
          </w:p>
        </w:tc>
      </w:tr>
      <w:tr>
        <w:trPr>
          <w:trHeight w:val="469"/>
        </w:trPr>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jc w:val="center"/>
              <w:ind w:left="130"/>
              <w:spacing w:after="0"/>
              <w:rPr>
                <w:sz w:val="20"/>
                <w:szCs w:val="20"/>
                <w:color w:val="auto"/>
              </w:rPr>
            </w:pPr>
            <w:r>
              <w:rPr>
                <w:rFonts w:ascii="Arial" w:cs="Arial" w:eastAsia="Arial" w:hAnsi="Arial"/>
                <w:sz w:val="18"/>
                <w:szCs w:val="18"/>
                <w:color w:val="auto"/>
                <w:w w:val="98"/>
              </w:rPr>
              <w:t>Name:</w:t>
            </w:r>
          </w:p>
        </w:tc>
        <w:tc>
          <w:tcPr>
            <w:tcW w:w="5020" w:type="dxa"/>
            <w:vAlign w:val="bottom"/>
          </w:tcPr>
          <w:p>
            <w:pPr>
              <w:ind w:left="220"/>
              <w:spacing w:after="0"/>
              <w:rPr>
                <w:sz w:val="20"/>
                <w:szCs w:val="20"/>
                <w:color w:val="auto"/>
              </w:rPr>
            </w:pPr>
            <w:r>
              <w:rPr>
                <w:rFonts w:ascii="Arial" w:cs="Arial" w:eastAsia="Arial" w:hAnsi="Arial"/>
                <w:sz w:val="18"/>
                <w:szCs w:val="18"/>
                <w:color w:val="auto"/>
              </w:rPr>
              <w:t>G. Frederick Bohley</w:t>
            </w:r>
          </w:p>
        </w:tc>
        <w:tc>
          <w:tcPr>
            <w:tcW w:w="2020" w:type="dxa"/>
            <w:vAlign w:val="bottom"/>
          </w:tcPr>
          <w:p>
            <w:pPr>
              <w:spacing w:after="0"/>
              <w:rPr>
                <w:sz w:val="24"/>
                <w:szCs w:val="24"/>
                <w:color w:val="auto"/>
              </w:rPr>
            </w:pPr>
          </w:p>
        </w:tc>
      </w:tr>
      <w:tr>
        <w:trPr>
          <w:trHeight w:val="233"/>
        </w:trPr>
        <w:tc>
          <w:tcPr>
            <w:tcW w:w="2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color w:val="auto"/>
                <w:w w:val="97"/>
              </w:rPr>
              <w:t>Title:</w:t>
            </w:r>
          </w:p>
        </w:tc>
        <w:tc>
          <w:tcPr>
            <w:tcW w:w="5020" w:type="dxa"/>
            <w:vAlign w:val="bottom"/>
          </w:tcPr>
          <w:p>
            <w:pPr>
              <w:ind w:left="220"/>
              <w:spacing w:after="0"/>
              <w:rPr>
                <w:sz w:val="20"/>
                <w:szCs w:val="20"/>
                <w:color w:val="auto"/>
              </w:rPr>
            </w:pPr>
            <w:r>
              <w:rPr>
                <w:rFonts w:ascii="Arial" w:cs="Arial" w:eastAsia="Arial" w:hAnsi="Arial"/>
                <w:sz w:val="18"/>
                <w:szCs w:val="18"/>
                <w:color w:val="auto"/>
              </w:rPr>
              <w:t>Chief Operating Officer, Chief Financial Officer and</w:t>
            </w:r>
          </w:p>
        </w:tc>
        <w:tc>
          <w:tcPr>
            <w:tcW w:w="2020" w:type="dxa"/>
            <w:vAlign w:val="bottom"/>
          </w:tcPr>
          <w:p>
            <w:pPr>
              <w:spacing w:after="0"/>
              <w:rPr>
                <w:sz w:val="20"/>
                <w:szCs w:val="20"/>
                <w:color w:val="auto"/>
              </w:rPr>
            </w:pPr>
          </w:p>
        </w:tc>
      </w:tr>
      <w:tr>
        <w:trPr>
          <w:trHeight w:val="202"/>
        </w:trPr>
        <w:tc>
          <w:tcPr>
            <w:tcW w:w="2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20" w:type="dxa"/>
            <w:vAlign w:val="bottom"/>
          </w:tcPr>
          <w:p>
            <w:pPr>
              <w:ind w:left="220"/>
              <w:spacing w:after="0" w:line="202" w:lineRule="exact"/>
              <w:rPr>
                <w:sz w:val="20"/>
                <w:szCs w:val="20"/>
                <w:color w:val="auto"/>
              </w:rPr>
            </w:pPr>
            <w:r>
              <w:rPr>
                <w:rFonts w:ascii="Arial" w:cs="Arial" w:eastAsia="Arial" w:hAnsi="Arial"/>
                <w:sz w:val="18"/>
                <w:szCs w:val="18"/>
                <w:color w:val="auto"/>
              </w:rPr>
              <w:t>Treasurer (Principal Financial Officer and Principal</w:t>
            </w:r>
          </w:p>
        </w:tc>
        <w:tc>
          <w:tcPr>
            <w:tcW w:w="2020" w:type="dxa"/>
            <w:vAlign w:val="bottom"/>
          </w:tcPr>
          <w:p>
            <w:pPr>
              <w:spacing w:after="0"/>
              <w:rPr>
                <w:sz w:val="17"/>
                <w:szCs w:val="17"/>
                <w:color w:val="auto"/>
              </w:rPr>
            </w:pPr>
          </w:p>
        </w:tc>
      </w:tr>
      <w:tr>
        <w:trPr>
          <w:trHeight w:val="239"/>
        </w:trPr>
        <w:tc>
          <w:tcPr>
            <w:tcW w:w="2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Accounting Officer)</w:t>
            </w:r>
          </w:p>
        </w:tc>
        <w:tc>
          <w:tcPr>
            <w:tcW w:w="2020" w:type="dxa"/>
            <w:vAlign w:val="bottom"/>
          </w:tcPr>
          <w:p>
            <w:pPr>
              <w:spacing w:after="0"/>
              <w:rPr>
                <w:sz w:val="20"/>
                <w:szCs w:val="20"/>
                <w:color w:val="auto"/>
              </w:rPr>
            </w:pPr>
          </w:p>
        </w:tc>
      </w:tr>
      <w:tr>
        <w:trPr>
          <w:trHeight w:val="593"/>
        </w:trPr>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20" w:type="dxa"/>
            <w:vAlign w:val="bottom"/>
          </w:tcPr>
          <w:p>
            <w:pPr>
              <w:ind w:left="1320"/>
              <w:spacing w:after="0"/>
              <w:rPr>
                <w:sz w:val="20"/>
                <w:szCs w:val="20"/>
                <w:color w:val="auto"/>
              </w:rPr>
            </w:pPr>
            <w:r>
              <w:rPr>
                <w:rFonts w:ascii="Arial" w:cs="Arial" w:eastAsia="Arial" w:hAnsi="Arial"/>
                <w:sz w:val="18"/>
                <w:szCs w:val="18"/>
                <w:color w:val="auto"/>
              </w:rPr>
              <w:t>42</w:t>
            </w:r>
          </w:p>
        </w:tc>
        <w:tc>
          <w:tcPr>
            <w:tcW w:w="2020" w:type="dxa"/>
            <w:vAlign w:val="bottom"/>
          </w:tcPr>
          <w:p>
            <w:pPr>
              <w:spacing w:after="0"/>
              <w:rPr>
                <w:sz w:val="24"/>
                <w:szCs w:val="24"/>
                <w:color w:val="auto"/>
              </w:rPr>
            </w:pPr>
          </w:p>
        </w:tc>
      </w:tr>
      <w:tr>
        <w:trPr>
          <w:trHeight w:val="745"/>
        </w:trPr>
        <w:tc>
          <w:tcPr>
            <w:tcW w:w="2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 Graziosi, certify that:</w:t>
      </w:r>
    </w:p>
    <w:p>
      <w:pPr>
        <w:spacing w:after="0" w:line="225" w:lineRule="exact"/>
        <w:rPr>
          <w:sz w:val="20"/>
          <w:szCs w:val="20"/>
          <w:color w:val="auto"/>
        </w:rPr>
      </w:pPr>
    </w:p>
    <w:p>
      <w:pPr>
        <w:ind w:left="760" w:hanging="75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224" w:lineRule="exact"/>
        <w:rPr>
          <w:rFonts w:ascii="Times New Roman" w:cs="Times New Roman" w:eastAsia="Times New Roman" w:hAnsi="Times New Roman"/>
          <w:sz w:val="18"/>
          <w:szCs w:val="18"/>
          <w:color w:val="auto"/>
        </w:rPr>
      </w:pPr>
    </w:p>
    <w:p>
      <w:pPr>
        <w:jc w:val="both"/>
        <w:ind w:left="760" w:right="20" w:hanging="752"/>
        <w:spacing w:after="0" w:line="265"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760" w:right="260" w:hanging="752"/>
        <w:spacing w:after="0" w:line="28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760" w:right="20" w:hanging="752"/>
        <w:spacing w:after="0" w:line="265"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500" w:right="160" w:hanging="743"/>
        <w:spacing w:after="0" w:line="265"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500" w:right="260" w:hanging="743"/>
        <w:spacing w:after="0" w:line="265"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500" w:right="20" w:hanging="743"/>
        <w:spacing w:after="0" w:line="312" w:lineRule="auto"/>
        <w:tabs>
          <w:tab w:leader="none" w:pos="150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500" w:right="60" w:hanging="743"/>
        <w:spacing w:after="0" w:line="265"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760" w:right="180" w:hanging="752"/>
        <w:spacing w:after="0" w:line="28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500" w:right="320" w:hanging="743"/>
        <w:spacing w:after="0" w:line="281"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500" w:hanging="743"/>
        <w:spacing w:after="0" w:line="281"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October 30, 2024</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7060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36"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Chair, President and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989330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43" w:name="page44"/>
    <w:bookmarkEnd w:id="43"/>
    <w:p>
      <w:pPr>
        <w:ind w:left="92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08"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Frederick Bohley, certify that:</w:t>
      </w:r>
    </w:p>
    <w:p>
      <w:pPr>
        <w:spacing w:after="0" w:line="225" w:lineRule="exact"/>
        <w:rPr>
          <w:sz w:val="20"/>
          <w:szCs w:val="20"/>
          <w:color w:val="auto"/>
        </w:rPr>
      </w:pPr>
    </w:p>
    <w:p>
      <w:pPr>
        <w:ind w:left="760" w:hanging="75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224" w:lineRule="exact"/>
        <w:rPr>
          <w:rFonts w:ascii="Times New Roman" w:cs="Times New Roman" w:eastAsia="Times New Roman" w:hAnsi="Times New Roman"/>
          <w:sz w:val="18"/>
          <w:szCs w:val="18"/>
          <w:color w:val="auto"/>
        </w:rPr>
      </w:pPr>
    </w:p>
    <w:p>
      <w:pPr>
        <w:jc w:val="both"/>
        <w:ind w:left="760" w:right="20" w:hanging="752"/>
        <w:spacing w:after="0" w:line="265"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760" w:right="260" w:hanging="752"/>
        <w:spacing w:after="0" w:line="28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760" w:right="20" w:hanging="752"/>
        <w:spacing w:after="0" w:line="265"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500" w:right="160" w:hanging="743"/>
        <w:spacing w:after="0" w:line="265"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500" w:right="260" w:hanging="743"/>
        <w:spacing w:after="0" w:line="265"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500" w:right="20" w:hanging="743"/>
        <w:spacing w:after="0" w:line="312" w:lineRule="auto"/>
        <w:tabs>
          <w:tab w:leader="none" w:pos="150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500" w:right="60" w:hanging="743"/>
        <w:spacing w:after="0" w:line="265"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760" w:right="180" w:hanging="752"/>
        <w:spacing w:after="0" w:line="28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500" w:right="320" w:hanging="743"/>
        <w:spacing w:after="0" w:line="281"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500" w:hanging="743"/>
        <w:spacing w:after="0" w:line="281"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October 30, 2024</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3689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36892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G. Frederick Bohley</w:t>
      </w:r>
    </w:p>
    <w:p>
      <w:pPr>
        <w:spacing w:after="0" w:line="36"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Operating Officer, Chief Financial Officer and Treasurer</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1160145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45" w:name="page46"/>
    <w:bookmarkEnd w:id="45"/>
    <w:p>
      <w:pPr>
        <w:ind w:left="920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08"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80" w:firstLine="749"/>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Allison Transmission Holdings, Inc. (the “Company”) on Form 10-Q for the quarter ending September 30, 2024, as filed with the Securities and Exchange Commission on the date hereof (the “Report”), we, David S. Graziosi, Chair, President and Chief Executive Officer of the Company, and G. Frederick Bohley, Chief Operating Officer, Chief Financial Officer and Treasurer of the Company, certify, pursuant to 18 U.S.C. § 1350 as adopted pursuant to § 906 of the Sarbanes-Oxley Act of 2002, that:</w:t>
      </w:r>
    </w:p>
    <w:p>
      <w:pPr>
        <w:spacing w:after="0" w:line="182" w:lineRule="exact"/>
        <w:rPr>
          <w:sz w:val="20"/>
          <w:szCs w:val="20"/>
          <w:color w:val="auto"/>
        </w:rPr>
      </w:pPr>
    </w:p>
    <w:p>
      <w:pPr>
        <w:ind w:left="760" w:hanging="752"/>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October 30, 2024</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619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26199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S. Graziosi</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 President and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October 30, 2024</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619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26199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 Frederick Bohley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Operating Officer, Chief Financial Officer and Treasurer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04"/>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2024-10-30T08:28:23Z</dcterms:created>
  <dcterms:modified xsi:type="dcterms:W3CDTF">2024-10-30T08:28:23Z</dcterms:modified>
</cp:coreProperties>
</file>