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144145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66"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2555875</wp:posOffset>
            </wp:positionH>
            <wp:positionV relativeFrom="paragraph">
              <wp:posOffset>55245</wp:posOffset>
            </wp:positionV>
            <wp:extent cx="21532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3285" cy="7620"/>
                    </a:xfrm>
                    <a:prstGeom prst="rect">
                      <a:avLst/>
                    </a:prstGeom>
                    <a:noFill/>
                  </pic:spPr>
                </pic:pic>
              </a:graphicData>
            </a:graphic>
          </wp:anchor>
        </w:drawing>
      </w:r>
    </w:p>
    <w:p>
      <w:pPr>
        <w:spacing w:after="0" w:line="101" w:lineRule="exact"/>
        <w:rPr>
          <w:sz w:val="24"/>
          <w:szCs w:val="24"/>
          <w:color w:val="auto"/>
        </w:rPr>
      </w:pPr>
    </w:p>
    <w:p>
      <w:pPr>
        <w:jc w:val="center"/>
        <w:ind w:right="-5"/>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2555875</wp:posOffset>
            </wp:positionH>
            <wp:positionV relativeFrom="paragraph">
              <wp:posOffset>78740</wp:posOffset>
            </wp:positionV>
            <wp:extent cx="21532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53285" cy="7620"/>
                    </a:xfrm>
                    <a:prstGeom prst="rect">
                      <a:avLst/>
                    </a:prstGeom>
                    <a:noFill/>
                  </pic:spPr>
                </pic:pic>
              </a:graphicData>
            </a:graphic>
          </wp:anchor>
        </w:drawing>
      </w:r>
    </w:p>
    <w:p>
      <w:pPr>
        <w:spacing w:after="0" w:line="181" w:lineRule="exact"/>
        <w:rPr>
          <w:sz w:val="24"/>
          <w:szCs w:val="24"/>
          <w:color w:val="auto"/>
        </w:rPr>
      </w:pPr>
    </w:p>
    <w:p>
      <w:pPr>
        <w:ind w:left="4286" w:right="4080" w:hanging="4286"/>
        <w:spacing w:after="0" w:line="321" w:lineRule="auto"/>
        <w:tabs>
          <w:tab w:leader="none" w:pos="406"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3"/>
          <w:szCs w:val="13"/>
          <w:b w:val="1"/>
          <w:bCs w:val="1"/>
          <w:color w:val="auto"/>
        </w:rPr>
        <w:t>For the Fiscal Year Ended December 31, 2019</w:t>
      </w:r>
    </w:p>
    <w:p>
      <w:pPr>
        <w:spacing w:after="0" w:line="1" w:lineRule="exact"/>
        <w:rPr>
          <w:sz w:val="24"/>
          <w:szCs w:val="24"/>
          <w:color w:val="auto"/>
        </w:rPr>
      </w:pPr>
    </w:p>
    <w:p>
      <w:pPr>
        <w:jc w:val="center"/>
        <w:ind w:right="-5"/>
        <w:spacing w:after="0"/>
        <w:rPr>
          <w:sz w:val="20"/>
          <w:szCs w:val="20"/>
          <w:color w:val="auto"/>
        </w:rPr>
      </w:pPr>
      <w:r>
        <w:rPr>
          <w:rFonts w:ascii="Arial" w:cs="Arial" w:eastAsia="Arial" w:hAnsi="Arial"/>
          <w:sz w:val="13"/>
          <w:szCs w:val="13"/>
          <w:b w:val="1"/>
          <w:bCs w:val="1"/>
          <w:color w:val="auto"/>
        </w:rPr>
        <w:t>OR</w:t>
      </w:r>
    </w:p>
    <w:p>
      <w:pPr>
        <w:spacing w:after="0" w:line="76" w:lineRule="exact"/>
        <w:rPr>
          <w:sz w:val="24"/>
          <w:szCs w:val="24"/>
          <w:color w:val="auto"/>
        </w:rPr>
      </w:pPr>
    </w:p>
    <w:p>
      <w:pPr>
        <w:ind w:left="4726" w:right="3820" w:hanging="4726"/>
        <w:spacing w:after="0" w:line="351" w:lineRule="auto"/>
        <w:tabs>
          <w:tab w:leader="none" w:pos="41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3"/>
          <w:szCs w:val="13"/>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2555875</wp:posOffset>
            </wp:positionH>
            <wp:positionV relativeFrom="paragraph">
              <wp:posOffset>1905</wp:posOffset>
            </wp:positionV>
            <wp:extent cx="215328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3285" cy="7620"/>
                    </a:xfrm>
                    <a:prstGeom prst="rect">
                      <a:avLst/>
                    </a:prstGeom>
                    <a:noFill/>
                  </pic:spPr>
                </pic:pic>
              </a:graphicData>
            </a:graphic>
          </wp:anchor>
        </w:drawing>
      </w:r>
    </w:p>
    <w:p>
      <w:pPr>
        <w:spacing w:after="0" w:line="12" w:lineRule="exact"/>
        <w:rPr>
          <w:sz w:val="24"/>
          <w:szCs w:val="24"/>
          <w:color w:val="auto"/>
        </w:rPr>
      </w:pPr>
    </w:p>
    <w:p>
      <w:pPr>
        <w:jc w:val="center"/>
        <w:ind w:right="-5"/>
        <w:spacing w:after="0"/>
        <w:rPr>
          <w:sz w:val="20"/>
          <w:szCs w:val="20"/>
          <w:color w:val="auto"/>
        </w:rPr>
      </w:pPr>
      <w:r>
        <w:rPr>
          <w:rFonts w:ascii="Arial" w:cs="Arial" w:eastAsia="Arial" w:hAnsi="Arial"/>
          <w:sz w:val="31"/>
          <w:szCs w:val="31"/>
          <w:b w:val="1"/>
          <w:bCs w:val="1"/>
          <w:color w:val="auto"/>
        </w:rPr>
        <w:t>ALLISON TRANSMISSION HOLDINGS, INC.</w:t>
      </w:r>
    </w:p>
    <w:p>
      <w:pPr>
        <w:spacing w:after="0" w:line="46" w:lineRule="exact"/>
        <w:rPr>
          <w:sz w:val="24"/>
          <w:szCs w:val="24"/>
          <w:color w:val="auto"/>
        </w:rPr>
      </w:pPr>
    </w:p>
    <w:tbl>
      <w:tblPr>
        <w:tblLayout w:type="fixed"/>
        <w:tblInd w:w="2226" w:type="dxa"/>
        <w:tblCellMar>
          <w:top w:w="0" w:type="dxa"/>
          <w:left w:w="0" w:type="dxa"/>
          <w:bottom w:w="0" w:type="dxa"/>
          <w:right w:w="0" w:type="dxa"/>
        </w:tblCellMar>
      </w:tblPr>
      <w:tr>
        <w:trPr>
          <w:trHeight w:val="176"/>
        </w:trPr>
        <w:tc>
          <w:tcPr>
            <w:tcW w:w="1800" w:type="dxa"/>
            <w:vAlign w:val="bottom"/>
          </w:tcPr>
          <w:p>
            <w:pPr>
              <w:spacing w:after="0"/>
              <w:rPr>
                <w:sz w:val="15"/>
                <w:szCs w:val="15"/>
                <w:color w:val="auto"/>
              </w:rPr>
            </w:pPr>
          </w:p>
        </w:tc>
        <w:tc>
          <w:tcPr>
            <w:tcW w:w="5160" w:type="dxa"/>
            <w:vAlign w:val="bottom"/>
            <w:gridSpan w:val="2"/>
          </w:tcPr>
          <w:p>
            <w:pPr>
              <w:spacing w:after="0"/>
              <w:rPr>
                <w:sz w:val="20"/>
                <w:szCs w:val="20"/>
                <w:color w:val="auto"/>
              </w:rPr>
            </w:pPr>
            <w:r>
              <w:rPr>
                <w:rFonts w:ascii="Arial" w:cs="Arial" w:eastAsia="Arial" w:hAnsi="Arial"/>
                <w:sz w:val="13"/>
                <w:szCs w:val="13"/>
                <w:b w:val="1"/>
                <w:bCs w:val="1"/>
                <w:color w:val="auto"/>
              </w:rPr>
              <w:t>(Exact Name of Registrant as Specified in Its Charter)</w:t>
            </w:r>
          </w:p>
        </w:tc>
      </w:tr>
      <w:tr>
        <w:trPr>
          <w:trHeight w:val="50"/>
        </w:trPr>
        <w:tc>
          <w:tcPr>
            <w:tcW w:w="1800" w:type="dxa"/>
            <w:vAlign w:val="bottom"/>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1780" w:type="dxa"/>
            <w:vAlign w:val="bottom"/>
          </w:tcPr>
          <w:p>
            <w:pPr>
              <w:spacing w:after="0"/>
              <w:rPr>
                <w:sz w:val="4"/>
                <w:szCs w:val="4"/>
                <w:color w:val="auto"/>
              </w:rPr>
            </w:pPr>
          </w:p>
        </w:tc>
      </w:tr>
      <w:tr>
        <w:trPr>
          <w:trHeight w:val="184"/>
        </w:trPr>
        <w:tc>
          <w:tcPr>
            <w:tcW w:w="1800" w:type="dxa"/>
            <w:vAlign w:val="bottom"/>
          </w:tcPr>
          <w:p>
            <w:pPr>
              <w:jc w:val="center"/>
              <w:ind w:right="539"/>
              <w:spacing w:after="0"/>
              <w:rPr>
                <w:sz w:val="20"/>
                <w:szCs w:val="20"/>
                <w:color w:val="auto"/>
              </w:rPr>
            </w:pPr>
            <w:r>
              <w:rPr>
                <w:rFonts w:ascii="Arial" w:cs="Arial" w:eastAsia="Arial" w:hAnsi="Arial"/>
                <w:sz w:val="13"/>
                <w:szCs w:val="13"/>
                <w:b w:val="1"/>
                <w:bCs w:val="1"/>
                <w:color w:val="auto"/>
              </w:rPr>
              <w:t>Delaware</w:t>
            </w:r>
          </w:p>
        </w:tc>
        <w:tc>
          <w:tcPr>
            <w:tcW w:w="5160" w:type="dxa"/>
            <w:vAlign w:val="bottom"/>
            <w:gridSpan w:val="2"/>
          </w:tcPr>
          <w:p>
            <w:pPr>
              <w:jc w:val="center"/>
              <w:ind w:left="3914"/>
              <w:spacing w:after="0"/>
              <w:rPr>
                <w:sz w:val="20"/>
                <w:szCs w:val="20"/>
                <w:color w:val="auto"/>
              </w:rPr>
            </w:pPr>
            <w:r>
              <w:rPr>
                <w:rFonts w:ascii="Arial" w:cs="Arial" w:eastAsia="Arial" w:hAnsi="Arial"/>
                <w:sz w:val="13"/>
                <w:szCs w:val="13"/>
                <w:b w:val="1"/>
                <w:bCs w:val="1"/>
                <w:color w:val="auto"/>
              </w:rPr>
              <w:t>26-0414014</w:t>
            </w:r>
          </w:p>
        </w:tc>
      </w:tr>
      <w:tr>
        <w:trPr>
          <w:trHeight w:val="117"/>
        </w:trPr>
        <w:tc>
          <w:tcPr>
            <w:tcW w:w="1800" w:type="dxa"/>
            <w:vAlign w:val="bottom"/>
          </w:tcPr>
          <w:p>
            <w:pPr>
              <w:jc w:val="center"/>
              <w:ind w:right="539"/>
              <w:spacing w:after="0" w:line="117" w:lineRule="exact"/>
              <w:rPr>
                <w:sz w:val="20"/>
                <w:szCs w:val="20"/>
                <w:color w:val="auto"/>
              </w:rPr>
            </w:pPr>
            <w:r>
              <w:rPr>
                <w:rFonts w:ascii="Arial" w:cs="Arial" w:eastAsia="Arial" w:hAnsi="Arial"/>
                <w:sz w:val="11"/>
                <w:szCs w:val="11"/>
                <w:b w:val="1"/>
                <w:bCs w:val="1"/>
                <w:color w:val="auto"/>
                <w:w w:val="98"/>
              </w:rPr>
              <w:t>(State of Incorporation)</w:t>
            </w:r>
          </w:p>
        </w:tc>
        <w:tc>
          <w:tcPr>
            <w:tcW w:w="3380" w:type="dxa"/>
            <w:vAlign w:val="bottom"/>
          </w:tcPr>
          <w:p>
            <w:pPr>
              <w:spacing w:after="0"/>
              <w:rPr>
                <w:sz w:val="10"/>
                <w:szCs w:val="10"/>
                <w:color w:val="auto"/>
              </w:rPr>
            </w:pPr>
          </w:p>
        </w:tc>
        <w:tc>
          <w:tcPr>
            <w:tcW w:w="1780" w:type="dxa"/>
            <w:vAlign w:val="bottom"/>
          </w:tcPr>
          <w:p>
            <w:pPr>
              <w:jc w:val="center"/>
              <w:ind w:left="565"/>
              <w:spacing w:after="0" w:line="117" w:lineRule="exact"/>
              <w:rPr>
                <w:sz w:val="20"/>
                <w:szCs w:val="20"/>
                <w:color w:val="auto"/>
              </w:rPr>
            </w:pPr>
            <w:r>
              <w:rPr>
                <w:rFonts w:ascii="Arial" w:cs="Arial" w:eastAsia="Arial" w:hAnsi="Arial"/>
                <w:sz w:val="11"/>
                <w:szCs w:val="11"/>
                <w:b w:val="1"/>
                <w:bCs w:val="1"/>
                <w:color w:val="auto"/>
                <w:w w:val="99"/>
              </w:rPr>
              <w:t>(I.R.S. Employer</w:t>
            </w:r>
          </w:p>
        </w:tc>
      </w:tr>
      <w:tr>
        <w:trPr>
          <w:trHeight w:val="145"/>
        </w:trPr>
        <w:tc>
          <w:tcPr>
            <w:tcW w:w="180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80" w:type="dxa"/>
            <w:vAlign w:val="bottom"/>
          </w:tcPr>
          <w:p>
            <w:pPr>
              <w:jc w:val="center"/>
              <w:ind w:left="565"/>
              <w:spacing w:after="0"/>
              <w:rPr>
                <w:sz w:val="20"/>
                <w:szCs w:val="20"/>
                <w:color w:val="auto"/>
              </w:rPr>
            </w:pPr>
            <w:r>
              <w:rPr>
                <w:rFonts w:ascii="Arial" w:cs="Arial" w:eastAsia="Arial" w:hAnsi="Arial"/>
                <w:sz w:val="11"/>
                <w:szCs w:val="11"/>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2771775</wp:posOffset>
            </wp:positionH>
            <wp:positionV relativeFrom="paragraph">
              <wp:posOffset>39370</wp:posOffset>
            </wp:positionV>
            <wp:extent cx="1720850" cy="536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20850" cy="5365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5"/>
        <w:spacing w:after="0"/>
        <w:rPr>
          <w:sz w:val="20"/>
          <w:szCs w:val="20"/>
          <w:color w:val="auto"/>
        </w:rPr>
      </w:pPr>
      <w:r>
        <w:rPr>
          <w:rFonts w:ascii="Arial" w:cs="Arial" w:eastAsia="Arial" w:hAnsi="Arial"/>
          <w:sz w:val="13"/>
          <w:szCs w:val="13"/>
          <w:b w:val="1"/>
          <w:bCs w:val="1"/>
          <w:color w:val="auto"/>
        </w:rPr>
        <w:t>One Allison Way</w:t>
      </w:r>
    </w:p>
    <w:p>
      <w:pPr>
        <w:jc w:val="center"/>
        <w:ind w:right="-5"/>
        <w:spacing w:after="0" w:line="234" w:lineRule="auto"/>
        <w:rPr>
          <w:sz w:val="20"/>
          <w:szCs w:val="20"/>
          <w:color w:val="auto"/>
        </w:rPr>
      </w:pPr>
      <w:r>
        <w:rPr>
          <w:rFonts w:ascii="Arial" w:cs="Arial" w:eastAsia="Arial" w:hAnsi="Arial"/>
          <w:sz w:val="13"/>
          <w:szCs w:val="13"/>
          <w:b w:val="1"/>
          <w:bCs w:val="1"/>
          <w:color w:val="auto"/>
        </w:rPr>
        <w:t>Indianapolis, IN 46222</w:t>
      </w:r>
    </w:p>
    <w:p>
      <w:pPr>
        <w:jc w:val="center"/>
        <w:ind w:right="-5"/>
        <w:spacing w:after="0"/>
        <w:rPr>
          <w:sz w:val="20"/>
          <w:szCs w:val="20"/>
          <w:color w:val="auto"/>
        </w:rPr>
      </w:pPr>
      <w:r>
        <w:rPr>
          <w:rFonts w:ascii="Arial" w:cs="Arial" w:eastAsia="Arial" w:hAnsi="Arial"/>
          <w:sz w:val="11"/>
          <w:szCs w:val="11"/>
          <w:b w:val="1"/>
          <w:bCs w:val="1"/>
          <w:color w:val="auto"/>
        </w:rPr>
        <w:t>(Address of Principal Executive Offices and Zip Code)</w:t>
      </w:r>
    </w:p>
    <w:p>
      <w:pPr>
        <w:spacing w:after="0" w:line="36" w:lineRule="exact"/>
        <w:rPr>
          <w:sz w:val="24"/>
          <w:szCs w:val="24"/>
          <w:color w:val="auto"/>
        </w:rPr>
      </w:pPr>
    </w:p>
    <w:p>
      <w:pPr>
        <w:jc w:val="center"/>
        <w:ind w:right="-5"/>
        <w:spacing w:after="0"/>
        <w:rPr>
          <w:sz w:val="20"/>
          <w:szCs w:val="20"/>
          <w:color w:val="auto"/>
        </w:rPr>
      </w:pPr>
      <w:r>
        <w:rPr>
          <w:rFonts w:ascii="Arial" w:cs="Arial" w:eastAsia="Arial" w:hAnsi="Arial"/>
          <w:sz w:val="13"/>
          <w:szCs w:val="13"/>
          <w:b w:val="1"/>
          <w:bCs w:val="1"/>
          <w:color w:val="auto"/>
        </w:rPr>
        <w:t>(317) 242-5000</w:t>
      </w:r>
    </w:p>
    <w:p>
      <w:pPr>
        <w:spacing w:after="0" w:line="5" w:lineRule="exact"/>
        <w:rPr>
          <w:sz w:val="24"/>
          <w:szCs w:val="24"/>
          <w:color w:val="auto"/>
        </w:rPr>
      </w:pPr>
    </w:p>
    <w:p>
      <w:pPr>
        <w:jc w:val="center"/>
        <w:ind w:right="-5"/>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36" w:lineRule="exact"/>
        <w:rPr>
          <w:sz w:val="24"/>
          <w:szCs w:val="24"/>
          <w:color w:val="auto"/>
        </w:rPr>
      </w:pPr>
    </w:p>
    <w:tbl>
      <w:tblPr>
        <w:tblLayout w:type="fixed"/>
        <w:tblInd w:w="6" w:type="dxa"/>
        <w:tblCellMar>
          <w:top w:w="0" w:type="dxa"/>
          <w:left w:w="0" w:type="dxa"/>
          <w:bottom w:w="0" w:type="dxa"/>
          <w:right w:w="0" w:type="dxa"/>
        </w:tblCellMar>
      </w:tblPr>
      <w:tr>
        <w:trPr>
          <w:trHeight w:val="176"/>
        </w:trPr>
        <w:tc>
          <w:tcPr>
            <w:tcW w:w="3800" w:type="dxa"/>
            <w:vAlign w:val="bottom"/>
          </w:tcPr>
          <w:p>
            <w:pPr>
              <w:spacing w:after="0"/>
              <w:rPr>
                <w:sz w:val="15"/>
                <w:szCs w:val="15"/>
                <w:color w:val="auto"/>
              </w:rPr>
            </w:pPr>
          </w:p>
        </w:tc>
        <w:tc>
          <w:tcPr>
            <w:tcW w:w="7640" w:type="dxa"/>
            <w:vAlign w:val="bottom"/>
            <w:gridSpan w:val="6"/>
          </w:tcPr>
          <w:p>
            <w:pPr>
              <w:ind w:left="80"/>
              <w:spacing w:after="0"/>
              <w:rPr>
                <w:sz w:val="20"/>
                <w:szCs w:val="20"/>
                <w:color w:val="auto"/>
              </w:rPr>
            </w:pPr>
            <w:r>
              <w:rPr>
                <w:rFonts w:ascii="Arial" w:cs="Arial" w:eastAsia="Arial" w:hAnsi="Arial"/>
                <w:sz w:val="13"/>
                <w:szCs w:val="13"/>
                <w:b w:val="1"/>
                <w:bCs w:val="1"/>
                <w:color w:val="auto"/>
              </w:rPr>
              <w:t>Securities registered pursuant to Section 12(b) of the Act:</w:t>
            </w:r>
          </w:p>
        </w:tc>
      </w:tr>
      <w:tr>
        <w:trPr>
          <w:trHeight w:val="195"/>
        </w:trPr>
        <w:tc>
          <w:tcPr>
            <w:tcW w:w="3800" w:type="dxa"/>
            <w:vAlign w:val="bottom"/>
            <w:tcBorders>
              <w:bottom w:val="single" w:sz="8" w:color="auto"/>
            </w:tcBorders>
          </w:tcPr>
          <w:p>
            <w:pPr>
              <w:jc w:val="center"/>
              <w:ind w:left="714"/>
              <w:spacing w:after="0"/>
              <w:rPr>
                <w:sz w:val="20"/>
                <w:szCs w:val="20"/>
                <w:color w:val="auto"/>
              </w:rPr>
            </w:pPr>
            <w:r>
              <w:rPr>
                <w:rFonts w:ascii="Arial" w:cs="Arial" w:eastAsia="Arial" w:hAnsi="Arial"/>
                <w:sz w:val="13"/>
                <w:szCs w:val="13"/>
                <w:b w:val="1"/>
                <w:bCs w:val="1"/>
                <w:color w:val="auto"/>
              </w:rPr>
              <w:t>Title of each class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tcPr>
          <w:p>
            <w:pPr>
              <w:jc w:val="center"/>
              <w:ind w:left="54"/>
              <w:spacing w:after="0"/>
              <w:rPr>
                <w:sz w:val="20"/>
                <w:szCs w:val="20"/>
                <w:color w:val="auto"/>
              </w:rPr>
            </w:pPr>
            <w:r>
              <w:rPr>
                <w:rFonts w:ascii="Arial" w:cs="Arial" w:eastAsia="Arial" w:hAnsi="Arial"/>
                <w:sz w:val="13"/>
                <w:szCs w:val="13"/>
                <w:b w:val="1"/>
                <w:bCs w:val="1"/>
                <w:color w:val="auto"/>
              </w:rPr>
              <w:t>Trading Symbol(s)</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Name of each exchange on which registered</w:t>
            </w:r>
          </w:p>
        </w:tc>
      </w:tr>
      <w:tr>
        <w:trPr>
          <w:trHeight w:val="184"/>
        </w:trPr>
        <w:tc>
          <w:tcPr>
            <w:tcW w:w="3800" w:type="dxa"/>
            <w:vAlign w:val="bottom"/>
          </w:tcPr>
          <w:p>
            <w:pPr>
              <w:jc w:val="center"/>
              <w:ind w:left="694"/>
              <w:spacing w:after="0"/>
              <w:rPr>
                <w:sz w:val="20"/>
                <w:szCs w:val="20"/>
                <w:color w:val="auto"/>
              </w:rPr>
            </w:pPr>
            <w:r>
              <w:rPr>
                <w:rFonts w:ascii="Arial" w:cs="Arial" w:eastAsia="Arial" w:hAnsi="Arial"/>
                <w:sz w:val="13"/>
                <w:szCs w:val="13"/>
                <w:b w:val="1"/>
                <w:bCs w:val="1"/>
                <w:color w:val="auto"/>
              </w:rPr>
              <w:t>Common Stock, $0.01 par value</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jc w:val="center"/>
              <w:ind w:left="54"/>
              <w:spacing w:after="0"/>
              <w:rPr>
                <w:sz w:val="20"/>
                <w:szCs w:val="20"/>
                <w:color w:val="auto"/>
              </w:rPr>
            </w:pPr>
            <w:r>
              <w:rPr>
                <w:rFonts w:ascii="Arial" w:cs="Arial" w:eastAsia="Arial" w:hAnsi="Arial"/>
                <w:sz w:val="13"/>
                <w:szCs w:val="13"/>
                <w:b w:val="1"/>
                <w:bCs w:val="1"/>
                <w:color w:val="auto"/>
              </w:rPr>
              <w:t>ALSN</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rPr>
              <w:t>New York Stock Exchange</w:t>
            </w:r>
          </w:p>
        </w:tc>
      </w:tr>
      <w:tr>
        <w:trPr>
          <w:trHeight w:val="211"/>
        </w:trPr>
        <w:tc>
          <w:tcPr>
            <w:tcW w:w="3800" w:type="dxa"/>
            <w:vAlign w:val="bottom"/>
          </w:tcPr>
          <w:p>
            <w:pPr>
              <w:spacing w:after="0"/>
              <w:rPr>
                <w:sz w:val="20"/>
                <w:szCs w:val="20"/>
                <w:color w:val="auto"/>
              </w:rPr>
            </w:pPr>
            <w:r>
              <w:rPr>
                <w:rFonts w:ascii="Arial" w:cs="Arial" w:eastAsia="Arial" w:hAnsi="Arial"/>
                <w:sz w:val="13"/>
                <w:szCs w:val="13"/>
                <w:color w:val="auto"/>
              </w:rPr>
              <w:t>Securities registered pursuant to Section 12(g) of the Act: None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225"/>
        </w:trPr>
        <w:tc>
          <w:tcPr>
            <w:tcW w:w="6960" w:type="dxa"/>
            <w:vAlign w:val="bottom"/>
            <w:gridSpan w:val="4"/>
          </w:tcPr>
          <w:p>
            <w:pPr>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tc>
        <w:tc>
          <w:tcPr>
            <w:tcW w:w="448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r>
        <w:trPr>
          <w:trHeight w:val="223"/>
        </w:trPr>
        <w:tc>
          <w:tcPr>
            <w:tcW w:w="6960" w:type="dxa"/>
            <w:vAlign w:val="bottom"/>
            <w:gridSpan w:val="4"/>
          </w:tcPr>
          <w:p>
            <w:pPr>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tc>
        <w:tc>
          <w:tcPr>
            <w:tcW w:w="4480" w:type="dxa"/>
            <w:vAlign w:val="bottom"/>
            <w:gridSpan w:val="3"/>
          </w:tcPr>
          <w:p>
            <w:pPr>
              <w:ind w:left="12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49" w:lineRule="exact"/>
        <w:rPr>
          <w:sz w:val="24"/>
          <w:szCs w:val="24"/>
          <w:color w:val="auto"/>
        </w:rPr>
      </w:pPr>
    </w:p>
    <w:p>
      <w:pPr>
        <w:ind w:left="6" w:right="30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ind w:left="6" w:right="140"/>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7" w:lineRule="exact"/>
        <w:rPr>
          <w:sz w:val="24"/>
          <w:szCs w:val="24"/>
          <w:color w:val="auto"/>
        </w:rPr>
      </w:pPr>
    </w:p>
    <w:p>
      <w:pPr>
        <w:ind w:left="6" w:right="440"/>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 w:lineRule="exact"/>
        <w:rPr>
          <w:sz w:val="24"/>
          <w:szCs w:val="24"/>
          <w:color w:val="auto"/>
        </w:rPr>
      </w:pPr>
    </w:p>
    <w:tbl>
      <w:tblPr>
        <w:tblLayout w:type="fixed"/>
        <w:tblInd w:w="6" w:type="dxa"/>
        <w:tblCellMar>
          <w:top w:w="0" w:type="dxa"/>
          <w:left w:w="0" w:type="dxa"/>
          <w:bottom w:w="0" w:type="dxa"/>
          <w:right w:w="0" w:type="dxa"/>
        </w:tblCellMar>
      </w:tblPr>
      <w:tr>
        <w:trPr>
          <w:trHeight w:val="164"/>
        </w:trPr>
        <w:tc>
          <w:tcPr>
            <w:tcW w:w="22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46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720"/>
              <w:spacing w:after="0"/>
              <w:rPr>
                <w:sz w:val="20"/>
                <w:szCs w:val="20"/>
                <w:color w:val="auto"/>
              </w:rPr>
            </w:pPr>
            <w:r>
              <w:rPr>
                <w:rFonts w:ascii="Arial" w:cs="Arial" w:eastAsia="Arial" w:hAnsi="Arial"/>
                <w:sz w:val="13"/>
                <w:szCs w:val="13"/>
                <w:color w:val="auto"/>
              </w:rPr>
              <w:t>Accelerated filer</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4"/>
        </w:trPr>
        <w:tc>
          <w:tcPr>
            <w:tcW w:w="2200" w:type="dxa"/>
            <w:vAlign w:val="bottom"/>
          </w:tcPr>
          <w:p>
            <w:pPr>
              <w:spacing w:after="0"/>
              <w:rPr>
                <w:sz w:val="20"/>
                <w:szCs w:val="20"/>
                <w:color w:val="auto"/>
              </w:rPr>
            </w:pPr>
            <w:r>
              <w:rPr>
                <w:rFonts w:ascii="Arial" w:cs="Arial" w:eastAsia="Arial" w:hAnsi="Arial"/>
                <w:sz w:val="13"/>
                <w:szCs w:val="13"/>
                <w:color w:val="auto"/>
              </w:rPr>
              <w:t>Non-accelerated filer</w:t>
            </w:r>
          </w:p>
        </w:tc>
        <w:tc>
          <w:tcPr>
            <w:tcW w:w="346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ind w:left="2720"/>
              <w:spacing w:after="0"/>
              <w:rPr>
                <w:sz w:val="20"/>
                <w:szCs w:val="20"/>
                <w:color w:val="auto"/>
              </w:rPr>
            </w:pPr>
            <w:r>
              <w:rPr>
                <w:rFonts w:ascii="Arial" w:cs="Arial" w:eastAsia="Arial" w:hAnsi="Arial"/>
                <w:sz w:val="13"/>
                <w:szCs w:val="13"/>
                <w:color w:val="auto"/>
              </w:rPr>
              <w:t>Smaller reporting company</w:t>
            </w:r>
          </w:p>
        </w:tc>
        <w:tc>
          <w:tcPr>
            <w:tcW w:w="7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7"/>
        </w:trPr>
        <w:tc>
          <w:tcPr>
            <w:tcW w:w="220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46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494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49" w:lineRule="exact"/>
        <w:rPr>
          <w:sz w:val="24"/>
          <w:szCs w:val="24"/>
          <w:color w:val="auto"/>
        </w:rPr>
      </w:pPr>
    </w:p>
    <w:p>
      <w:pPr>
        <w:ind w:left="6" w:right="4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 w:lineRule="exact"/>
        <w:rPr>
          <w:sz w:val="24"/>
          <w:szCs w:val="24"/>
          <w:color w:val="auto"/>
        </w:rPr>
      </w:pPr>
    </w:p>
    <w:p>
      <w:pPr>
        <w:ind w:left="6"/>
        <w:spacing w:after="0" w:line="150" w:lineRule="exact"/>
        <w:tabs>
          <w:tab w:leader="none" w:pos="6766" w:val="left"/>
          <w:tab w:leader="none" w:pos="7306"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95" w:lineRule="exact"/>
        <w:rPr>
          <w:sz w:val="24"/>
          <w:szCs w:val="24"/>
          <w:color w:val="auto"/>
        </w:rPr>
      </w:pPr>
    </w:p>
    <w:p>
      <w:pPr>
        <w:ind w:left="6"/>
        <w:spacing w:after="0"/>
        <w:rPr>
          <w:sz w:val="20"/>
          <w:szCs w:val="20"/>
          <w:color w:val="auto"/>
        </w:rPr>
      </w:pPr>
      <w:r>
        <w:rPr>
          <w:rFonts w:ascii="Arial" w:cs="Arial" w:eastAsia="Arial" w:hAnsi="Arial"/>
          <w:sz w:val="13"/>
          <w:szCs w:val="13"/>
          <w:color w:val="auto"/>
        </w:rPr>
        <w:t>The aggregate market value of the voting and non-voting stock held by non-affiliates was approximately $5,506 million as of June 28, 2019.</w:t>
      </w:r>
    </w:p>
    <w:p>
      <w:pPr>
        <w:spacing w:after="0" w:line="62" w:lineRule="exact"/>
        <w:rPr>
          <w:sz w:val="24"/>
          <w:szCs w:val="24"/>
          <w:color w:val="auto"/>
        </w:rPr>
      </w:pPr>
    </w:p>
    <w:p>
      <w:pPr>
        <w:ind w:left="6"/>
        <w:spacing w:after="0"/>
        <w:rPr>
          <w:sz w:val="20"/>
          <w:szCs w:val="20"/>
          <w:color w:val="auto"/>
        </w:rPr>
      </w:pPr>
      <w:r>
        <w:rPr>
          <w:rFonts w:ascii="Arial" w:cs="Arial" w:eastAsia="Arial" w:hAnsi="Arial"/>
          <w:sz w:val="13"/>
          <w:szCs w:val="13"/>
          <w:color w:val="auto"/>
        </w:rPr>
        <w:t>As of February 10, 2020, there were 117,760,996 shares of Common Stock outstanding.</w:t>
      </w:r>
    </w:p>
    <w:p>
      <w:pPr>
        <w:spacing w:after="0" w:line="34" w:lineRule="exact"/>
        <w:rPr>
          <w:sz w:val="24"/>
          <w:szCs w:val="24"/>
          <w:color w:val="auto"/>
        </w:rPr>
      </w:pPr>
    </w:p>
    <w:p>
      <w:pPr>
        <w:ind w:left="4506"/>
        <w:spacing w:after="0"/>
        <w:rPr>
          <w:sz w:val="20"/>
          <w:szCs w:val="20"/>
          <w:color w:val="auto"/>
        </w:rPr>
      </w:pPr>
      <w:r>
        <w:rPr>
          <w:rFonts w:ascii="Arial" w:cs="Arial" w:eastAsia="Arial" w:hAnsi="Arial"/>
          <w:sz w:val="13"/>
          <w:szCs w:val="13"/>
          <w:b w:val="1"/>
          <w:bCs w:val="1"/>
          <w:color w:val="auto"/>
        </w:rPr>
        <w:t>Documents Incorporated by Reference</w:t>
      </w:r>
    </w:p>
    <w:p>
      <w:pPr>
        <w:spacing w:after="0" w:line="66" w:lineRule="exact"/>
        <w:rPr>
          <w:sz w:val="24"/>
          <w:szCs w:val="24"/>
          <w:color w:val="auto"/>
        </w:rPr>
      </w:pPr>
    </w:p>
    <w:p>
      <w:pPr>
        <w:ind w:left="6"/>
        <w:spacing w:after="0"/>
        <w:rPr>
          <w:sz w:val="20"/>
          <w:szCs w:val="20"/>
          <w:color w:val="auto"/>
        </w:rPr>
      </w:pPr>
      <w:r>
        <w:rPr>
          <w:rFonts w:ascii="Arial" w:cs="Arial" w:eastAsia="Arial" w:hAnsi="Arial"/>
          <w:sz w:val="13"/>
          <w:szCs w:val="13"/>
          <w:color w:val="auto"/>
        </w:rPr>
        <w:t>Portions of the Registrant’s definitive Proxy Statement for its 2020 annual meeting of stockholders will be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72644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71120</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378460</wp:posOffset>
            </wp:positionV>
            <wp:extent cx="728980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6"/>
          </w:cols>
          <w:pgMar w:left="234" w:top="233" w:right="2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0680" w:type="dxa"/>
            <w:vAlign w:val="bottom"/>
            <w:gridSpan w:val="27"/>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6"/>
          </w:tcPr>
          <w:p>
            <w:pPr>
              <w:jc w:val="center"/>
              <w:ind w:right="4320"/>
              <w:spacing w:after="0"/>
              <w:rPr>
                <w:sz w:val="20"/>
                <w:szCs w:val="20"/>
                <w:color w:val="auto"/>
              </w:rPr>
            </w:pPr>
            <w:r>
              <w:rPr>
                <w:rFonts w:ascii="Arial" w:cs="Arial" w:eastAsia="Arial" w:hAnsi="Arial"/>
                <w:sz w:val="16"/>
                <w:szCs w:val="16"/>
                <w:b w:val="1"/>
                <w:bCs w:val="1"/>
                <w:color w:val="auto"/>
                <w:w w:val="98"/>
              </w:rPr>
              <w:t>INDEX</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580" w:type="dxa"/>
            <w:vAlign w:val="bottom"/>
            <w:gridSpan w:val="2"/>
            <w:vMerge w:val="restart"/>
          </w:tcPr>
          <w:p>
            <w:pPr>
              <w:spacing w:after="0"/>
              <w:rPr>
                <w:rFonts w:ascii="Arial" w:cs="Arial" w:eastAsia="Arial" w:hAnsi="Arial"/>
                <w:sz w:val="16"/>
                <w:szCs w:val="16"/>
                <w:b w:val="1"/>
                <w:bCs w:val="1"/>
                <w:color w:val="0000EE"/>
                <w:w w:val="94"/>
              </w:rPr>
            </w:pPr>
            <w:hyperlink w:anchor="page4">
              <w:r>
                <w:rPr>
                  <w:rFonts w:ascii="Arial" w:cs="Arial" w:eastAsia="Arial" w:hAnsi="Arial"/>
                  <w:sz w:val="16"/>
                  <w:szCs w:val="16"/>
                  <w:b w:val="1"/>
                  <w:bCs w:val="1"/>
                  <w:color w:val="0000EE"/>
                  <w:w w:val="94"/>
                </w:rPr>
                <w:t>PART I.</w:t>
              </w:r>
            </w:hyperlink>
          </w:p>
        </w:tc>
        <w:tc>
          <w:tcPr>
            <w:tcW w:w="220" w:type="dxa"/>
            <w:vAlign w:val="bottom"/>
            <w:gridSpan w:val="2"/>
            <w:vMerge w:val="restart"/>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2"/>
                <w:szCs w:val="12"/>
                <w:color w:val="auto"/>
              </w:rPr>
            </w:pPr>
          </w:p>
        </w:tc>
        <w:tc>
          <w:tcPr>
            <w:tcW w:w="580" w:type="dxa"/>
            <w:vAlign w:val="bottom"/>
            <w:tcBorders>
              <w:bottom w:val="single" w:sz="8" w:color="0000EE"/>
            </w:tcBorders>
            <w:gridSpan w:val="2"/>
            <w:vMerge w:val="continue"/>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1.</w:t>
            </w:r>
          </w:p>
        </w:tc>
        <w:tc>
          <w:tcPr>
            <w:tcW w:w="9860" w:type="dxa"/>
            <w:vAlign w:val="bottom"/>
            <w:gridSpan w:val="22"/>
          </w:tcPr>
          <w:p>
            <w:pPr>
              <w:ind w:left="18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0"/>
              </w:rPr>
              <w:t>Item 1A.</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5">
              <w:r>
                <w:rPr>
                  <w:rFonts w:ascii="Arial" w:cs="Arial" w:eastAsia="Arial" w:hAnsi="Arial"/>
                  <w:sz w:val="16"/>
                  <w:szCs w:val="16"/>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0"/>
              </w:rPr>
              <w:t>Item 1B.</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30">
              <w:r>
                <w:rPr>
                  <w:rFonts w:ascii="Arial" w:cs="Arial" w:eastAsia="Arial" w:hAnsi="Arial"/>
                  <w:sz w:val="16"/>
                  <w:szCs w:val="16"/>
                  <w:color w:val="0000EE"/>
                </w:rPr>
                <w:t>Unresolved Staff Comments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rPr>
              <w:t>Item 2.</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31">
              <w:r>
                <w:rPr>
                  <w:rFonts w:ascii="Arial" w:cs="Arial" w:eastAsia="Arial" w:hAnsi="Arial"/>
                  <w:sz w:val="16"/>
                  <w:szCs w:val="16"/>
                  <w:color w:val="0000EE"/>
                </w:rPr>
                <w:t>Properties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3.</w:t>
            </w:r>
          </w:p>
        </w:tc>
        <w:tc>
          <w:tcPr>
            <w:tcW w:w="9860" w:type="dxa"/>
            <w:vAlign w:val="bottom"/>
            <w:gridSpan w:val="22"/>
          </w:tcPr>
          <w:p>
            <w:pPr>
              <w:ind w:left="180"/>
              <w:spacing w:after="0"/>
              <w:rPr>
                <w:rFonts w:ascii="Arial" w:cs="Arial" w:eastAsia="Arial" w:hAnsi="Arial"/>
                <w:sz w:val="16"/>
                <w:szCs w:val="16"/>
                <w:color w:val="0000EE"/>
              </w:rPr>
            </w:pPr>
            <w:hyperlink w:anchor="page31">
              <w:r>
                <w:rPr>
                  <w:rFonts w:ascii="Arial" w:cs="Arial" w:eastAsia="Arial" w:hAnsi="Arial"/>
                  <w:sz w:val="16"/>
                  <w:szCs w:val="16"/>
                  <w:color w:val="0000EE"/>
                </w:rPr>
                <w:t>Legal Proceedings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4.</w:t>
            </w:r>
          </w:p>
        </w:tc>
        <w:tc>
          <w:tcPr>
            <w:tcW w:w="9860" w:type="dxa"/>
            <w:vAlign w:val="bottom"/>
            <w:gridSpan w:val="22"/>
          </w:tcPr>
          <w:p>
            <w:pPr>
              <w:ind w:left="180"/>
              <w:spacing w:after="0"/>
              <w:rPr>
                <w:rFonts w:ascii="Arial" w:cs="Arial" w:eastAsia="Arial" w:hAnsi="Arial"/>
                <w:sz w:val="16"/>
                <w:szCs w:val="16"/>
                <w:color w:val="0000EE"/>
              </w:rPr>
            </w:pPr>
            <w:hyperlink w:anchor="page31">
              <w:r>
                <w:rPr>
                  <w:rFonts w:ascii="Arial" w:cs="Arial" w:eastAsia="Arial" w:hAnsi="Arial"/>
                  <w:sz w:val="16"/>
                  <w:szCs w:val="16"/>
                  <w:color w:val="0000EE"/>
                </w:rPr>
                <w:t>Mine Safety Disclosures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tcBorders>
              <w:bottom w:val="single" w:sz="8" w:color="0000EE"/>
            </w:tcBorders>
            <w:gridSpan w:val="2"/>
          </w:tcPr>
          <w:p>
            <w:pPr>
              <w:spacing w:after="0"/>
              <w:rPr>
                <w:rFonts w:ascii="Arial" w:cs="Arial" w:eastAsia="Arial" w:hAnsi="Arial"/>
                <w:sz w:val="16"/>
                <w:szCs w:val="16"/>
                <w:b w:val="1"/>
                <w:bCs w:val="1"/>
                <w:color w:val="0000EE"/>
                <w:w w:val="87"/>
              </w:rPr>
            </w:pPr>
            <w:hyperlink w:anchor="page32">
              <w:r>
                <w:rPr>
                  <w:rFonts w:ascii="Arial" w:cs="Arial" w:eastAsia="Arial" w:hAnsi="Arial"/>
                  <w:sz w:val="16"/>
                  <w:szCs w:val="16"/>
                  <w:b w:val="1"/>
                  <w:bCs w:val="1"/>
                  <w:color w:val="0000EE"/>
                  <w:w w:val="87"/>
                </w:rPr>
                <w:t>PART II.</w:t>
              </w:r>
            </w:hyperlink>
          </w:p>
        </w:tc>
        <w:tc>
          <w:tcPr>
            <w:tcW w:w="220" w:type="dxa"/>
            <w:vAlign w:val="bottom"/>
            <w:gridSpan w:val="2"/>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5.</w:t>
            </w:r>
          </w:p>
        </w:tc>
        <w:tc>
          <w:tcPr>
            <w:tcW w:w="9860" w:type="dxa"/>
            <w:vAlign w:val="bottom"/>
            <w:gridSpan w:val="22"/>
          </w:tcPr>
          <w:p>
            <w:pPr>
              <w:ind w:left="180"/>
              <w:spacing w:after="0"/>
              <w:rPr>
                <w:rFonts w:ascii="Arial" w:cs="Arial" w:eastAsia="Arial" w:hAnsi="Arial"/>
                <w:sz w:val="16"/>
                <w:szCs w:val="16"/>
                <w:color w:val="0000EE"/>
              </w:rPr>
            </w:pPr>
            <w:hyperlink w:anchor="page32">
              <w:r>
                <w:rPr>
                  <w:rFonts w:ascii="Arial" w:cs="Arial" w:eastAsia="Arial" w:hAnsi="Arial"/>
                  <w:sz w:val="16"/>
                  <w:szCs w:val="16"/>
                  <w:color w:val="0000EE"/>
                </w:rPr>
                <w:t>Market for Registrant’s Common Equity, Related Stockholder Matters and Issuer Purchases of Equity Securities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6.</w:t>
            </w:r>
          </w:p>
        </w:tc>
        <w:tc>
          <w:tcPr>
            <w:tcW w:w="9860" w:type="dxa"/>
            <w:vAlign w:val="bottom"/>
            <w:gridSpan w:val="22"/>
          </w:tcPr>
          <w:p>
            <w:pPr>
              <w:ind w:left="180"/>
              <w:spacing w:after="0"/>
              <w:rPr>
                <w:rFonts w:ascii="Arial" w:cs="Arial" w:eastAsia="Arial" w:hAnsi="Arial"/>
                <w:sz w:val="16"/>
                <w:szCs w:val="16"/>
                <w:color w:val="0000EE"/>
              </w:rPr>
            </w:pPr>
            <w:hyperlink w:anchor="page34">
              <w:r>
                <w:rPr>
                  <w:rFonts w:ascii="Arial" w:cs="Arial" w:eastAsia="Arial" w:hAnsi="Arial"/>
                  <w:sz w:val="16"/>
                  <w:szCs w:val="16"/>
                  <w:color w:val="0000EE"/>
                </w:rPr>
                <w:t>Selected Financial Data</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7.</w:t>
            </w:r>
          </w:p>
        </w:tc>
        <w:tc>
          <w:tcPr>
            <w:tcW w:w="9860" w:type="dxa"/>
            <w:vAlign w:val="bottom"/>
            <w:gridSpan w:val="22"/>
          </w:tcPr>
          <w:p>
            <w:pPr>
              <w:ind w:left="180"/>
              <w:spacing w:after="0"/>
              <w:rPr>
                <w:rFonts w:ascii="Arial" w:cs="Arial" w:eastAsia="Arial" w:hAnsi="Arial"/>
                <w:sz w:val="16"/>
                <w:szCs w:val="16"/>
                <w:color w:val="0000EE"/>
              </w:rPr>
            </w:pPr>
            <w:hyperlink w:anchor="page35">
              <w:r>
                <w:rPr>
                  <w:rFonts w:ascii="Arial" w:cs="Arial" w:eastAsia="Arial" w:hAnsi="Arial"/>
                  <w:sz w:val="16"/>
                  <w:szCs w:val="16"/>
                  <w:color w:val="0000EE"/>
                </w:rPr>
                <w:t>Management’s Discussion and Analysis of Financial Condition and Results of Operations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0"/>
              </w:rPr>
              <w:t>Item 7A.</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51">
              <w:r>
                <w:rPr>
                  <w:rFonts w:ascii="Arial" w:cs="Arial" w:eastAsia="Arial" w:hAnsi="Arial"/>
                  <w:sz w:val="16"/>
                  <w:szCs w:val="16"/>
                  <w:color w:val="0000EE"/>
                </w:rPr>
                <w:t>Quantitative and Qualitative Disclosures About Market Risk</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rPr>
              <w:t>Item 8.</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53">
              <w:r>
                <w:rPr>
                  <w:rFonts w:ascii="Arial" w:cs="Arial" w:eastAsia="Arial" w:hAnsi="Arial"/>
                  <w:sz w:val="16"/>
                  <w:szCs w:val="16"/>
                  <w:color w:val="0000EE"/>
                </w:rPr>
                <w:t>Financial Statements and Supplementary Data</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sz w:val="20"/>
                <w:szCs w:val="20"/>
                <w:color w:val="auto"/>
              </w:rPr>
            </w:pPr>
            <w:r>
              <w:rPr>
                <w:rFonts w:ascii="Arial" w:cs="Arial" w:eastAsia="Arial" w:hAnsi="Arial"/>
                <w:sz w:val="16"/>
                <w:szCs w:val="16"/>
                <w:color w:val="auto"/>
              </w:rPr>
              <w:t>Item 9.</w:t>
            </w:r>
          </w:p>
        </w:tc>
        <w:tc>
          <w:tcPr>
            <w:tcW w:w="9860" w:type="dxa"/>
            <w:vAlign w:val="bottom"/>
            <w:gridSpan w:val="22"/>
          </w:tcPr>
          <w:p>
            <w:pPr>
              <w:ind w:left="180"/>
              <w:spacing w:after="0"/>
              <w:rPr>
                <w:rFonts w:ascii="Arial" w:cs="Arial" w:eastAsia="Arial" w:hAnsi="Arial"/>
                <w:sz w:val="16"/>
                <w:szCs w:val="16"/>
                <w:color w:val="0000EE"/>
              </w:rPr>
            </w:pPr>
            <w:hyperlink w:anchor="page101">
              <w:r>
                <w:rPr>
                  <w:rFonts w:ascii="Arial" w:cs="Arial" w:eastAsia="Arial" w:hAnsi="Arial"/>
                  <w:sz w:val="16"/>
                  <w:szCs w:val="16"/>
                  <w:color w:val="0000EE"/>
                </w:rPr>
                <w:t>Changes in and Disagreements With Accountants on Accounting and Financial Disclosure</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0"/>
              </w:rPr>
              <w:t>Item 9A.</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1">
              <w:r>
                <w:rPr>
                  <w:rFonts w:ascii="Arial" w:cs="Arial" w:eastAsia="Arial" w:hAnsi="Arial"/>
                  <w:sz w:val="16"/>
                  <w:szCs w:val="16"/>
                  <w:color w:val="0000EE"/>
                </w:rPr>
                <w:t>Controls and Procedures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0"/>
              </w:rPr>
              <w:t>Item 9B.</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2">
              <w:r>
                <w:rPr>
                  <w:rFonts w:ascii="Arial" w:cs="Arial" w:eastAsia="Arial" w:hAnsi="Arial"/>
                  <w:sz w:val="16"/>
                  <w:szCs w:val="16"/>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rFonts w:ascii="Arial" w:cs="Arial" w:eastAsia="Arial" w:hAnsi="Arial"/>
                <w:sz w:val="16"/>
                <w:szCs w:val="16"/>
                <w:b w:val="1"/>
                <w:bCs w:val="1"/>
                <w:color w:val="0000EE"/>
              </w:rPr>
            </w:pPr>
            <w:hyperlink w:anchor="page103">
              <w:r>
                <w:rPr>
                  <w:rFonts w:ascii="Arial" w:cs="Arial" w:eastAsia="Arial" w:hAnsi="Arial"/>
                  <w:sz w:val="16"/>
                  <w:szCs w:val="16"/>
                  <w:b w:val="1"/>
                  <w:bCs w:val="1"/>
                  <w:color w:val="0000EE"/>
                </w:rPr>
                <w:t>PART III.</w:t>
              </w:r>
            </w:hyperlink>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w w:val="93"/>
              </w:rPr>
              <w:t>Item 10.</w:t>
            </w:r>
          </w:p>
        </w:tc>
        <w:tc>
          <w:tcPr>
            <w:tcW w:w="6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3">
              <w:r>
                <w:rPr>
                  <w:rFonts w:ascii="Arial" w:cs="Arial" w:eastAsia="Arial" w:hAnsi="Arial"/>
                  <w:sz w:val="16"/>
                  <w:szCs w:val="16"/>
                  <w:color w:val="0000EE"/>
                </w:rPr>
                <w:t>Directors, Executive Officers and Corporate Governance</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3"/>
              </w:rPr>
              <w:t>Item 11.</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3">
              <w:r>
                <w:rPr>
                  <w:rFonts w:ascii="Arial" w:cs="Arial" w:eastAsia="Arial" w:hAnsi="Arial"/>
                  <w:sz w:val="16"/>
                  <w:szCs w:val="16"/>
                  <w:color w:val="0000EE"/>
                </w:rPr>
                <w:t>Executive Compensation</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3"/>
              </w:rPr>
              <w:t>Item 12.</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3">
              <w:r>
                <w:rPr>
                  <w:rFonts w:ascii="Arial" w:cs="Arial" w:eastAsia="Arial" w:hAnsi="Arial"/>
                  <w:sz w:val="16"/>
                  <w:szCs w:val="16"/>
                  <w:color w:val="0000EE"/>
                </w:rPr>
                <w:t>Security Ownership of Certain Beneficial Owners and Management and Related Stockholder Matters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3"/>
              </w:rPr>
              <w:t>Item 13.</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3">
              <w:r>
                <w:rPr>
                  <w:rFonts w:ascii="Arial" w:cs="Arial" w:eastAsia="Arial" w:hAnsi="Arial"/>
                  <w:sz w:val="16"/>
                  <w:szCs w:val="16"/>
                  <w:color w:val="0000EE"/>
                </w:rPr>
                <w:t>Certain Relationships and Related Transactions, and Director Independence</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3"/>
              </w:rPr>
              <w:t>Item 14.</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3">
              <w:r>
                <w:rPr>
                  <w:rFonts w:ascii="Arial" w:cs="Arial" w:eastAsia="Arial" w:hAnsi="Arial"/>
                  <w:sz w:val="16"/>
                  <w:szCs w:val="16"/>
                  <w:color w:val="0000EE"/>
                </w:rPr>
                <w:t>Principal Accounting Fees and Services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800" w:type="dxa"/>
            <w:vAlign w:val="bottom"/>
            <w:gridSpan w:val="4"/>
          </w:tcPr>
          <w:p>
            <w:pPr>
              <w:spacing w:after="0"/>
              <w:rPr>
                <w:rFonts w:ascii="Arial" w:cs="Arial" w:eastAsia="Arial" w:hAnsi="Arial"/>
                <w:sz w:val="16"/>
                <w:szCs w:val="16"/>
                <w:b w:val="1"/>
                <w:bCs w:val="1"/>
                <w:color w:val="0000EE"/>
              </w:rPr>
            </w:pPr>
            <w:hyperlink w:anchor="page104">
              <w:r>
                <w:rPr>
                  <w:rFonts w:ascii="Arial" w:cs="Arial" w:eastAsia="Arial" w:hAnsi="Arial"/>
                  <w:sz w:val="16"/>
                  <w:szCs w:val="16"/>
                  <w:b w:val="1"/>
                  <w:bCs w:val="1"/>
                  <w:color w:val="0000EE"/>
                </w:rPr>
                <w:t>PART IV.</w:t>
              </w:r>
            </w:hyperlink>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tcBorders>
              <w:top w:val="single" w:sz="8" w:color="0000EE"/>
            </w:tcBorders>
            <w:gridSpan w:val="2"/>
          </w:tcPr>
          <w:p>
            <w:pPr>
              <w:spacing w:after="0"/>
              <w:rPr>
                <w:sz w:val="20"/>
                <w:szCs w:val="20"/>
                <w:color w:val="auto"/>
              </w:rPr>
            </w:pPr>
            <w:r>
              <w:rPr>
                <w:rFonts w:ascii="Arial" w:cs="Arial" w:eastAsia="Arial" w:hAnsi="Arial"/>
                <w:sz w:val="16"/>
                <w:szCs w:val="16"/>
                <w:color w:val="auto"/>
                <w:w w:val="93"/>
              </w:rPr>
              <w:t>Item 15.</w:t>
            </w:r>
          </w:p>
        </w:tc>
        <w:tc>
          <w:tcPr>
            <w:tcW w:w="60" w:type="dxa"/>
            <w:vAlign w:val="bottom"/>
            <w:tcBorders>
              <w:top w:val="single" w:sz="8" w:color="0000EE"/>
            </w:tcBorders>
          </w:tcPr>
          <w:p>
            <w:pPr>
              <w:spacing w:after="0"/>
              <w:rPr>
                <w:sz w:val="22"/>
                <w:szCs w:val="22"/>
                <w:color w:val="auto"/>
              </w:rPr>
            </w:pPr>
          </w:p>
        </w:tc>
        <w:tc>
          <w:tcPr>
            <w:tcW w:w="160" w:type="dxa"/>
            <w:vAlign w:val="bottom"/>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4">
              <w:r>
                <w:rPr>
                  <w:rFonts w:ascii="Arial" w:cs="Arial" w:eastAsia="Arial" w:hAnsi="Arial"/>
                  <w:sz w:val="16"/>
                  <w:szCs w:val="16"/>
                  <w:color w:val="0000EE"/>
                </w:rPr>
                <w:t>Exhibits, Financial Statement Schedules</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7"/>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6900" w:type="dxa"/>
            <w:vAlign w:val="bottom"/>
            <w:gridSpan w:val="9"/>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20" w:type="dxa"/>
            <w:vAlign w:val="bottom"/>
          </w:tcPr>
          <w:p>
            <w:pPr>
              <w:spacing w:after="0"/>
              <w:rPr>
                <w:sz w:val="22"/>
                <w:szCs w:val="22"/>
                <w:color w:val="auto"/>
              </w:rPr>
            </w:pPr>
          </w:p>
        </w:tc>
        <w:tc>
          <w:tcPr>
            <w:tcW w:w="580" w:type="dxa"/>
            <w:vAlign w:val="bottom"/>
            <w:gridSpan w:val="2"/>
          </w:tcPr>
          <w:p>
            <w:pPr>
              <w:spacing w:after="0"/>
              <w:rPr>
                <w:sz w:val="20"/>
                <w:szCs w:val="20"/>
                <w:color w:val="auto"/>
              </w:rPr>
            </w:pPr>
            <w:r>
              <w:rPr>
                <w:rFonts w:ascii="Arial" w:cs="Arial" w:eastAsia="Arial" w:hAnsi="Arial"/>
                <w:sz w:val="16"/>
                <w:szCs w:val="16"/>
                <w:color w:val="auto"/>
                <w:w w:val="93"/>
              </w:rPr>
              <w:t>Item 16.</w:t>
            </w:r>
          </w:p>
        </w:tc>
        <w:tc>
          <w:tcPr>
            <w:tcW w:w="220" w:type="dxa"/>
            <w:vAlign w:val="bottom"/>
            <w:gridSpan w:val="2"/>
          </w:tcPr>
          <w:p>
            <w:pPr>
              <w:spacing w:after="0"/>
              <w:rPr>
                <w:sz w:val="22"/>
                <w:szCs w:val="22"/>
                <w:color w:val="auto"/>
              </w:rPr>
            </w:pPr>
          </w:p>
        </w:tc>
        <w:tc>
          <w:tcPr>
            <w:tcW w:w="9860" w:type="dxa"/>
            <w:vAlign w:val="bottom"/>
            <w:gridSpan w:val="22"/>
          </w:tcPr>
          <w:p>
            <w:pPr>
              <w:ind w:left="180"/>
              <w:spacing w:after="0"/>
              <w:rPr>
                <w:rFonts w:ascii="Arial" w:cs="Arial" w:eastAsia="Arial" w:hAnsi="Arial"/>
                <w:sz w:val="16"/>
                <w:szCs w:val="16"/>
                <w:color w:val="0000EE"/>
              </w:rPr>
            </w:pPr>
            <w:hyperlink w:anchor="page107">
              <w:r>
                <w:rPr>
                  <w:rFonts w:ascii="Arial" w:cs="Arial" w:eastAsia="Arial" w:hAnsi="Arial"/>
                  <w:sz w:val="16"/>
                  <w:szCs w:val="16"/>
                  <w:color w:val="0000EE"/>
                </w:rPr>
                <w:t>Form 10-K Summary</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6"/>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Borders>
              <w:top w:val="single" w:sz="8" w:color="0000EE"/>
            </w:tcBorders>
            <w:gridSpan w:val="7"/>
          </w:tcPr>
          <w:p>
            <w:pPr>
              <w:spacing w:after="0"/>
              <w:rPr>
                <w:sz w:val="24"/>
                <w:szCs w:val="24"/>
                <w:color w:val="auto"/>
              </w:rPr>
            </w:pPr>
          </w:p>
        </w:tc>
        <w:tc>
          <w:tcPr>
            <w:tcW w:w="3840" w:type="dxa"/>
            <w:vAlign w:val="bottom"/>
            <w:gridSpan w:val="9"/>
          </w:tcPr>
          <w:p>
            <w:pPr>
              <w:jc w:val="right"/>
              <w:ind w:right="442"/>
              <w:spacing w:after="0"/>
              <w:rPr>
                <w:sz w:val="20"/>
                <w:szCs w:val="20"/>
                <w:color w:val="auto"/>
              </w:rPr>
            </w:pPr>
            <w:r>
              <w:rPr>
                <w:rFonts w:ascii="Arial" w:cs="Arial" w:eastAsia="Arial" w:hAnsi="Arial"/>
                <w:sz w:val="16"/>
                <w:szCs w:val="16"/>
                <w:color w:val="auto"/>
              </w:rPr>
              <w:t>1</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0" w:lineRule="exact"/>
        <w:rPr>
          <w:sz w:val="20"/>
          <w:szCs w:val="20"/>
          <w:color w:val="auto"/>
        </w:rPr>
      </w:pPr>
    </w:p>
    <w:p>
      <w:pPr>
        <w:ind w:firstLine="603"/>
        <w:spacing w:after="0" w:line="246" w:lineRule="auto"/>
        <w:rPr>
          <w:sz w:val="20"/>
          <w:szCs w:val="20"/>
          <w:color w:val="auto"/>
        </w:rPr>
      </w:pPr>
      <w:r>
        <w:rPr>
          <w:rFonts w:ascii="Arial" w:cs="Arial" w:eastAsia="Arial" w:hAnsi="Arial"/>
          <w:sz w:val="15"/>
          <w:szCs w:val="15"/>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including with respect to electric-hybrid and fully-electric commercial vehicles; our ability to identify, consummate and effectively integrate acquisitions; the concentration of our net sales in our top five customers and the loss of any one of these; increases in cost, disruption of supply or shortage of raw materials or components used in our products; the failure of markets outside North America to increase adoption of fully-automatic transmissions; the success of our research and development efforts, the outcome of which is uncertain; U.S. and foreign defense spending; risks associated with our international operations, including increased trade protectionism; general economic and industry conditions; the discovery of defects in our products, resulting in delays in new model launches, recall campaigns and/or increased warranty costs and reduction in future sales or damage to our brand and reputation;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27" w:lineRule="exact"/>
        <w:rPr>
          <w:sz w:val="20"/>
          <w:szCs w:val="20"/>
          <w:color w:val="auto"/>
        </w:rPr>
      </w:pPr>
    </w:p>
    <w:p>
      <w:pPr>
        <w:ind w:right="60" w:firstLine="603"/>
        <w:spacing w:after="0" w:line="251" w:lineRule="auto"/>
        <w:rPr>
          <w:sz w:val="20"/>
          <w:szCs w:val="20"/>
          <w:color w:val="auto"/>
        </w:rPr>
      </w:pPr>
      <w:r>
        <w:rPr>
          <w:rFonts w:ascii="Arial" w:cs="Arial" w:eastAsia="Arial" w:hAnsi="Arial"/>
          <w:sz w:val="15"/>
          <w:szCs w:val="15"/>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Trademarks</w:t>
      </w:r>
    </w:p>
    <w:p>
      <w:pPr>
        <w:spacing w:after="0" w:line="200" w:lineRule="exact"/>
        <w:rPr>
          <w:sz w:val="20"/>
          <w:szCs w:val="20"/>
          <w:color w:val="auto"/>
        </w:rPr>
      </w:pPr>
    </w:p>
    <w:p>
      <w:pPr>
        <w:ind w:right="40" w:firstLine="603"/>
        <w:spacing w:after="0" w:line="232" w:lineRule="auto"/>
        <w:rPr>
          <w:sz w:val="20"/>
          <w:szCs w:val="20"/>
          <w:color w:val="auto"/>
        </w:rPr>
      </w:pPr>
      <w:r>
        <w:rPr>
          <w:rFonts w:ascii="Arial" w:cs="Arial" w:eastAsia="Arial" w:hAnsi="Arial"/>
          <w:sz w:val="16"/>
          <w:szCs w:val="16"/>
          <w:color w:val="auto"/>
        </w:rPr>
        <w:t xml:space="preserve">This Annual Report on Form 10-K includes trademarks, such as Allison Transmission, ReTran and Walker Die Casting,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 or </w:t>
      </w:r>
      <w:r>
        <w:rPr>
          <w:rFonts w:ascii="Arial" w:cs="Arial" w:eastAsia="Arial" w:hAnsi="Arial"/>
          <w:sz w:val="13"/>
          <w:szCs w:val="13"/>
          <w:color w:val="auto"/>
        </w:rPr>
        <w:t>TM</w:t>
      </w:r>
      <w:r>
        <w:rPr>
          <w:rFonts w:ascii="Arial" w:cs="Arial" w:eastAsia="Arial" w:hAnsi="Arial"/>
          <w:sz w:val="16"/>
          <w:szCs w:val="16"/>
          <w:color w:val="auto"/>
        </w:rPr>
        <w:t xml:space="preserve"> symbols, but such references are not intended to indicate, in any way, that we will not assert, to the fullest extent under applicable law, our rights or the right of the applicable licensor to these trademarks and trade names.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Overview</w:t>
      </w:r>
    </w:p>
    <w:p>
      <w:pPr>
        <w:spacing w:after="0" w:line="151" w:lineRule="exact"/>
        <w:rPr>
          <w:sz w:val="20"/>
          <w:szCs w:val="20"/>
          <w:color w:val="auto"/>
        </w:rPr>
      </w:pPr>
    </w:p>
    <w:p>
      <w:pPr>
        <w:ind w:right="220" w:firstLine="531"/>
        <w:spacing w:after="0" w:line="251" w:lineRule="auto"/>
        <w:rPr>
          <w:sz w:val="20"/>
          <w:szCs w:val="20"/>
          <w:color w:val="auto"/>
        </w:rPr>
      </w:pPr>
      <w:r>
        <w:rPr>
          <w:rFonts w:ascii="Arial" w:cs="Arial" w:eastAsia="Arial" w:hAnsi="Arial"/>
          <w:sz w:val="15"/>
          <w:szCs w:val="15"/>
          <w:color w:val="auto"/>
        </w:rPr>
        <w:t>Allison Transmission Holdings, Inc. and its subsidiaries (“Allison,” the “Company,” “we,” “us” or “our”) design and manufacture vehicle propulsion solutions, including commercial-duty on-highway, off-highway and defense fully-automatic transmissions and electric-hybrid and fully-electric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23" w:lineRule="exact"/>
        <w:rPr>
          <w:sz w:val="20"/>
          <w:szCs w:val="20"/>
          <w:color w:val="auto"/>
        </w:rPr>
      </w:pPr>
    </w:p>
    <w:p>
      <w:pPr>
        <w:ind w:right="40" w:firstLine="531"/>
        <w:spacing w:after="0" w:line="234" w:lineRule="auto"/>
        <w:rPr>
          <w:sz w:val="20"/>
          <w:szCs w:val="20"/>
          <w:color w:val="auto"/>
        </w:rPr>
      </w:pPr>
      <w:r>
        <w:rPr>
          <w:rFonts w:ascii="Arial" w:cs="Arial" w:eastAsia="Arial" w:hAnsi="Arial"/>
          <w:sz w:val="16"/>
          <w:szCs w:val="16"/>
          <w:color w:val="auto"/>
        </w:rPr>
        <w:t>We have approximately 3,700 employees. Although approximately 77% of revenues were generated in North America in 2019, we have a global presence by serving customers in Europe, Asia, South America and Africa. We serve customers through an independent network of approximately 1,500 independent distributor and dealer locations worldwide.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Business</w:t>
      </w:r>
    </w:p>
    <w:p>
      <w:pPr>
        <w:spacing w:after="0" w:line="151" w:lineRule="exact"/>
        <w:rPr>
          <w:sz w:val="20"/>
          <w:szCs w:val="20"/>
          <w:color w:val="auto"/>
        </w:rPr>
      </w:pPr>
    </w:p>
    <w:p>
      <w:pPr>
        <w:ind w:right="60" w:firstLine="531"/>
        <w:spacing w:after="0" w:line="231" w:lineRule="auto"/>
        <w:rPr>
          <w:sz w:val="20"/>
          <w:szCs w:val="20"/>
          <w:color w:val="auto"/>
        </w:rPr>
      </w:pPr>
      <w:r>
        <w:rPr>
          <w:rFonts w:ascii="Arial" w:cs="Arial" w:eastAsia="Arial" w:hAnsi="Arial"/>
          <w:sz w:val="16"/>
          <w:szCs w:val="16"/>
          <w:color w:val="auto"/>
        </w:rPr>
        <w:t>We are the world’s largest manufacturer of fully-automatic transmissions for medium- and heavy-duty commercial vehicles and medium- and heavy-tactical U.S. defense vehicles and a supplier of commercial vehicle electric-hybrid and fully-electric propulsion systems. Allison solutions are used in a wide variety of applications, including on-highway trucks (distribution, refuse, construction, fire and emergency), buses (primarily school and transit), motorhomes, off-highway vehicles and equipment (primarily energy, mining and construction) and defense vehicles (wheeled and tracked). We estimate that globally, in 2019, we sold approximately 60% of all fully-automatic transmissions for medium- and heavy-duty on-highway commercial vehicle applications. We believe the Allison brand is one of the most recognized in our industry as a result of the performance, reliability and fuel efficiency of our transmissions and propulsion solutions and is associated with high quality, durability, vocational value, technological leadership and superior customer service.</w:t>
      </w:r>
    </w:p>
    <w:p>
      <w:pPr>
        <w:spacing w:after="0" w:line="133"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Allison products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Additionally, we have created thousands of unique Allison-developed calibrations available to be used with our transmission control modules.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Industry</w:t>
      </w:r>
    </w:p>
    <w:p>
      <w:pPr>
        <w:spacing w:after="0" w:line="151"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Commercial vehicles typically employ one of three transmission types: manual, automated manual or fully-automatic. Manual and automated manual transmissions ("AMT") are the most prevalent transmission type used in Class 8 tractors in North America. Manual transmissions are the most prevalent in medium-and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spacing w:after="0" w:line="231" w:lineRule="auto"/>
        <w:rPr>
          <w:sz w:val="20"/>
          <w:szCs w:val="20"/>
          <w:color w:val="auto"/>
        </w:rPr>
      </w:pPr>
      <w:r>
        <w:rPr>
          <w:rFonts w:ascii="Arial" w:cs="Arial" w:eastAsia="Arial" w:hAnsi="Arial"/>
          <w:sz w:val="16"/>
          <w:szCs w:val="16"/>
          <w:color w:val="auto"/>
        </w:rPr>
        <w:t>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33" w:lineRule="exact"/>
        <w:rPr>
          <w:sz w:val="20"/>
          <w:szCs w:val="20"/>
          <w:color w:val="auto"/>
        </w:rPr>
      </w:pPr>
    </w:p>
    <w:p>
      <w:pPr>
        <w:ind w:right="160" w:firstLine="531"/>
        <w:spacing w:after="0" w:line="232" w:lineRule="auto"/>
        <w:rPr>
          <w:sz w:val="20"/>
          <w:szCs w:val="20"/>
          <w:color w:val="auto"/>
        </w:rPr>
      </w:pPr>
      <w:r>
        <w:rPr>
          <w:rFonts w:ascii="Arial" w:cs="Arial" w:eastAsia="Arial" w:hAnsi="Arial"/>
          <w:sz w:val="16"/>
          <w:szCs w:val="16"/>
          <w:color w:val="auto"/>
        </w:rPr>
        <w:t>Emerging technologies in commercial-duty propulsion solutions include electric-hybrid and fully-electric propulsion solutions in certain end markets, such as transit buses, and are in part driven by efforts to reduce fuel consumption and greenhouse gas emissions. ”Fully-electric” powertrains differ from “electric-hybrid” powertrains because they only propel the vehicle with an electric motor; while “electric-hybrids” generally utilize both a conventional internal combustion power source and powertrain as well as the means to propel the vehicle electrically. While both emerging technologies are gaining use in niche automotive markets, they are just beginning to evolve and become proven in commercial vehicle markets.</w:t>
      </w:r>
    </w:p>
    <w:p>
      <w:pPr>
        <w:spacing w:after="0" w:line="132"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Fuel efficiency, reduction in fuel consumption and reduced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only accounts for distance traveled and fuel consumed, ignoring time and work performed, we believe it is therefore an inferior metric to fuel efficiency when it comes to assessing commercial vehicles. Markets, regulations, policies and technology continue to evolve with respect to these topics.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Served Markets</w:t>
      </w:r>
    </w:p>
    <w:p>
      <w:pPr>
        <w:spacing w:after="0" w:line="151" w:lineRule="exact"/>
        <w:rPr>
          <w:sz w:val="20"/>
          <w:szCs w:val="20"/>
          <w:color w:val="auto"/>
        </w:rPr>
      </w:pPr>
    </w:p>
    <w:p>
      <w:pPr>
        <w:ind w:right="160" w:firstLine="531"/>
        <w:spacing w:after="0" w:line="233" w:lineRule="auto"/>
        <w:rPr>
          <w:sz w:val="20"/>
          <w:szCs w:val="20"/>
          <w:color w:val="auto"/>
        </w:rPr>
      </w:pPr>
      <w:r>
        <w:rPr>
          <w:rFonts w:ascii="Arial" w:cs="Arial" w:eastAsia="Arial" w:hAnsi="Arial"/>
          <w:sz w:val="16"/>
          <w:szCs w:val="16"/>
          <w:color w:val="auto"/>
        </w:rPr>
        <w:t>We sell our propulsion solutions globally for use in medium- and heavy-duty on-highway commercial vehicles, off-highway vehicles and equipment and defense vehicles. In addition to the sale of propulsion solutions, we also sell branded replacement parts, support equipment, aluminum die cast components and other products necessary to service the installed base of vehicles utilizing our solutions. The following table provides a summary of our business by end market, for the fiscal year ended December 31, 2019.</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960" w:type="dxa"/>
            <w:vAlign w:val="bottom"/>
            <w:tcBorders>
              <w:top w:val="single" w:sz="8" w:color="auto"/>
              <w:left w:val="single" w:sz="8" w:color="auto"/>
              <w:right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gridSpan w:val="2"/>
          </w:tcPr>
          <w:p>
            <w:pPr>
              <w:ind w:left="720"/>
              <w:spacing w:after="0"/>
              <w:rPr>
                <w:sz w:val="20"/>
                <w:szCs w:val="20"/>
                <w:color w:val="auto"/>
              </w:rPr>
            </w:pPr>
            <w:r>
              <w:rPr>
                <w:rFonts w:ascii="Arial" w:cs="Arial" w:eastAsia="Arial" w:hAnsi="Arial"/>
                <w:sz w:val="13"/>
                <w:szCs w:val="13"/>
                <w:b w:val="1"/>
                <w:bCs w:val="1"/>
                <w:color w:val="auto"/>
              </w:rPr>
              <w:t>NORTH AMERICA</w:t>
            </w:r>
          </w:p>
        </w:tc>
        <w:tc>
          <w:tcPr>
            <w:tcW w:w="1080" w:type="dxa"/>
            <w:vAlign w:val="bottom"/>
            <w:tcBorders>
              <w:top w:val="single" w:sz="8" w:color="auto"/>
              <w:bottom w:val="single" w:sz="8" w:color="auto"/>
              <w:right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720" w:type="dxa"/>
            <w:vAlign w:val="bottom"/>
            <w:tcBorders>
              <w:top w:val="single" w:sz="8" w:color="auto"/>
              <w:bottom w:val="single" w:sz="8" w:color="auto"/>
              <w:right w:val="single" w:sz="8" w:color="auto"/>
            </w:tcBorders>
            <w:gridSpan w:val="3"/>
          </w:tcPr>
          <w:p>
            <w:pPr>
              <w:jc w:val="right"/>
              <w:ind w:right="837"/>
              <w:spacing w:after="0"/>
              <w:rPr>
                <w:sz w:val="20"/>
                <w:szCs w:val="20"/>
                <w:color w:val="auto"/>
              </w:rPr>
            </w:pPr>
            <w:r>
              <w:rPr>
                <w:rFonts w:ascii="Arial" w:cs="Arial" w:eastAsia="Arial" w:hAnsi="Arial"/>
                <w:sz w:val="13"/>
                <w:szCs w:val="13"/>
                <w:b w:val="1"/>
                <w:bCs w:val="1"/>
                <w:color w:val="auto"/>
              </w:rPr>
              <w:t>OUTSIDE NORTH AMERICA</w:t>
            </w:r>
          </w:p>
        </w:tc>
        <w:tc>
          <w:tcPr>
            <w:tcW w:w="64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right w:val="single" w:sz="8" w:color="auto"/>
            </w:tcBorders>
            <w:vMerge w:val="restart"/>
          </w:tcPr>
          <w:p>
            <w:pPr>
              <w:jc w:val="center"/>
              <w:ind w:right="117"/>
              <w:spacing w:after="0"/>
              <w:rPr>
                <w:sz w:val="20"/>
                <w:szCs w:val="20"/>
                <w:color w:val="auto"/>
              </w:rPr>
            </w:pPr>
            <w:r>
              <w:rPr>
                <w:rFonts w:ascii="Arial" w:cs="Arial" w:eastAsia="Arial" w:hAnsi="Arial"/>
                <w:sz w:val="13"/>
                <w:szCs w:val="13"/>
                <w:b w:val="1"/>
                <w:bCs w:val="1"/>
                <w:color w:val="auto"/>
                <w:w w:val="94"/>
              </w:rPr>
              <w:t>SERVICE</w:t>
            </w:r>
          </w:p>
        </w:tc>
        <w:tc>
          <w:tcPr>
            <w:tcW w:w="0" w:type="dxa"/>
            <w:vAlign w:val="bottom"/>
          </w:tcPr>
          <w:p>
            <w:pPr>
              <w:spacing w:after="0"/>
              <w:rPr>
                <w:sz w:val="1"/>
                <w:szCs w:val="1"/>
                <w:color w:val="auto"/>
              </w:rPr>
            </w:pPr>
          </w:p>
        </w:tc>
      </w:tr>
      <w:tr>
        <w:trPr>
          <w:trHeight w:val="121"/>
        </w:trPr>
        <w:tc>
          <w:tcPr>
            <w:tcW w:w="1960" w:type="dxa"/>
            <w:vAlign w:val="bottom"/>
            <w:tcBorders>
              <w:left w:val="single" w:sz="8" w:color="auto"/>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tcPr>
          <w:p>
            <w:pPr>
              <w:jc w:val="center"/>
              <w:ind w:right="117"/>
              <w:spacing w:after="0" w:line="141" w:lineRule="exact"/>
              <w:rPr>
                <w:sz w:val="20"/>
                <w:szCs w:val="20"/>
                <w:color w:val="auto"/>
              </w:rPr>
            </w:pPr>
            <w:r>
              <w:rPr>
                <w:rFonts w:ascii="Arial" w:cs="Arial" w:eastAsia="Arial" w:hAnsi="Arial"/>
                <w:sz w:val="13"/>
                <w:szCs w:val="13"/>
                <w:b w:val="1"/>
                <w:bCs w:val="1"/>
                <w:color w:val="auto"/>
                <w:w w:val="96"/>
              </w:rPr>
              <w:t>PARTS,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tcPr>
          <w:p>
            <w:pPr>
              <w:jc w:val="center"/>
              <w:ind w:right="97"/>
              <w:spacing w:after="0" w:line="141" w:lineRule="exact"/>
              <w:rPr>
                <w:sz w:val="20"/>
                <w:szCs w:val="20"/>
                <w:color w:val="auto"/>
              </w:rPr>
            </w:pPr>
            <w:r>
              <w:rPr>
                <w:rFonts w:ascii="Arial" w:cs="Arial" w:eastAsia="Arial" w:hAnsi="Arial"/>
                <w:sz w:val="13"/>
                <w:szCs w:val="13"/>
                <w:b w:val="1"/>
                <w:bCs w:val="1"/>
                <w:color w:val="auto"/>
                <w:w w:val="95"/>
              </w:rPr>
              <w:t>SUPPORT</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right w:val="single" w:sz="8" w:color="auto"/>
            </w:tcBorders>
          </w:tcPr>
          <w:p>
            <w:pPr>
              <w:ind w:left="320"/>
              <w:spacing w:after="0" w:line="141" w:lineRule="exact"/>
              <w:rPr>
                <w:sz w:val="20"/>
                <w:szCs w:val="20"/>
                <w:color w:val="auto"/>
              </w:rPr>
            </w:pPr>
            <w:r>
              <w:rPr>
                <w:rFonts w:ascii="Arial" w:cs="Arial" w:eastAsia="Arial" w:hAnsi="Arial"/>
                <w:sz w:val="13"/>
                <w:szCs w:val="13"/>
                <w:b w:val="1"/>
                <w:bCs w:val="1"/>
                <w:color w:val="auto"/>
              </w:rPr>
              <w:t>ON-</w:t>
            </w:r>
          </w:p>
        </w:tc>
        <w:tc>
          <w:tcPr>
            <w:tcW w:w="580" w:type="dxa"/>
            <w:vAlign w:val="bottom"/>
          </w:tcPr>
          <w:p>
            <w:pPr>
              <w:spacing w:after="0"/>
              <w:rPr>
                <w:sz w:val="12"/>
                <w:szCs w:val="12"/>
                <w:color w:val="auto"/>
              </w:rPr>
            </w:pPr>
          </w:p>
        </w:tc>
        <w:tc>
          <w:tcPr>
            <w:tcW w:w="1080" w:type="dxa"/>
            <w:vAlign w:val="bottom"/>
            <w:tcBorders>
              <w:right w:val="single" w:sz="8" w:color="auto"/>
            </w:tcBorders>
          </w:tcPr>
          <w:p>
            <w:pPr>
              <w:jc w:val="center"/>
              <w:ind w:right="677"/>
              <w:spacing w:after="0" w:line="141" w:lineRule="exact"/>
              <w:rPr>
                <w:sz w:val="20"/>
                <w:szCs w:val="20"/>
                <w:color w:val="auto"/>
              </w:rPr>
            </w:pPr>
            <w:r>
              <w:rPr>
                <w:rFonts w:ascii="Arial" w:cs="Arial" w:eastAsia="Arial" w:hAnsi="Arial"/>
                <w:sz w:val="13"/>
                <w:szCs w:val="13"/>
                <w:b w:val="1"/>
                <w:bCs w:val="1"/>
                <w:color w:val="auto"/>
                <w:w w:val="98"/>
              </w:rPr>
              <w:t>OFF-</w:t>
            </w:r>
          </w:p>
        </w:tc>
        <w:tc>
          <w:tcPr>
            <w:tcW w:w="580" w:type="dxa"/>
            <w:vAlign w:val="bottom"/>
          </w:tcPr>
          <w:p>
            <w:pPr>
              <w:spacing w:after="0"/>
              <w:rPr>
                <w:sz w:val="12"/>
                <w:szCs w:val="12"/>
                <w:color w:val="auto"/>
              </w:rPr>
            </w:pPr>
          </w:p>
        </w:tc>
        <w:tc>
          <w:tcPr>
            <w:tcW w:w="1060" w:type="dxa"/>
            <w:vAlign w:val="bottom"/>
            <w:tcBorders>
              <w:right w:val="single" w:sz="8" w:color="auto"/>
            </w:tcBorders>
          </w:tcPr>
          <w:p>
            <w:pPr>
              <w:jc w:val="center"/>
              <w:ind w:right="677"/>
              <w:spacing w:after="0" w:line="141" w:lineRule="exact"/>
              <w:rPr>
                <w:sz w:val="20"/>
                <w:szCs w:val="20"/>
                <w:color w:val="auto"/>
              </w:rPr>
            </w:pPr>
            <w:r>
              <w:rPr>
                <w:rFonts w:ascii="Arial" w:cs="Arial" w:eastAsia="Arial" w:hAnsi="Arial"/>
                <w:sz w:val="13"/>
                <w:szCs w:val="13"/>
                <w:b w:val="1"/>
                <w:bCs w:val="1"/>
                <w:color w:val="auto"/>
              </w:rPr>
              <w:t>ON-</w:t>
            </w:r>
          </w:p>
        </w:tc>
        <w:tc>
          <w:tcPr>
            <w:tcW w:w="600" w:type="dxa"/>
            <w:vAlign w:val="bottom"/>
          </w:tcPr>
          <w:p>
            <w:pPr>
              <w:spacing w:after="0"/>
              <w:rPr>
                <w:sz w:val="12"/>
                <w:szCs w:val="12"/>
                <w:color w:val="auto"/>
              </w:rPr>
            </w:pPr>
          </w:p>
        </w:tc>
        <w:tc>
          <w:tcPr>
            <w:tcW w:w="1060" w:type="dxa"/>
            <w:vAlign w:val="bottom"/>
            <w:tcBorders>
              <w:right w:val="single" w:sz="8" w:color="auto"/>
            </w:tcBorders>
          </w:tcPr>
          <w:p>
            <w:pPr>
              <w:jc w:val="center"/>
              <w:ind w:right="677"/>
              <w:spacing w:after="0" w:line="141" w:lineRule="exact"/>
              <w:rPr>
                <w:sz w:val="20"/>
                <w:szCs w:val="20"/>
                <w:color w:val="auto"/>
              </w:rPr>
            </w:pPr>
            <w:r>
              <w:rPr>
                <w:rFonts w:ascii="Arial" w:cs="Arial" w:eastAsia="Arial" w:hAnsi="Arial"/>
                <w:sz w:val="13"/>
                <w:szCs w:val="13"/>
                <w:b w:val="1"/>
                <w:bCs w:val="1"/>
                <w:color w:val="auto"/>
                <w:w w:val="92"/>
              </w:rPr>
              <w:t>OFF-</w:t>
            </w:r>
          </w:p>
        </w:tc>
        <w:tc>
          <w:tcPr>
            <w:tcW w:w="6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right w:val="single" w:sz="8" w:color="auto"/>
            </w:tcBorders>
          </w:tcPr>
          <w:p>
            <w:pPr>
              <w:jc w:val="center"/>
              <w:ind w:right="117"/>
              <w:spacing w:after="0" w:line="141" w:lineRule="exact"/>
              <w:rPr>
                <w:sz w:val="20"/>
                <w:szCs w:val="20"/>
                <w:color w:val="auto"/>
              </w:rPr>
            </w:pPr>
            <w:r>
              <w:rPr>
                <w:rFonts w:ascii="Arial" w:cs="Arial" w:eastAsia="Arial" w:hAnsi="Arial"/>
                <w:sz w:val="13"/>
                <w:szCs w:val="13"/>
                <w:b w:val="1"/>
                <w:bCs w:val="1"/>
                <w:color w:val="auto"/>
                <w:w w:val="95"/>
              </w:rPr>
              <w:t>EQUIPMENT</w:t>
            </w:r>
          </w:p>
        </w:tc>
        <w:tc>
          <w:tcPr>
            <w:tcW w:w="0" w:type="dxa"/>
            <w:vAlign w:val="bottom"/>
          </w:tcPr>
          <w:p>
            <w:pPr>
              <w:spacing w:after="0"/>
              <w:rPr>
                <w:sz w:val="1"/>
                <w:szCs w:val="1"/>
                <w:color w:val="auto"/>
              </w:rPr>
            </w:pPr>
          </w:p>
        </w:tc>
      </w:tr>
      <w:tr>
        <w:trPr>
          <w:trHeight w:val="153"/>
        </w:trPr>
        <w:tc>
          <w:tcPr>
            <w:tcW w:w="19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340" w:type="dxa"/>
            <w:vAlign w:val="bottom"/>
            <w:tcBorders>
              <w:bottom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3"/>
                <w:szCs w:val="13"/>
                <w:b w:val="1"/>
                <w:bCs w:val="1"/>
                <w:color w:val="auto"/>
              </w:rPr>
              <w:t>HIGHWAY</w:t>
            </w:r>
          </w:p>
        </w:tc>
        <w:tc>
          <w:tcPr>
            <w:tcW w:w="1660" w:type="dxa"/>
            <w:vAlign w:val="bottom"/>
            <w:tcBorders>
              <w:bottom w:val="single" w:sz="8" w:color="auto"/>
              <w:right w:val="single" w:sz="8" w:color="auto"/>
            </w:tcBorders>
            <w:gridSpan w:val="2"/>
          </w:tcPr>
          <w:p>
            <w:pPr>
              <w:jc w:val="center"/>
              <w:ind w:right="97"/>
              <w:spacing w:after="0"/>
              <w:rPr>
                <w:sz w:val="20"/>
                <w:szCs w:val="20"/>
                <w:color w:val="auto"/>
              </w:rPr>
            </w:pPr>
            <w:r>
              <w:rPr>
                <w:rFonts w:ascii="Arial" w:cs="Arial" w:eastAsia="Arial" w:hAnsi="Arial"/>
                <w:sz w:val="13"/>
                <w:szCs w:val="13"/>
                <w:b w:val="1"/>
                <w:bCs w:val="1"/>
                <w:color w:val="auto"/>
                <w:w w:val="92"/>
              </w:rPr>
              <w:t>HIGHWAY</w:t>
            </w:r>
          </w:p>
        </w:tc>
        <w:tc>
          <w:tcPr>
            <w:tcW w:w="1640" w:type="dxa"/>
            <w:vAlign w:val="bottom"/>
            <w:tcBorders>
              <w:bottom w:val="single" w:sz="8" w:color="auto"/>
              <w:right w:val="single" w:sz="8" w:color="auto"/>
            </w:tcBorders>
            <w:gridSpan w:val="2"/>
          </w:tcPr>
          <w:p>
            <w:pPr>
              <w:jc w:val="center"/>
              <w:ind w:right="97"/>
              <w:spacing w:after="0"/>
              <w:rPr>
                <w:sz w:val="20"/>
                <w:szCs w:val="20"/>
                <w:color w:val="auto"/>
              </w:rPr>
            </w:pPr>
            <w:r>
              <w:rPr>
                <w:rFonts w:ascii="Arial" w:cs="Arial" w:eastAsia="Arial" w:hAnsi="Arial"/>
                <w:sz w:val="13"/>
                <w:szCs w:val="13"/>
                <w:b w:val="1"/>
                <w:bCs w:val="1"/>
                <w:color w:val="auto"/>
                <w:w w:val="95"/>
              </w:rPr>
              <w:t>HIGHWAY</w:t>
            </w:r>
          </w:p>
        </w:tc>
        <w:tc>
          <w:tcPr>
            <w:tcW w:w="1660" w:type="dxa"/>
            <w:vAlign w:val="bottom"/>
            <w:tcBorders>
              <w:bottom w:val="single" w:sz="8" w:color="auto"/>
              <w:right w:val="single" w:sz="8" w:color="auto"/>
            </w:tcBorders>
            <w:gridSpan w:val="2"/>
          </w:tcPr>
          <w:p>
            <w:pPr>
              <w:jc w:val="center"/>
              <w:ind w:right="77"/>
              <w:spacing w:after="0"/>
              <w:rPr>
                <w:sz w:val="20"/>
                <w:szCs w:val="20"/>
                <w:color w:val="auto"/>
              </w:rPr>
            </w:pPr>
            <w:r>
              <w:rPr>
                <w:rFonts w:ascii="Arial" w:cs="Arial" w:eastAsia="Arial" w:hAnsi="Arial"/>
                <w:sz w:val="13"/>
                <w:szCs w:val="13"/>
                <w:b w:val="1"/>
                <w:bCs w:val="1"/>
                <w:color w:val="auto"/>
                <w:w w:val="95"/>
              </w:rPr>
              <w:t>HIGHWAY</w:t>
            </w:r>
          </w:p>
        </w:tc>
        <w:tc>
          <w:tcPr>
            <w:tcW w:w="1660" w:type="dxa"/>
            <w:vAlign w:val="bottom"/>
            <w:tcBorders>
              <w:bottom w:val="single" w:sz="8" w:color="auto"/>
              <w:right w:val="single" w:sz="8" w:color="auto"/>
            </w:tcBorders>
            <w:gridSpan w:val="2"/>
          </w:tcPr>
          <w:p>
            <w:pPr>
              <w:jc w:val="center"/>
              <w:ind w:right="97"/>
              <w:spacing w:after="0"/>
              <w:rPr>
                <w:sz w:val="20"/>
                <w:szCs w:val="20"/>
                <w:color w:val="auto"/>
              </w:rPr>
            </w:pPr>
            <w:r>
              <w:rPr>
                <w:rFonts w:ascii="Arial" w:cs="Arial" w:eastAsia="Arial" w:hAnsi="Arial"/>
                <w:sz w:val="13"/>
                <w:szCs w:val="13"/>
                <w:b w:val="1"/>
                <w:bCs w:val="1"/>
                <w:color w:val="auto"/>
                <w:w w:val="94"/>
              </w:rPr>
              <w:t>DEFENSE</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5"/>
              </w:rPr>
              <w:t>&amp; OTHER</w:t>
            </w:r>
          </w:p>
        </w:tc>
        <w:tc>
          <w:tcPr>
            <w:tcW w:w="0" w:type="dxa"/>
            <w:vAlign w:val="bottom"/>
          </w:tcPr>
          <w:p>
            <w:pPr>
              <w:spacing w:after="0"/>
              <w:rPr>
                <w:sz w:val="1"/>
                <w:szCs w:val="1"/>
                <w:color w:val="auto"/>
              </w:rPr>
            </w:pPr>
          </w:p>
        </w:tc>
      </w:tr>
      <w:tr>
        <w:trPr>
          <w:trHeight w:val="132"/>
        </w:trPr>
        <w:tc>
          <w:tcPr>
            <w:tcW w:w="1960" w:type="dxa"/>
            <w:vAlign w:val="bottom"/>
            <w:tcBorders>
              <w:left w:val="single" w:sz="8" w:color="auto"/>
              <w:right w:val="single" w:sz="8" w:color="auto"/>
            </w:tcBorders>
            <w:shd w:val="clear" w:color="auto" w:fill="CFF0FC"/>
          </w:tcPr>
          <w:p>
            <w:pPr>
              <w:spacing w:after="0" w:line="133" w:lineRule="exact"/>
              <w:rPr>
                <w:sz w:val="20"/>
                <w:szCs w:val="20"/>
                <w:color w:val="auto"/>
              </w:rPr>
            </w:pPr>
            <w:r>
              <w:rPr>
                <w:rFonts w:ascii="Arial" w:cs="Arial" w:eastAsia="Arial" w:hAnsi="Arial"/>
                <w:sz w:val="13"/>
                <w:szCs w:val="13"/>
                <w:b w:val="1"/>
                <w:bCs w:val="1"/>
                <w:color w:val="auto"/>
              </w:rPr>
              <w:t>2019 NET SALES</w:t>
            </w:r>
          </w:p>
        </w:tc>
        <w:tc>
          <w:tcPr>
            <w:tcW w:w="340" w:type="dxa"/>
            <w:vAlign w:val="bottom"/>
            <w:shd w:val="clear" w:color="auto" w:fill="CFF0FC"/>
          </w:tcPr>
          <w:p>
            <w:pPr>
              <w:spacing w:after="0"/>
              <w:rPr>
                <w:sz w:val="11"/>
                <w:szCs w:val="11"/>
                <w:color w:val="auto"/>
              </w:rPr>
            </w:pPr>
          </w:p>
        </w:tc>
        <w:tc>
          <w:tcPr>
            <w:tcW w:w="1340" w:type="dxa"/>
            <w:vAlign w:val="bottom"/>
            <w:tcBorders>
              <w:right w:val="single" w:sz="8" w:color="auto"/>
            </w:tcBorders>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80" w:type="dxa"/>
            <w:vAlign w:val="bottom"/>
            <w:tcBorders>
              <w:right w:val="single" w:sz="8" w:color="auto"/>
            </w:tcBorders>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60" w:type="dxa"/>
            <w:vAlign w:val="bottom"/>
            <w:tcBorders>
              <w:right w:val="single" w:sz="8" w:color="auto"/>
            </w:tcBorders>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20" w:type="dxa"/>
            <w:vAlign w:val="bottom"/>
            <w:tcBorders>
              <w:right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tcBorders>
              <w:right w:val="single" w:sz="8" w:color="auto"/>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tcBorders>
              <w:left w:val="single" w:sz="8" w:color="auto"/>
              <w:bottom w:val="single" w:sz="8" w:color="auto"/>
              <w:right w:val="single" w:sz="8" w:color="auto"/>
            </w:tcBorders>
            <w:shd w:val="clear" w:color="auto" w:fill="CFF0FC"/>
          </w:tcPr>
          <w:p>
            <w:pPr>
              <w:spacing w:after="0"/>
              <w:rPr>
                <w:sz w:val="20"/>
                <w:szCs w:val="20"/>
                <w:color w:val="auto"/>
              </w:rPr>
            </w:pPr>
            <w:r>
              <w:rPr>
                <w:rFonts w:ascii="Arial" w:cs="Arial" w:eastAsia="Arial" w:hAnsi="Arial"/>
                <w:sz w:val="13"/>
                <w:szCs w:val="13"/>
                <w:b w:val="1"/>
                <w:bCs w:val="1"/>
                <w:color w:val="auto"/>
              </w:rPr>
              <w:t>(IN MILLIONS)</w:t>
            </w:r>
          </w:p>
        </w:tc>
        <w:tc>
          <w:tcPr>
            <w:tcW w:w="3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1340" w:type="dxa"/>
            <w:vAlign w:val="bottom"/>
            <w:tcBorders>
              <w:bottom w:val="single" w:sz="8" w:color="auto"/>
              <w:right w:val="single" w:sz="8" w:color="auto"/>
            </w:tcBorders>
            <w:shd w:val="clear" w:color="auto" w:fill="CFF0FC"/>
          </w:tcPr>
          <w:p>
            <w:pPr>
              <w:ind w:left="340"/>
              <w:spacing w:after="0"/>
              <w:rPr>
                <w:sz w:val="20"/>
                <w:szCs w:val="20"/>
                <w:color w:val="auto"/>
              </w:rPr>
            </w:pPr>
            <w:r>
              <w:rPr>
                <w:rFonts w:ascii="Arial" w:cs="Arial" w:eastAsia="Arial" w:hAnsi="Arial"/>
                <w:sz w:val="13"/>
                <w:szCs w:val="13"/>
                <w:color w:val="auto"/>
              </w:rPr>
              <w:t>1,474</w:t>
            </w:r>
          </w:p>
        </w:tc>
        <w:tc>
          <w:tcPr>
            <w:tcW w:w="5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auto"/>
              <w:right w:val="single" w:sz="8" w:color="auto"/>
            </w:tcBorders>
            <w:shd w:val="clear" w:color="auto" w:fill="CFF0FC"/>
          </w:tcPr>
          <w:p>
            <w:pPr>
              <w:jc w:val="right"/>
              <w:ind w:right="717"/>
              <w:spacing w:after="0"/>
              <w:rPr>
                <w:sz w:val="20"/>
                <w:szCs w:val="20"/>
                <w:color w:val="auto"/>
              </w:rPr>
            </w:pPr>
            <w:r>
              <w:rPr>
                <w:rFonts w:ascii="Arial" w:cs="Arial" w:eastAsia="Arial" w:hAnsi="Arial"/>
                <w:sz w:val="13"/>
                <w:szCs w:val="13"/>
                <w:color w:val="auto"/>
              </w:rPr>
              <w:t>30</w:t>
            </w:r>
          </w:p>
        </w:tc>
        <w:tc>
          <w:tcPr>
            <w:tcW w:w="5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right w:val="single" w:sz="8" w:color="auto"/>
            </w:tcBorders>
            <w:shd w:val="clear" w:color="auto" w:fill="CFF0FC"/>
          </w:tcPr>
          <w:p>
            <w:pPr>
              <w:jc w:val="right"/>
              <w:ind w:right="677"/>
              <w:spacing w:after="0"/>
              <w:rPr>
                <w:sz w:val="20"/>
                <w:szCs w:val="20"/>
                <w:color w:val="auto"/>
              </w:rPr>
            </w:pPr>
            <w:r>
              <w:rPr>
                <w:rFonts w:ascii="Arial" w:cs="Arial" w:eastAsia="Arial" w:hAnsi="Arial"/>
                <w:sz w:val="13"/>
                <w:szCs w:val="13"/>
                <w:color w:val="auto"/>
              </w:rPr>
              <w:t>390</w:t>
            </w:r>
          </w:p>
        </w:tc>
        <w:tc>
          <w:tcPr>
            <w:tcW w:w="60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right w:val="single" w:sz="8" w:color="auto"/>
            </w:tcBorders>
            <w:shd w:val="clear" w:color="auto" w:fill="CFF0FC"/>
          </w:tcPr>
          <w:p>
            <w:pPr>
              <w:jc w:val="right"/>
              <w:ind w:right="677"/>
              <w:spacing w:after="0"/>
              <w:rPr>
                <w:sz w:val="20"/>
                <w:szCs w:val="20"/>
                <w:color w:val="auto"/>
              </w:rPr>
            </w:pPr>
            <w:r>
              <w:rPr>
                <w:rFonts w:ascii="Arial" w:cs="Arial" w:eastAsia="Arial" w:hAnsi="Arial"/>
                <w:sz w:val="13"/>
                <w:szCs w:val="13"/>
                <w:color w:val="auto"/>
              </w:rPr>
              <w:t>109</w:t>
            </w:r>
          </w:p>
        </w:tc>
        <w:tc>
          <w:tcPr>
            <w:tcW w:w="64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right w:val="single" w:sz="8" w:color="auto"/>
            </w:tcBorders>
            <w:shd w:val="clear" w:color="auto" w:fill="CFF0FC"/>
          </w:tcPr>
          <w:p>
            <w:pPr>
              <w:jc w:val="right"/>
              <w:ind w:right="697"/>
              <w:spacing w:after="0"/>
              <w:rPr>
                <w:sz w:val="20"/>
                <w:szCs w:val="20"/>
                <w:color w:val="auto"/>
              </w:rPr>
            </w:pPr>
            <w:r>
              <w:rPr>
                <w:rFonts w:ascii="Arial" w:cs="Arial" w:eastAsia="Arial" w:hAnsi="Arial"/>
                <w:sz w:val="13"/>
                <w:szCs w:val="13"/>
                <w:color w:val="auto"/>
              </w:rPr>
              <w:t>151</w:t>
            </w:r>
          </w:p>
        </w:tc>
        <w:tc>
          <w:tcPr>
            <w:tcW w:w="1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right w:val="single" w:sz="8" w:color="auto"/>
            </w:tcBorders>
            <w:shd w:val="clear" w:color="auto" w:fill="CFF0FC"/>
          </w:tcPr>
          <w:p>
            <w:pPr>
              <w:jc w:val="right"/>
              <w:ind w:right="357"/>
              <w:spacing w:after="0"/>
              <w:rPr>
                <w:sz w:val="20"/>
                <w:szCs w:val="20"/>
                <w:color w:val="auto"/>
              </w:rPr>
            </w:pPr>
            <w:r>
              <w:rPr>
                <w:rFonts w:ascii="Arial" w:cs="Arial" w:eastAsia="Arial" w:hAnsi="Arial"/>
                <w:sz w:val="13"/>
                <w:szCs w:val="13"/>
                <w:color w:val="auto"/>
              </w:rPr>
              <w:t>544</w:t>
            </w:r>
          </w:p>
        </w:tc>
        <w:tc>
          <w:tcPr>
            <w:tcW w:w="0" w:type="dxa"/>
            <w:vAlign w:val="bottom"/>
          </w:tcPr>
          <w:p>
            <w:pPr>
              <w:spacing w:after="0"/>
              <w:rPr>
                <w:sz w:val="1"/>
                <w:szCs w:val="1"/>
                <w:color w:val="auto"/>
              </w:rPr>
            </w:pPr>
          </w:p>
        </w:tc>
      </w:tr>
      <w:tr>
        <w:trPr>
          <w:trHeight w:val="144"/>
        </w:trPr>
        <w:tc>
          <w:tcPr>
            <w:tcW w:w="1960" w:type="dxa"/>
            <w:vAlign w:val="bottom"/>
            <w:tcBorders>
              <w:left w:val="single" w:sz="8" w:color="auto"/>
              <w:bottom w:val="single" w:sz="8" w:color="auto"/>
              <w:right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 OF TOTAL</w:t>
            </w:r>
          </w:p>
        </w:tc>
        <w:tc>
          <w:tcPr>
            <w:tcW w:w="340" w:type="dxa"/>
            <w:vAlign w:val="bottom"/>
            <w:tcBorders>
              <w:bottom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ind w:left="300"/>
              <w:spacing w:after="0" w:line="144" w:lineRule="exact"/>
              <w:rPr>
                <w:sz w:val="20"/>
                <w:szCs w:val="20"/>
                <w:color w:val="auto"/>
              </w:rPr>
            </w:pPr>
            <w:r>
              <w:rPr>
                <w:rFonts w:ascii="Arial" w:cs="Arial" w:eastAsia="Arial" w:hAnsi="Arial"/>
                <w:sz w:val="13"/>
                <w:szCs w:val="13"/>
                <w:color w:val="auto"/>
              </w:rPr>
              <w:t>55%</w:t>
            </w:r>
          </w:p>
        </w:tc>
        <w:tc>
          <w:tcPr>
            <w:tcW w:w="58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tcPr>
          <w:p>
            <w:pPr>
              <w:jc w:val="center"/>
              <w:ind w:right="677"/>
              <w:spacing w:after="0" w:line="144" w:lineRule="exact"/>
              <w:rPr>
                <w:sz w:val="20"/>
                <w:szCs w:val="20"/>
                <w:color w:val="auto"/>
              </w:rPr>
            </w:pPr>
            <w:r>
              <w:rPr>
                <w:rFonts w:ascii="Arial" w:cs="Arial" w:eastAsia="Arial" w:hAnsi="Arial"/>
                <w:sz w:val="13"/>
                <w:szCs w:val="13"/>
                <w:color w:val="auto"/>
                <w:w w:val="95"/>
              </w:rPr>
              <w:t>1%</w:t>
            </w:r>
          </w:p>
        </w:tc>
        <w:tc>
          <w:tcPr>
            <w:tcW w:w="5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center"/>
              <w:ind w:right="677"/>
              <w:spacing w:after="0" w:line="144" w:lineRule="exact"/>
              <w:rPr>
                <w:sz w:val="20"/>
                <w:szCs w:val="20"/>
                <w:color w:val="auto"/>
              </w:rPr>
            </w:pPr>
            <w:r>
              <w:rPr>
                <w:rFonts w:ascii="Arial" w:cs="Arial" w:eastAsia="Arial" w:hAnsi="Arial"/>
                <w:sz w:val="13"/>
                <w:szCs w:val="13"/>
                <w:color w:val="auto"/>
                <w:w w:val="92"/>
              </w:rPr>
              <w:t>14%</w:t>
            </w:r>
          </w:p>
        </w:tc>
        <w:tc>
          <w:tcPr>
            <w:tcW w:w="60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center"/>
              <w:ind w:right="697"/>
              <w:spacing w:after="0" w:line="144" w:lineRule="exact"/>
              <w:rPr>
                <w:sz w:val="20"/>
                <w:szCs w:val="20"/>
                <w:color w:val="auto"/>
              </w:rPr>
            </w:pPr>
            <w:r>
              <w:rPr>
                <w:rFonts w:ascii="Arial" w:cs="Arial" w:eastAsia="Arial" w:hAnsi="Arial"/>
                <w:sz w:val="13"/>
                <w:szCs w:val="13"/>
                <w:color w:val="auto"/>
                <w:w w:val="95"/>
              </w:rPr>
              <w:t>4%</w:t>
            </w:r>
          </w:p>
        </w:tc>
        <w:tc>
          <w:tcPr>
            <w:tcW w:w="640" w:type="dxa"/>
            <w:vAlign w:val="bottom"/>
            <w:tcBorders>
              <w:bottom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jc w:val="right"/>
              <w:ind w:right="757"/>
              <w:spacing w:after="0" w:line="144" w:lineRule="exact"/>
              <w:rPr>
                <w:sz w:val="20"/>
                <w:szCs w:val="20"/>
                <w:color w:val="auto"/>
              </w:rPr>
            </w:pPr>
            <w:r>
              <w:rPr>
                <w:rFonts w:ascii="Arial" w:cs="Arial" w:eastAsia="Arial" w:hAnsi="Arial"/>
                <w:sz w:val="13"/>
                <w:szCs w:val="13"/>
                <w:color w:val="auto"/>
                <w:w w:val="95"/>
              </w:rPr>
              <w:t>6%</w:t>
            </w: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center"/>
              <w:ind w:right="117"/>
              <w:spacing w:after="0" w:line="144" w:lineRule="exact"/>
              <w:rPr>
                <w:sz w:val="20"/>
                <w:szCs w:val="20"/>
                <w:color w:val="auto"/>
              </w:rPr>
            </w:pPr>
            <w:r>
              <w:rPr>
                <w:rFonts w:ascii="Arial" w:cs="Arial" w:eastAsia="Arial" w:hAnsi="Arial"/>
                <w:sz w:val="13"/>
                <w:szCs w:val="13"/>
                <w:color w:val="auto"/>
                <w:w w:val="99"/>
              </w:rPr>
              <w:t>20%</w:t>
            </w:r>
          </w:p>
        </w:tc>
        <w:tc>
          <w:tcPr>
            <w:tcW w:w="0" w:type="dxa"/>
            <w:vAlign w:val="bottom"/>
          </w:tcPr>
          <w:p>
            <w:pPr>
              <w:spacing w:after="0"/>
              <w:rPr>
                <w:sz w:val="1"/>
                <w:szCs w:val="1"/>
                <w:color w:val="auto"/>
              </w:rPr>
            </w:pPr>
          </w:p>
        </w:tc>
      </w:tr>
      <w:tr>
        <w:trPr>
          <w:trHeight w:val="148"/>
        </w:trPr>
        <w:tc>
          <w:tcPr>
            <w:tcW w:w="1960" w:type="dxa"/>
            <w:vAlign w:val="bottom"/>
            <w:tcBorders>
              <w:left w:val="single" w:sz="8" w:color="auto"/>
              <w:right w:val="single" w:sz="8" w:color="auto"/>
            </w:tcBorders>
            <w:shd w:val="clear" w:color="auto" w:fill="CFF0FC"/>
          </w:tcPr>
          <w:p>
            <w:pPr>
              <w:spacing w:after="0" w:line="149" w:lineRule="exact"/>
              <w:rPr>
                <w:sz w:val="20"/>
                <w:szCs w:val="20"/>
                <w:color w:val="auto"/>
              </w:rPr>
            </w:pPr>
            <w:r>
              <w:rPr>
                <w:rFonts w:ascii="Arial" w:cs="Arial" w:eastAsia="Arial" w:hAnsi="Arial"/>
                <w:sz w:val="13"/>
                <w:szCs w:val="13"/>
                <w:b w:val="1"/>
                <w:bCs w:val="1"/>
                <w:color w:val="auto"/>
              </w:rPr>
              <w:t>VOCATIONS OR END USE</w:t>
            </w:r>
          </w:p>
        </w:tc>
        <w:tc>
          <w:tcPr>
            <w:tcW w:w="1680" w:type="dxa"/>
            <w:vAlign w:val="bottom"/>
            <w:tcBorders>
              <w:right w:val="single" w:sz="8" w:color="auto"/>
            </w:tcBorders>
            <w:gridSpan w:val="2"/>
            <w:shd w:val="clear" w:color="auto" w:fill="CFF0FC"/>
          </w:tcPr>
          <w:p>
            <w:pPr>
              <w:ind w:left="100"/>
              <w:spacing w:after="0" w:line="149" w:lineRule="exact"/>
              <w:rPr>
                <w:sz w:val="20"/>
                <w:szCs w:val="20"/>
                <w:color w:val="auto"/>
              </w:rPr>
            </w:pPr>
            <w:r>
              <w:rPr>
                <w:rFonts w:ascii="Arial" w:cs="Arial" w:eastAsia="Arial" w:hAnsi="Arial"/>
                <w:sz w:val="13"/>
                <w:szCs w:val="13"/>
                <w:color w:val="auto"/>
              </w:rPr>
              <w:t>• Construction</w:t>
            </w:r>
          </w:p>
        </w:tc>
        <w:tc>
          <w:tcPr>
            <w:tcW w:w="1660" w:type="dxa"/>
            <w:vAlign w:val="bottom"/>
            <w:tcBorders>
              <w:right w:val="single" w:sz="8" w:color="auto"/>
            </w:tcBorders>
            <w:gridSpan w:val="2"/>
            <w:shd w:val="clear" w:color="auto" w:fill="CFF0FC"/>
          </w:tcPr>
          <w:p>
            <w:pPr>
              <w:ind w:left="80"/>
              <w:spacing w:after="0" w:line="149" w:lineRule="exact"/>
              <w:rPr>
                <w:sz w:val="20"/>
                <w:szCs w:val="20"/>
                <w:color w:val="auto"/>
              </w:rPr>
            </w:pPr>
            <w:r>
              <w:rPr>
                <w:rFonts w:ascii="Arial" w:cs="Arial" w:eastAsia="Arial" w:hAnsi="Arial"/>
                <w:sz w:val="13"/>
                <w:szCs w:val="13"/>
                <w:color w:val="auto"/>
              </w:rPr>
              <w:t>• Construction</w:t>
            </w:r>
          </w:p>
        </w:tc>
        <w:tc>
          <w:tcPr>
            <w:tcW w:w="1640" w:type="dxa"/>
            <w:vAlign w:val="bottom"/>
            <w:tcBorders>
              <w:right w:val="single" w:sz="8" w:color="auto"/>
            </w:tcBorders>
            <w:gridSpan w:val="2"/>
            <w:shd w:val="clear" w:color="auto" w:fill="CFF0FC"/>
          </w:tcPr>
          <w:p>
            <w:pPr>
              <w:ind w:left="80"/>
              <w:spacing w:after="0" w:line="149" w:lineRule="exact"/>
              <w:rPr>
                <w:sz w:val="20"/>
                <w:szCs w:val="20"/>
                <w:color w:val="auto"/>
              </w:rPr>
            </w:pPr>
            <w:r>
              <w:rPr>
                <w:rFonts w:ascii="Arial" w:cs="Arial" w:eastAsia="Arial" w:hAnsi="Arial"/>
                <w:sz w:val="13"/>
                <w:szCs w:val="13"/>
                <w:color w:val="auto"/>
              </w:rPr>
              <w:t>• Construction</w:t>
            </w:r>
          </w:p>
        </w:tc>
        <w:tc>
          <w:tcPr>
            <w:tcW w:w="1660" w:type="dxa"/>
            <w:vAlign w:val="bottom"/>
            <w:tcBorders>
              <w:right w:val="single" w:sz="8" w:color="auto"/>
            </w:tcBorders>
            <w:gridSpan w:val="2"/>
            <w:shd w:val="clear" w:color="auto" w:fill="CFF0FC"/>
          </w:tcPr>
          <w:p>
            <w:pPr>
              <w:ind w:left="100"/>
              <w:spacing w:after="0" w:line="149" w:lineRule="exact"/>
              <w:rPr>
                <w:sz w:val="20"/>
                <w:szCs w:val="20"/>
                <w:color w:val="auto"/>
              </w:rPr>
            </w:pPr>
            <w:r>
              <w:rPr>
                <w:rFonts w:ascii="Arial" w:cs="Arial" w:eastAsia="Arial" w:hAnsi="Arial"/>
                <w:sz w:val="13"/>
                <w:szCs w:val="13"/>
                <w:color w:val="auto"/>
              </w:rPr>
              <w:t>• Construction</w:t>
            </w:r>
          </w:p>
        </w:tc>
        <w:tc>
          <w:tcPr>
            <w:tcW w:w="1660" w:type="dxa"/>
            <w:vAlign w:val="bottom"/>
            <w:tcBorders>
              <w:right w:val="single" w:sz="8" w:color="auto"/>
            </w:tcBorders>
            <w:gridSpan w:val="2"/>
            <w:shd w:val="clear" w:color="auto" w:fill="CFF0FC"/>
          </w:tcPr>
          <w:p>
            <w:pPr>
              <w:ind w:left="80"/>
              <w:spacing w:after="0" w:line="149" w:lineRule="exact"/>
              <w:rPr>
                <w:sz w:val="20"/>
                <w:szCs w:val="20"/>
                <w:color w:val="auto"/>
              </w:rPr>
            </w:pPr>
            <w:r>
              <w:rPr>
                <w:rFonts w:ascii="Arial" w:cs="Arial" w:eastAsia="Arial" w:hAnsi="Arial"/>
                <w:sz w:val="13"/>
                <w:szCs w:val="13"/>
                <w:color w:val="auto"/>
              </w:rPr>
              <w:t>• Medium- and heavy-</w:t>
            </w:r>
          </w:p>
        </w:tc>
        <w:tc>
          <w:tcPr>
            <w:tcW w:w="1180" w:type="dxa"/>
            <w:vAlign w:val="bottom"/>
            <w:tcBorders>
              <w:right w:val="single" w:sz="8" w:color="auto"/>
            </w:tcBorders>
            <w:gridSpan w:val="2"/>
            <w:shd w:val="clear" w:color="auto" w:fill="CFF0FC"/>
          </w:tcPr>
          <w:p>
            <w:pPr>
              <w:ind w:left="80"/>
              <w:spacing w:after="0" w:line="149" w:lineRule="exact"/>
              <w:rPr>
                <w:sz w:val="20"/>
                <w:szCs w:val="20"/>
                <w:color w:val="auto"/>
              </w:rPr>
            </w:pPr>
            <w:r>
              <w:rPr>
                <w:rFonts w:ascii="Arial" w:cs="Arial" w:eastAsia="Arial" w:hAnsi="Arial"/>
                <w:sz w:val="13"/>
                <w:szCs w:val="13"/>
                <w:color w:val="auto"/>
              </w:rPr>
              <w:t>• Aluminum die</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Distribution</w:t>
            </w:r>
          </w:p>
        </w:tc>
        <w:tc>
          <w:tcPr>
            <w:tcW w:w="580" w:type="dxa"/>
            <w:vAlign w:val="bottom"/>
            <w:shd w:val="clear" w:color="auto" w:fill="CFF0FC"/>
          </w:tcPr>
          <w:p>
            <w:pPr>
              <w:ind w:left="80"/>
              <w:spacing w:after="0" w:line="141" w:lineRule="exact"/>
              <w:rPr>
                <w:sz w:val="20"/>
                <w:szCs w:val="20"/>
                <w:color w:val="auto"/>
              </w:rPr>
            </w:pPr>
            <w:r>
              <w:rPr>
                <w:rFonts w:ascii="Arial" w:cs="Arial" w:eastAsia="Arial" w:hAnsi="Arial"/>
                <w:sz w:val="13"/>
                <w:szCs w:val="13"/>
                <w:color w:val="auto"/>
                <w:w w:val="97"/>
              </w:rPr>
              <w:t>• Energy</w:t>
            </w:r>
          </w:p>
        </w:tc>
        <w:tc>
          <w:tcPr>
            <w:tcW w:w="1080" w:type="dxa"/>
            <w:vAlign w:val="bottom"/>
            <w:tcBorders>
              <w:right w:val="single" w:sz="8" w:color="auto"/>
            </w:tcBorders>
            <w:shd w:val="clear" w:color="auto" w:fill="CFF0FC"/>
          </w:tcPr>
          <w:p>
            <w:pPr>
              <w:spacing w:after="0"/>
              <w:rPr>
                <w:sz w:val="12"/>
                <w:szCs w:val="12"/>
                <w:color w:val="auto"/>
              </w:rPr>
            </w:pPr>
          </w:p>
        </w:tc>
        <w:tc>
          <w:tcPr>
            <w:tcW w:w="164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Distribution</w:t>
            </w:r>
          </w:p>
        </w:tc>
        <w:tc>
          <w:tcPr>
            <w:tcW w:w="600" w:type="dxa"/>
            <w:vAlign w:val="bottom"/>
            <w:shd w:val="clear" w:color="auto" w:fill="CFF0FC"/>
          </w:tcPr>
          <w:p>
            <w:pPr>
              <w:ind w:left="100"/>
              <w:spacing w:after="0" w:line="141" w:lineRule="exact"/>
              <w:rPr>
                <w:sz w:val="20"/>
                <w:szCs w:val="20"/>
                <w:color w:val="auto"/>
              </w:rPr>
            </w:pPr>
            <w:r>
              <w:rPr>
                <w:rFonts w:ascii="Arial" w:cs="Arial" w:eastAsia="Arial" w:hAnsi="Arial"/>
                <w:sz w:val="13"/>
                <w:szCs w:val="13"/>
                <w:color w:val="auto"/>
                <w:w w:val="97"/>
              </w:rPr>
              <w:t>• Energy</w:t>
            </w:r>
          </w:p>
        </w:tc>
        <w:tc>
          <w:tcPr>
            <w:tcW w:w="1060" w:type="dxa"/>
            <w:vAlign w:val="bottom"/>
            <w:tcBorders>
              <w:right w:val="single" w:sz="8" w:color="auto"/>
            </w:tcBorders>
            <w:shd w:val="clear" w:color="auto" w:fill="CFF0FC"/>
          </w:tcPr>
          <w:p>
            <w:pPr>
              <w:spacing w:after="0"/>
              <w:rPr>
                <w:sz w:val="12"/>
                <w:szCs w:val="12"/>
                <w:color w:val="auto"/>
              </w:rPr>
            </w:pPr>
          </w:p>
        </w:tc>
        <w:tc>
          <w:tcPr>
            <w:tcW w:w="166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tactical wheeled</w:t>
            </w: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cast components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Emergency</w:t>
            </w:r>
          </w:p>
        </w:tc>
        <w:tc>
          <w:tcPr>
            <w:tcW w:w="580" w:type="dxa"/>
            <w:vAlign w:val="bottom"/>
            <w:shd w:val="clear" w:color="auto" w:fill="CFF0FC"/>
          </w:tcPr>
          <w:p>
            <w:pPr>
              <w:ind w:left="80"/>
              <w:spacing w:after="0" w:line="141" w:lineRule="exact"/>
              <w:rPr>
                <w:sz w:val="20"/>
                <w:szCs w:val="20"/>
                <w:color w:val="auto"/>
              </w:rPr>
            </w:pPr>
            <w:r>
              <w:rPr>
                <w:rFonts w:ascii="Arial" w:cs="Arial" w:eastAsia="Arial" w:hAnsi="Arial"/>
                <w:sz w:val="13"/>
                <w:szCs w:val="13"/>
                <w:color w:val="auto"/>
              </w:rPr>
              <w:t>• Mining</w:t>
            </w:r>
          </w:p>
        </w:tc>
        <w:tc>
          <w:tcPr>
            <w:tcW w:w="1080" w:type="dxa"/>
            <w:vAlign w:val="bottom"/>
            <w:tcBorders>
              <w:right w:val="single" w:sz="8" w:color="auto"/>
            </w:tcBorders>
            <w:shd w:val="clear" w:color="auto" w:fill="CFF0FC"/>
          </w:tcPr>
          <w:p>
            <w:pPr>
              <w:spacing w:after="0"/>
              <w:rPr>
                <w:sz w:val="12"/>
                <w:szCs w:val="12"/>
                <w:color w:val="auto"/>
              </w:rPr>
            </w:pPr>
          </w:p>
        </w:tc>
        <w:tc>
          <w:tcPr>
            <w:tcW w:w="164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Emergency</w:t>
            </w:r>
          </w:p>
        </w:tc>
        <w:tc>
          <w:tcPr>
            <w:tcW w:w="600" w:type="dxa"/>
            <w:vAlign w:val="bottom"/>
            <w:shd w:val="clear" w:color="auto" w:fill="CFF0FC"/>
          </w:tcPr>
          <w:p>
            <w:pPr>
              <w:ind w:left="100"/>
              <w:spacing w:after="0" w:line="141" w:lineRule="exact"/>
              <w:rPr>
                <w:sz w:val="20"/>
                <w:szCs w:val="20"/>
                <w:color w:val="auto"/>
              </w:rPr>
            </w:pPr>
            <w:r>
              <w:rPr>
                <w:rFonts w:ascii="Arial" w:cs="Arial" w:eastAsia="Arial" w:hAnsi="Arial"/>
                <w:sz w:val="13"/>
                <w:szCs w:val="13"/>
                <w:color w:val="auto"/>
              </w:rPr>
              <w:t>• Mining</w:t>
            </w: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ind w:left="80"/>
              <w:spacing w:after="0" w:line="141" w:lineRule="exact"/>
              <w:rPr>
                <w:sz w:val="20"/>
                <w:szCs w:val="20"/>
                <w:color w:val="auto"/>
              </w:rPr>
            </w:pPr>
            <w:r>
              <w:rPr>
                <w:rFonts w:ascii="Arial" w:cs="Arial" w:eastAsia="Arial" w:hAnsi="Arial"/>
                <w:sz w:val="13"/>
                <w:szCs w:val="13"/>
                <w:color w:val="auto"/>
              </w:rPr>
              <w:t>platforms</w:t>
            </w: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Extended</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Metro Tractors</w:t>
            </w:r>
          </w:p>
        </w:tc>
        <w:tc>
          <w:tcPr>
            <w:tcW w:w="166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Specialty vehicle</w:t>
            </w:r>
          </w:p>
        </w:tc>
        <w:tc>
          <w:tcPr>
            <w:tcW w:w="580" w:type="dxa"/>
            <w:vAlign w:val="bottom"/>
            <w:shd w:val="clear" w:color="auto" w:fill="CFF0FC"/>
          </w:tcPr>
          <w:p>
            <w:pPr>
              <w:ind w:left="80"/>
              <w:spacing w:after="0" w:line="141" w:lineRule="exact"/>
              <w:rPr>
                <w:sz w:val="20"/>
                <w:szCs w:val="20"/>
                <w:color w:val="auto"/>
              </w:rPr>
            </w:pPr>
            <w:r>
              <w:rPr>
                <w:rFonts w:ascii="Arial" w:cs="Arial" w:eastAsia="Arial" w:hAnsi="Arial"/>
                <w:sz w:val="13"/>
                <w:szCs w:val="13"/>
                <w:color w:val="auto"/>
                <w:w w:val="97"/>
              </w:rPr>
              <w:t>• Refuse</w:t>
            </w:r>
          </w:p>
        </w:tc>
        <w:tc>
          <w:tcPr>
            <w:tcW w:w="1060" w:type="dxa"/>
            <w:vAlign w:val="bottom"/>
            <w:tcBorders>
              <w:right w:val="single" w:sz="8" w:color="auto"/>
            </w:tcBorders>
            <w:shd w:val="clear" w:color="auto" w:fill="CFF0FC"/>
          </w:tcPr>
          <w:p>
            <w:pPr>
              <w:spacing w:after="0"/>
              <w:rPr>
                <w:sz w:val="12"/>
                <w:szCs w:val="12"/>
                <w:color w:val="auto"/>
              </w:rPr>
            </w:pPr>
          </w:p>
        </w:tc>
        <w:tc>
          <w:tcPr>
            <w:tcW w:w="166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Specialty vehicle</w:t>
            </w:r>
          </w:p>
        </w:tc>
        <w:tc>
          <w:tcPr>
            <w:tcW w:w="166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Tracked combat</w:t>
            </w: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transmission</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Motorhome</w:t>
            </w: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164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Transit, shuttle and</w:t>
            </w: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ind w:left="80"/>
              <w:spacing w:after="0" w:line="141" w:lineRule="exact"/>
              <w:rPr>
                <w:sz w:val="20"/>
                <w:szCs w:val="20"/>
                <w:color w:val="auto"/>
              </w:rPr>
            </w:pPr>
            <w:r>
              <w:rPr>
                <w:rFonts w:ascii="Arial" w:cs="Arial" w:eastAsia="Arial" w:hAnsi="Arial"/>
                <w:sz w:val="13"/>
                <w:szCs w:val="13"/>
                <w:color w:val="auto"/>
              </w:rPr>
              <w:t>platforms</w:t>
            </w: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coverage</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Refuse</w:t>
            </w: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164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coach buses</w:t>
            </w: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Remanufactured</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School, transit, shuttle</w:t>
            </w: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ind w:left="80"/>
              <w:spacing w:after="0" w:line="141" w:lineRule="exact"/>
              <w:rPr>
                <w:sz w:val="20"/>
                <w:szCs w:val="20"/>
                <w:color w:val="auto"/>
              </w:rPr>
            </w:pPr>
            <w:r>
              <w:rPr>
                <w:rFonts w:ascii="Arial" w:cs="Arial" w:eastAsia="Arial" w:hAnsi="Arial"/>
                <w:sz w:val="13"/>
                <w:szCs w:val="13"/>
                <w:color w:val="auto"/>
              </w:rPr>
              <w:t>• Utility</w:t>
            </w: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transmissions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340" w:type="dxa"/>
            <w:vAlign w:val="bottom"/>
            <w:shd w:val="clear" w:color="auto" w:fill="CFF0FC"/>
          </w:tcPr>
          <w:p>
            <w:pPr>
              <w:ind w:left="100"/>
              <w:spacing w:after="0" w:line="141" w:lineRule="exact"/>
              <w:rPr>
                <w:sz w:val="20"/>
                <w:szCs w:val="20"/>
                <w:color w:val="auto"/>
              </w:rPr>
            </w:pPr>
            <w:r>
              <w:rPr>
                <w:rFonts w:ascii="Arial" w:cs="Arial" w:eastAsia="Arial" w:hAnsi="Arial"/>
                <w:sz w:val="13"/>
                <w:szCs w:val="13"/>
                <w:color w:val="auto"/>
              </w:rPr>
              <w:t>and</w:t>
            </w:r>
          </w:p>
        </w:tc>
        <w:tc>
          <w:tcPr>
            <w:tcW w:w="1340" w:type="dxa"/>
            <w:vAlign w:val="bottom"/>
            <w:tcBorders>
              <w:right w:val="single" w:sz="8" w:color="auto"/>
            </w:tcBorders>
            <w:shd w:val="clear" w:color="auto" w:fill="CFF0FC"/>
          </w:tcPr>
          <w:p>
            <w:pPr>
              <w:ind w:left="40"/>
              <w:spacing w:after="0" w:line="141" w:lineRule="exact"/>
              <w:rPr>
                <w:sz w:val="20"/>
                <w:szCs w:val="20"/>
                <w:color w:val="auto"/>
              </w:rPr>
            </w:pPr>
            <w:r>
              <w:rPr>
                <w:rFonts w:ascii="Arial" w:cs="Arial" w:eastAsia="Arial" w:hAnsi="Arial"/>
                <w:sz w:val="13"/>
                <w:szCs w:val="13"/>
                <w:color w:val="auto"/>
              </w:rPr>
              <w:t>coach buses</w:t>
            </w: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Royalties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1680" w:type="dxa"/>
            <w:vAlign w:val="bottom"/>
            <w:tcBorders>
              <w:right w:val="single" w:sz="8" w:color="auto"/>
            </w:tcBorders>
            <w:gridSpan w:val="2"/>
            <w:shd w:val="clear" w:color="auto" w:fill="CFF0FC"/>
          </w:tcPr>
          <w:p>
            <w:pPr>
              <w:ind w:left="100"/>
              <w:spacing w:after="0" w:line="141" w:lineRule="exact"/>
              <w:rPr>
                <w:sz w:val="20"/>
                <w:szCs w:val="20"/>
                <w:color w:val="auto"/>
              </w:rPr>
            </w:pPr>
            <w:r>
              <w:rPr>
                <w:rFonts w:ascii="Arial" w:cs="Arial" w:eastAsia="Arial" w:hAnsi="Arial"/>
                <w:sz w:val="13"/>
                <w:szCs w:val="13"/>
                <w:color w:val="auto"/>
              </w:rPr>
              <w:t>• Utility</w:t>
            </w: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Saleable</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engineering</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Service parts</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Support</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equipment</w:t>
            </w:r>
          </w:p>
        </w:tc>
        <w:tc>
          <w:tcPr>
            <w:tcW w:w="0" w:type="dxa"/>
            <w:vAlign w:val="bottom"/>
          </w:tcPr>
          <w:p>
            <w:pPr>
              <w:spacing w:after="0"/>
              <w:rPr>
                <w:sz w:val="1"/>
                <w:szCs w:val="1"/>
                <w:color w:val="auto"/>
              </w:rPr>
            </w:pPr>
          </w:p>
        </w:tc>
      </w:tr>
      <w:tr>
        <w:trPr>
          <w:trHeight w:val="141"/>
        </w:trPr>
        <w:tc>
          <w:tcPr>
            <w:tcW w:w="1960" w:type="dxa"/>
            <w:vAlign w:val="bottom"/>
            <w:tcBorders>
              <w:left w:val="single" w:sz="8" w:color="auto"/>
              <w:right w:val="single" w:sz="8" w:color="auto"/>
            </w:tcBorders>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34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80" w:type="dxa"/>
            <w:vAlign w:val="bottom"/>
            <w:tcBorders>
              <w:right w:val="single" w:sz="8" w:color="auto"/>
            </w:tcBorders>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060" w:type="dxa"/>
            <w:vAlign w:val="bottom"/>
            <w:tcBorders>
              <w:right w:val="single" w:sz="8" w:color="auto"/>
            </w:tcBorders>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20" w:type="dxa"/>
            <w:vAlign w:val="bottom"/>
            <w:tcBorders>
              <w:right w:val="single" w:sz="8" w:color="auto"/>
            </w:tcBorders>
            <w:shd w:val="clear" w:color="auto" w:fill="CFF0FC"/>
          </w:tcPr>
          <w:p>
            <w:pPr>
              <w:spacing w:after="0"/>
              <w:rPr>
                <w:sz w:val="12"/>
                <w:szCs w:val="12"/>
                <w:color w:val="auto"/>
              </w:rPr>
            </w:pPr>
          </w:p>
        </w:tc>
        <w:tc>
          <w:tcPr>
            <w:tcW w:w="1180" w:type="dxa"/>
            <w:vAlign w:val="bottom"/>
            <w:tcBorders>
              <w:right w:val="single" w:sz="8" w:color="auto"/>
            </w:tcBorders>
            <w:gridSpan w:val="2"/>
            <w:shd w:val="clear" w:color="auto" w:fill="CFF0FC"/>
          </w:tcPr>
          <w:p>
            <w:pPr>
              <w:ind w:left="80"/>
              <w:spacing w:after="0" w:line="141" w:lineRule="exact"/>
              <w:rPr>
                <w:sz w:val="20"/>
                <w:szCs w:val="20"/>
                <w:color w:val="auto"/>
              </w:rPr>
            </w:pPr>
            <w:r>
              <w:rPr>
                <w:rFonts w:ascii="Arial" w:cs="Arial" w:eastAsia="Arial" w:hAnsi="Arial"/>
                <w:sz w:val="13"/>
                <w:szCs w:val="13"/>
                <w:color w:val="auto"/>
              </w:rPr>
              <w:t>• Transmission</w:t>
            </w:r>
          </w:p>
        </w:tc>
        <w:tc>
          <w:tcPr>
            <w:tcW w:w="0" w:type="dxa"/>
            <w:vAlign w:val="bottom"/>
          </w:tcPr>
          <w:p>
            <w:pPr>
              <w:spacing w:after="0"/>
              <w:rPr>
                <w:sz w:val="1"/>
                <w:szCs w:val="1"/>
                <w:color w:val="auto"/>
              </w:rPr>
            </w:pPr>
          </w:p>
        </w:tc>
      </w:tr>
      <w:tr>
        <w:trPr>
          <w:trHeight w:val="137"/>
        </w:trPr>
        <w:tc>
          <w:tcPr>
            <w:tcW w:w="1960" w:type="dxa"/>
            <w:vAlign w:val="bottom"/>
            <w:tcBorders>
              <w:left w:val="single" w:sz="8" w:color="auto"/>
              <w:bottom w:val="single" w:sz="8" w:color="auto"/>
              <w:right w:val="single" w:sz="8" w:color="auto"/>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340" w:type="dxa"/>
            <w:vAlign w:val="bottom"/>
            <w:tcBorders>
              <w:bottom w:val="single" w:sz="8" w:color="auto"/>
              <w:right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1080" w:type="dxa"/>
            <w:vAlign w:val="bottom"/>
            <w:tcBorders>
              <w:bottom w:val="single" w:sz="8" w:color="auto"/>
              <w:right w:val="single" w:sz="8" w:color="auto"/>
            </w:tcBorders>
            <w:shd w:val="clear" w:color="auto" w:fill="CFF0FC"/>
          </w:tcPr>
          <w:p>
            <w:pPr>
              <w:spacing w:after="0"/>
              <w:rPr>
                <w:sz w:val="11"/>
                <w:szCs w:val="11"/>
                <w:color w:val="auto"/>
              </w:rPr>
            </w:pPr>
          </w:p>
        </w:tc>
        <w:tc>
          <w:tcPr>
            <w:tcW w:w="58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right w:val="single" w:sz="8" w:color="auto"/>
            </w:tcBorders>
            <w:shd w:val="clear" w:color="auto" w:fill="CFF0FC"/>
          </w:tcPr>
          <w:p>
            <w:pPr>
              <w:spacing w:after="0"/>
              <w:rPr>
                <w:sz w:val="11"/>
                <w:szCs w:val="11"/>
                <w:color w:val="auto"/>
              </w:rPr>
            </w:pPr>
          </w:p>
        </w:tc>
        <w:tc>
          <w:tcPr>
            <w:tcW w:w="600" w:type="dxa"/>
            <w:vAlign w:val="bottom"/>
            <w:tcBorders>
              <w:bottom w:val="single" w:sz="8" w:color="auto"/>
            </w:tcBorders>
            <w:shd w:val="clear" w:color="auto" w:fill="CFF0FC"/>
          </w:tcPr>
          <w:p>
            <w:pPr>
              <w:spacing w:after="0"/>
              <w:rPr>
                <w:sz w:val="11"/>
                <w:szCs w:val="11"/>
                <w:color w:val="auto"/>
              </w:rPr>
            </w:pPr>
          </w:p>
        </w:tc>
        <w:tc>
          <w:tcPr>
            <w:tcW w:w="1060" w:type="dxa"/>
            <w:vAlign w:val="bottom"/>
            <w:tcBorders>
              <w:bottom w:val="single" w:sz="8" w:color="auto"/>
              <w:right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right w:val="single" w:sz="8" w:color="auto"/>
            </w:tcBorders>
            <w:shd w:val="clear" w:color="auto" w:fill="CFF0FC"/>
          </w:tcPr>
          <w:p>
            <w:pPr>
              <w:spacing w:after="0"/>
              <w:rPr>
                <w:sz w:val="11"/>
                <w:szCs w:val="11"/>
                <w:color w:val="auto"/>
              </w:rPr>
            </w:pPr>
          </w:p>
        </w:tc>
        <w:tc>
          <w:tcPr>
            <w:tcW w:w="1180" w:type="dxa"/>
            <w:vAlign w:val="bottom"/>
            <w:tcBorders>
              <w:bottom w:val="single" w:sz="8" w:color="auto"/>
              <w:right w:val="single" w:sz="8" w:color="auto"/>
            </w:tcBorders>
            <w:gridSpan w:val="2"/>
            <w:shd w:val="clear" w:color="auto" w:fill="CFF0FC"/>
          </w:tcPr>
          <w:p>
            <w:pPr>
              <w:ind w:left="80"/>
              <w:spacing w:after="0" w:line="137" w:lineRule="exact"/>
              <w:rPr>
                <w:sz w:val="20"/>
                <w:szCs w:val="20"/>
                <w:color w:val="auto"/>
              </w:rPr>
            </w:pPr>
            <w:r>
              <w:rPr>
                <w:rFonts w:ascii="Arial" w:cs="Arial" w:eastAsia="Arial" w:hAnsi="Arial"/>
                <w:sz w:val="13"/>
                <w:szCs w:val="13"/>
                <w:color w:val="auto"/>
              </w:rPr>
              <w:t>fluids</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80" w:firstLine="603"/>
        <w:spacing w:after="0" w:line="237" w:lineRule="auto"/>
        <w:rPr>
          <w:sz w:val="20"/>
          <w:szCs w:val="20"/>
          <w:color w:val="auto"/>
        </w:rPr>
      </w:pPr>
      <w:r>
        <w:rPr>
          <w:rFonts w:ascii="Arial" w:cs="Arial" w:eastAsia="Arial" w:hAnsi="Arial"/>
          <w:sz w:val="16"/>
          <w:szCs w:val="16"/>
          <w:color w:val="auto"/>
        </w:rPr>
        <w:t>Refer to NOTE 19, “Concentration of Risk” in Part II, Item 8, of this Annual Report on Form 10-K for additional information on our significant original equipment manufacturer (“OEM”) customers.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North America</w:t>
      </w:r>
    </w:p>
    <w:p>
      <w:pPr>
        <w:spacing w:after="0" w:line="135" w:lineRule="exact"/>
        <w:rPr>
          <w:sz w:val="20"/>
          <w:szCs w:val="20"/>
          <w:color w:val="auto"/>
        </w:rPr>
      </w:pPr>
    </w:p>
    <w:p>
      <w:pPr>
        <w:ind w:right="300" w:firstLine="531"/>
        <w:spacing w:after="0" w:line="257" w:lineRule="auto"/>
        <w:rPr>
          <w:sz w:val="20"/>
          <w:szCs w:val="20"/>
          <w:color w:val="auto"/>
        </w:rPr>
      </w:pPr>
      <w:r>
        <w:rPr>
          <w:rFonts w:ascii="Arial" w:cs="Arial" w:eastAsia="Arial" w:hAnsi="Arial"/>
          <w:sz w:val="16"/>
          <w:szCs w:val="16"/>
          <w:b w:val="1"/>
          <w:bCs w:val="1"/>
          <w:i w:val="1"/>
          <w:iCs w:val="1"/>
          <w:color w:val="auto"/>
        </w:rPr>
        <w:t xml:space="preserve">On-Highway. </w:t>
      </w:r>
      <w:r>
        <w:rPr>
          <w:rFonts w:ascii="Arial" w:cs="Arial" w:eastAsia="Arial" w:hAnsi="Arial"/>
          <w:sz w:val="16"/>
          <w:szCs w:val="16"/>
          <w:color w:val="auto"/>
        </w:rPr>
        <w:t>We are the largest manufacturer of fully-automatic transmissions for the on-highway medium- and heavy-duty commercial vehicle market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97155</wp:posOffset>
            </wp:positionV>
            <wp:extent cx="3538855" cy="2190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38855"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20" w:firstLine="531"/>
        <w:spacing w:after="0" w:line="232" w:lineRule="auto"/>
        <w:rPr>
          <w:sz w:val="20"/>
          <w:szCs w:val="20"/>
          <w:color w:val="auto"/>
        </w:rPr>
      </w:pPr>
      <w:r>
        <w:rPr>
          <w:rFonts w:ascii="Arial" w:cs="Arial" w:eastAsia="Arial" w:hAnsi="Arial"/>
          <w:sz w:val="16"/>
          <w:szCs w:val="16"/>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line-haul tractor market because lower priced manual transmissions and AMTs generally meet the needs of these vehicles which are primarily used in long distance hauling.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80" w:firstLine="531"/>
        <w:spacing w:after="0" w:line="234" w:lineRule="auto"/>
        <w:rPr>
          <w:sz w:val="20"/>
          <w:szCs w:val="20"/>
          <w:color w:val="auto"/>
        </w:rPr>
      </w:pPr>
      <w:r>
        <w:rPr>
          <w:rFonts w:ascii="Arial" w:cs="Arial" w:eastAsia="Arial" w:hAnsi="Arial"/>
          <w:sz w:val="16"/>
          <w:szCs w:val="16"/>
          <w:color w:val="auto"/>
        </w:rPr>
        <w:t>We also provide electric-hybrid and fully-electric propulsion solutions within the North American on-highway market. The interest in conserving fuel and reducing greenhouse gas emissions is driving demand for more fuel efficient commercial vehicles. Our customers for transit bus applications are typically city, state and federal governmental entities. We compete primarily with BAE Systems plc and manufacturers of fully-electric propulsion solutions in this market.</w:t>
      </w:r>
    </w:p>
    <w:p>
      <w:pPr>
        <w:spacing w:after="0" w:line="131" w:lineRule="exact"/>
        <w:rPr>
          <w:sz w:val="20"/>
          <w:szCs w:val="20"/>
          <w:color w:val="auto"/>
        </w:rPr>
      </w:pPr>
    </w:p>
    <w:p>
      <w:pPr>
        <w:ind w:right="20" w:firstLine="531"/>
        <w:spacing w:after="0" w:line="244" w:lineRule="auto"/>
        <w:rPr>
          <w:sz w:val="20"/>
          <w:szCs w:val="20"/>
          <w:color w:val="auto"/>
        </w:rPr>
      </w:pPr>
      <w:r>
        <w:rPr>
          <w:rFonts w:ascii="Arial" w:cs="Arial" w:eastAsia="Arial" w:hAnsi="Arial"/>
          <w:sz w:val="15"/>
          <w:szCs w:val="15"/>
          <w:color w:val="auto"/>
        </w:rPr>
        <w:t>We sell substantially all of our transmissions and propulsion solutions in the North American on-highway market to OEMs. These OEMs, in turn, install our transmissions and propulsion solutions in vehicles in which our product is either the exclusive transmission or propulsion solution available or is specifically requested by end users. In 2019, OEM customers representing over 95% of our North American on-highway unit volume participated in long-term agreements (“LTA”) with</w:t>
      </w:r>
    </w:p>
    <w:p>
      <w:pPr>
        <w:spacing w:after="0" w:line="2"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us. Generally, these LTAs offer the OEM customer defined levels of mutual commitment with respect to growing Allison’s presence in the OEMs’ products and promotional efforts, pricing and sharing of commodity cost risk. The length of our LTAs is typically between three and five years. We often compete in this market against independent manufacturers of manual transmissions, AMTs, electric-hybrid and fully-electric propulsion solutions, fully-automatic transmissions manufactured by Ford Motor Company (“Ford”), ZF Friedrichshafen AG (“ZF”) and Voith GmbH (“Voith”), and against vertically integrated OEMs in certain weight classes that use their own internally manufactured transmissions in certain vehicles.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a summary of our competitive position by vehicle class in the North America On-Highway end market.</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2200" w:type="dxa"/>
            <w:vAlign w:val="bottom"/>
            <w:tcBorders>
              <w:top w:val="single" w:sz="8" w:color="auto"/>
              <w:left w:val="single" w:sz="8" w:color="auto"/>
              <w:right w:val="single" w:sz="8" w:color="auto"/>
            </w:tcBorders>
          </w:tcPr>
          <w:p>
            <w:pPr>
              <w:spacing w:after="0"/>
              <w:rPr>
                <w:sz w:val="13"/>
                <w:szCs w:val="13"/>
                <w:color w:val="auto"/>
              </w:rPr>
            </w:pPr>
          </w:p>
        </w:tc>
        <w:tc>
          <w:tcPr>
            <w:tcW w:w="1860" w:type="dxa"/>
            <w:vAlign w:val="bottom"/>
            <w:tcBorders>
              <w:top w:val="single" w:sz="8" w:color="auto"/>
              <w:right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6"/>
              </w:rPr>
              <w:t>CLASS 4-5</w:t>
            </w:r>
          </w:p>
        </w:tc>
        <w:tc>
          <w:tcPr>
            <w:tcW w:w="1840" w:type="dxa"/>
            <w:vAlign w:val="bottom"/>
            <w:tcBorders>
              <w:top w:val="single" w:sz="8" w:color="auto"/>
              <w:right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6"/>
              </w:rPr>
              <w:t>CLASS 6-7</w:t>
            </w:r>
          </w:p>
        </w:tc>
        <w:tc>
          <w:tcPr>
            <w:tcW w:w="1860" w:type="dxa"/>
            <w:vAlign w:val="bottom"/>
            <w:tcBorders>
              <w:top w:val="single" w:sz="8" w:color="auto"/>
              <w:right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5"/>
              </w:rPr>
              <w:t>CLASS 8 STRAIGHT</w:t>
            </w:r>
          </w:p>
        </w:tc>
        <w:tc>
          <w:tcPr>
            <w:tcW w:w="1880" w:type="dxa"/>
            <w:vAlign w:val="bottom"/>
            <w:tcBorders>
              <w:top w:val="single" w:sz="8" w:color="auto"/>
              <w:right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r>
      <w:tr>
        <w:trPr>
          <w:trHeight w:val="153"/>
        </w:trPr>
        <w:tc>
          <w:tcPr>
            <w:tcW w:w="2200" w:type="dxa"/>
            <w:vAlign w:val="bottom"/>
            <w:tcBorders>
              <w:left w:val="single" w:sz="8" w:color="auto"/>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5"/>
              </w:rPr>
              <w:t>TRUCKS</w:t>
            </w:r>
          </w:p>
        </w:tc>
        <w:tc>
          <w:tcPr>
            <w:tcW w:w="184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3"/>
                <w:szCs w:val="13"/>
                <w:b w:val="1"/>
                <w:bCs w:val="1"/>
                <w:color w:val="auto"/>
                <w:w w:val="95"/>
              </w:rPr>
              <w:t>TRUCKS</w:t>
            </w:r>
          </w:p>
        </w:tc>
        <w:tc>
          <w:tcPr>
            <w:tcW w:w="186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5"/>
              </w:rPr>
              <w:t>TRUCKS</w:t>
            </w:r>
          </w:p>
        </w:tc>
        <w:tc>
          <w:tcPr>
            <w:tcW w:w="188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98"/>
              </w:rPr>
              <w:t>SCHOOL BUSES</w:t>
            </w:r>
          </w:p>
        </w:tc>
        <w:tc>
          <w:tcPr>
            <w:tcW w:w="1800" w:type="dxa"/>
            <w:vAlign w:val="bottom"/>
            <w:tcBorders>
              <w:bottom w:val="single" w:sz="8" w:color="auto"/>
            </w:tcBorders>
          </w:tcPr>
          <w:p>
            <w:pPr>
              <w:jc w:val="center"/>
              <w:ind w:right="7"/>
              <w:spacing w:after="0"/>
              <w:rPr>
                <w:sz w:val="20"/>
                <w:szCs w:val="20"/>
                <w:color w:val="auto"/>
              </w:rPr>
            </w:pPr>
            <w:r>
              <w:rPr>
                <w:rFonts w:ascii="Arial" w:cs="Arial" w:eastAsia="Arial" w:hAnsi="Arial"/>
                <w:sz w:val="13"/>
                <w:szCs w:val="13"/>
                <w:b w:val="1"/>
                <w:bCs w:val="1"/>
                <w:color w:val="auto"/>
                <w:w w:val="95"/>
              </w:rPr>
              <w:t>MOTORHOMES</w:t>
            </w:r>
          </w:p>
        </w:tc>
      </w:tr>
      <w:tr>
        <w:trPr>
          <w:trHeight w:val="179"/>
        </w:trPr>
        <w:tc>
          <w:tcPr>
            <w:tcW w:w="2200" w:type="dxa"/>
            <w:vAlign w:val="bottom"/>
            <w:tcBorders>
              <w:left w:val="single" w:sz="8" w:color="auto"/>
              <w:bottom w:val="single" w:sz="8" w:color="auto"/>
              <w:right w:val="single" w:sz="8" w:color="auto"/>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2019 SHARE</w:t>
            </w:r>
          </w:p>
        </w:tc>
        <w:tc>
          <w:tcPr>
            <w:tcW w:w="1860" w:type="dxa"/>
            <w:vAlign w:val="bottom"/>
            <w:tcBorders>
              <w:bottom w:val="single" w:sz="8" w:color="auto"/>
              <w:right w:val="single" w:sz="8" w:color="auto"/>
            </w:tcBorders>
            <w:shd w:val="clear" w:color="auto" w:fill="CFF0FC"/>
          </w:tcPr>
          <w:p>
            <w:pPr>
              <w:jc w:val="center"/>
              <w:ind w:right="90"/>
              <w:spacing w:after="0" w:line="180" w:lineRule="exact"/>
              <w:rPr>
                <w:sz w:val="20"/>
                <w:szCs w:val="20"/>
                <w:color w:val="auto"/>
              </w:rPr>
            </w:pPr>
            <w:r>
              <w:rPr>
                <w:rFonts w:ascii="Arial" w:cs="Arial" w:eastAsia="Arial" w:hAnsi="Arial"/>
                <w:sz w:val="16"/>
                <w:szCs w:val="16"/>
                <w:color w:val="auto"/>
                <w:w w:val="93"/>
              </w:rPr>
              <w:t>16%</w:t>
            </w:r>
          </w:p>
        </w:tc>
        <w:tc>
          <w:tcPr>
            <w:tcW w:w="1840" w:type="dxa"/>
            <w:vAlign w:val="bottom"/>
            <w:tcBorders>
              <w:bottom w:val="single" w:sz="8" w:color="auto"/>
              <w:right w:val="single" w:sz="8" w:color="auto"/>
            </w:tcBorders>
            <w:shd w:val="clear" w:color="auto" w:fill="CFF0FC"/>
          </w:tcPr>
          <w:p>
            <w:pPr>
              <w:jc w:val="center"/>
              <w:ind w:right="86"/>
              <w:spacing w:after="0" w:line="180" w:lineRule="exact"/>
              <w:rPr>
                <w:sz w:val="20"/>
                <w:szCs w:val="20"/>
                <w:color w:val="auto"/>
              </w:rPr>
            </w:pPr>
            <w:r>
              <w:rPr>
                <w:rFonts w:ascii="Arial" w:cs="Arial" w:eastAsia="Arial" w:hAnsi="Arial"/>
                <w:sz w:val="16"/>
                <w:szCs w:val="16"/>
                <w:color w:val="auto"/>
                <w:w w:val="99"/>
              </w:rPr>
              <w:t>76%</w:t>
            </w:r>
          </w:p>
        </w:tc>
        <w:tc>
          <w:tcPr>
            <w:tcW w:w="1860" w:type="dxa"/>
            <w:vAlign w:val="bottom"/>
            <w:tcBorders>
              <w:bottom w:val="single" w:sz="8" w:color="auto"/>
              <w:right w:val="single" w:sz="8" w:color="auto"/>
            </w:tcBorders>
            <w:shd w:val="clear" w:color="auto" w:fill="CFF0FC"/>
          </w:tcPr>
          <w:p>
            <w:pPr>
              <w:jc w:val="center"/>
              <w:ind w:right="67"/>
              <w:spacing w:after="0" w:line="180" w:lineRule="exact"/>
              <w:rPr>
                <w:sz w:val="20"/>
                <w:szCs w:val="20"/>
                <w:color w:val="auto"/>
              </w:rPr>
            </w:pPr>
            <w:r>
              <w:rPr>
                <w:rFonts w:ascii="Arial" w:cs="Arial" w:eastAsia="Arial" w:hAnsi="Arial"/>
                <w:sz w:val="16"/>
                <w:szCs w:val="16"/>
                <w:color w:val="auto"/>
                <w:w w:val="99"/>
              </w:rPr>
              <w:t>74%</w:t>
            </w:r>
          </w:p>
        </w:tc>
        <w:tc>
          <w:tcPr>
            <w:tcW w:w="1880" w:type="dxa"/>
            <w:vAlign w:val="bottom"/>
            <w:tcBorders>
              <w:bottom w:val="single" w:sz="8" w:color="auto"/>
              <w:right w:val="single" w:sz="8" w:color="auto"/>
            </w:tcBorders>
            <w:shd w:val="clear" w:color="auto" w:fill="CFF0FC"/>
          </w:tcPr>
          <w:p>
            <w:pPr>
              <w:jc w:val="right"/>
              <w:ind w:right="787"/>
              <w:spacing w:after="0" w:line="180" w:lineRule="exact"/>
              <w:rPr>
                <w:sz w:val="20"/>
                <w:szCs w:val="20"/>
                <w:color w:val="auto"/>
              </w:rPr>
            </w:pPr>
            <w:r>
              <w:rPr>
                <w:rFonts w:ascii="Arial" w:cs="Arial" w:eastAsia="Arial" w:hAnsi="Arial"/>
                <w:sz w:val="16"/>
                <w:szCs w:val="16"/>
                <w:color w:val="auto"/>
              </w:rPr>
              <w:t>84%</w:t>
            </w:r>
          </w:p>
        </w:tc>
        <w:tc>
          <w:tcPr>
            <w:tcW w:w="1800" w:type="dxa"/>
            <w:vAlign w:val="bottom"/>
            <w:tcBorders>
              <w:bottom w:val="single" w:sz="8" w:color="auto"/>
            </w:tcBorders>
            <w:shd w:val="clear" w:color="auto" w:fill="CFF0FC"/>
          </w:tcPr>
          <w:p>
            <w:pPr>
              <w:jc w:val="right"/>
              <w:ind w:right="707"/>
              <w:spacing w:after="0" w:line="180" w:lineRule="exact"/>
              <w:rPr>
                <w:sz w:val="20"/>
                <w:szCs w:val="20"/>
                <w:color w:val="auto"/>
              </w:rPr>
            </w:pPr>
            <w:r>
              <w:rPr>
                <w:rFonts w:ascii="Arial" w:cs="Arial" w:eastAsia="Arial" w:hAnsi="Arial"/>
                <w:sz w:val="16"/>
                <w:szCs w:val="16"/>
                <w:color w:val="auto"/>
              </w:rPr>
              <w:t>41%</w:t>
            </w:r>
          </w:p>
        </w:tc>
      </w:tr>
      <w:tr>
        <w:trPr>
          <w:trHeight w:val="179"/>
        </w:trPr>
        <w:tc>
          <w:tcPr>
            <w:tcW w:w="2200" w:type="dxa"/>
            <w:vAlign w:val="bottom"/>
            <w:tcBorders>
              <w:left w:val="single" w:sz="8" w:color="auto"/>
              <w:right w:val="single" w:sz="8" w:color="auto"/>
            </w:tcBorders>
          </w:tcPr>
          <w:p>
            <w:pPr>
              <w:spacing w:after="0" w:line="179" w:lineRule="exact"/>
              <w:rPr>
                <w:sz w:val="20"/>
                <w:szCs w:val="20"/>
                <w:color w:val="auto"/>
              </w:rPr>
            </w:pPr>
            <w:r>
              <w:rPr>
                <w:rFonts w:ascii="Arial" w:cs="Arial" w:eastAsia="Arial" w:hAnsi="Arial"/>
                <w:sz w:val="16"/>
                <w:szCs w:val="16"/>
                <w:b w:val="1"/>
                <w:bCs w:val="1"/>
                <w:color w:val="auto"/>
              </w:rPr>
              <w:t>PRIMARY COMPETITION</w:t>
            </w:r>
          </w:p>
        </w:tc>
        <w:tc>
          <w:tcPr>
            <w:tcW w:w="1860" w:type="dxa"/>
            <w:vAlign w:val="bottom"/>
            <w:tcBorders>
              <w:right w:val="single" w:sz="8" w:color="auto"/>
            </w:tcBorders>
          </w:tcPr>
          <w:p>
            <w:pPr>
              <w:ind w:left="40"/>
              <w:spacing w:after="0" w:line="179" w:lineRule="exact"/>
              <w:rPr>
                <w:sz w:val="20"/>
                <w:szCs w:val="20"/>
                <w:color w:val="auto"/>
              </w:rPr>
            </w:pPr>
            <w:r>
              <w:rPr>
                <w:rFonts w:ascii="Arial" w:cs="Arial" w:eastAsia="Arial" w:hAnsi="Arial"/>
                <w:sz w:val="16"/>
                <w:szCs w:val="16"/>
                <w:color w:val="auto"/>
              </w:rPr>
              <w:t>• Ford</w:t>
            </w:r>
          </w:p>
        </w:tc>
        <w:tc>
          <w:tcPr>
            <w:tcW w:w="1840" w:type="dxa"/>
            <w:vAlign w:val="bottom"/>
            <w:tcBorders>
              <w:right w:val="single" w:sz="8" w:color="auto"/>
            </w:tcBorders>
          </w:tcPr>
          <w:p>
            <w:pPr>
              <w:ind w:left="40"/>
              <w:spacing w:after="0" w:line="179" w:lineRule="exact"/>
              <w:rPr>
                <w:sz w:val="20"/>
                <w:szCs w:val="20"/>
                <w:color w:val="auto"/>
              </w:rPr>
            </w:pPr>
            <w:r>
              <w:rPr>
                <w:rFonts w:ascii="Arial" w:cs="Arial" w:eastAsia="Arial" w:hAnsi="Arial"/>
                <w:sz w:val="16"/>
                <w:szCs w:val="16"/>
                <w:color w:val="auto"/>
              </w:rPr>
              <w:t>• Manual</w:t>
            </w:r>
          </w:p>
        </w:tc>
        <w:tc>
          <w:tcPr>
            <w:tcW w:w="1860" w:type="dxa"/>
            <w:vAlign w:val="bottom"/>
            <w:tcBorders>
              <w:right w:val="single" w:sz="8" w:color="auto"/>
            </w:tcBorders>
          </w:tcPr>
          <w:p>
            <w:pPr>
              <w:ind w:left="60"/>
              <w:spacing w:after="0" w:line="179" w:lineRule="exact"/>
              <w:rPr>
                <w:sz w:val="20"/>
                <w:szCs w:val="20"/>
                <w:color w:val="auto"/>
              </w:rPr>
            </w:pPr>
            <w:r>
              <w:rPr>
                <w:rFonts w:ascii="Arial" w:cs="Arial" w:eastAsia="Arial" w:hAnsi="Arial"/>
                <w:sz w:val="16"/>
                <w:szCs w:val="16"/>
                <w:color w:val="auto"/>
              </w:rPr>
              <w:t>• Manual</w:t>
            </w:r>
          </w:p>
        </w:tc>
        <w:tc>
          <w:tcPr>
            <w:tcW w:w="1880" w:type="dxa"/>
            <w:vAlign w:val="bottom"/>
            <w:tcBorders>
              <w:right w:val="single" w:sz="8" w:color="auto"/>
            </w:tcBorders>
          </w:tcPr>
          <w:p>
            <w:pPr>
              <w:ind w:left="60"/>
              <w:spacing w:after="0" w:line="179" w:lineRule="exact"/>
              <w:rPr>
                <w:sz w:val="20"/>
                <w:szCs w:val="20"/>
                <w:color w:val="auto"/>
              </w:rPr>
            </w:pPr>
            <w:r>
              <w:rPr>
                <w:rFonts w:ascii="Arial" w:cs="Arial" w:eastAsia="Arial" w:hAnsi="Arial"/>
                <w:sz w:val="16"/>
                <w:szCs w:val="16"/>
                <w:color w:val="auto"/>
              </w:rPr>
              <w:t>• Ford</w:t>
            </w:r>
          </w:p>
        </w:tc>
        <w:tc>
          <w:tcPr>
            <w:tcW w:w="1800" w:type="dxa"/>
            <w:vAlign w:val="bottom"/>
          </w:tcPr>
          <w:p>
            <w:pPr>
              <w:ind w:left="40"/>
              <w:spacing w:after="0" w:line="179" w:lineRule="exact"/>
              <w:rPr>
                <w:sz w:val="20"/>
                <w:szCs w:val="20"/>
                <w:color w:val="auto"/>
              </w:rPr>
            </w:pPr>
            <w:r>
              <w:rPr>
                <w:rFonts w:ascii="Arial" w:cs="Arial" w:eastAsia="Arial" w:hAnsi="Arial"/>
                <w:sz w:val="16"/>
                <w:szCs w:val="16"/>
                <w:color w:val="auto"/>
              </w:rPr>
              <w:t>• Ford</w:t>
            </w: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6"/>
                <w:szCs w:val="16"/>
                <w:color w:val="auto"/>
              </w:rPr>
              <w:t>Transmissions</w:t>
            </w:r>
          </w:p>
        </w:tc>
        <w:tc>
          <w:tcPr>
            <w:tcW w:w="1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6"/>
                <w:szCs w:val="16"/>
                <w:color w:val="auto"/>
              </w:rPr>
              <w:t>Transmissions</w:t>
            </w:r>
          </w:p>
        </w:tc>
        <w:tc>
          <w:tcPr>
            <w:tcW w:w="1880" w:type="dxa"/>
            <w:vAlign w:val="bottom"/>
            <w:tcBorders>
              <w:right w:val="single" w:sz="8" w:color="auto"/>
            </w:tcBorders>
          </w:tcPr>
          <w:p>
            <w:pPr>
              <w:spacing w:after="0"/>
              <w:rPr>
                <w:sz w:val="15"/>
                <w:szCs w:val="15"/>
                <w:color w:val="auto"/>
              </w:rPr>
            </w:pPr>
          </w:p>
        </w:tc>
        <w:tc>
          <w:tcPr>
            <w:tcW w:w="1800" w:type="dxa"/>
            <w:vAlign w:val="bottom"/>
          </w:tcPr>
          <w:p>
            <w:pPr>
              <w:spacing w:after="0"/>
              <w:rPr>
                <w:sz w:val="15"/>
                <w:szCs w:val="15"/>
                <w:color w:val="auto"/>
              </w:rPr>
            </w:pPr>
          </w:p>
        </w:tc>
      </w:tr>
      <w:tr>
        <w:trPr>
          <w:trHeight w:val="176"/>
        </w:trPr>
        <w:tc>
          <w:tcPr>
            <w:tcW w:w="2200" w:type="dxa"/>
            <w:vAlign w:val="bottom"/>
            <w:tcBorders>
              <w:left w:val="single" w:sz="8" w:color="auto"/>
              <w:right w:val="single" w:sz="8" w:color="auto"/>
            </w:tcBorders>
          </w:tcPr>
          <w:p>
            <w:pPr>
              <w:spacing w:after="0"/>
              <w:rPr>
                <w:sz w:val="15"/>
                <w:szCs w:val="15"/>
                <w:color w:val="auto"/>
              </w:rPr>
            </w:pPr>
          </w:p>
        </w:tc>
        <w:tc>
          <w:tcPr>
            <w:tcW w:w="1860" w:type="dxa"/>
            <w:vAlign w:val="bottom"/>
            <w:tcBorders>
              <w:right w:val="single" w:sz="8" w:color="auto"/>
            </w:tcBorders>
          </w:tcPr>
          <w:p>
            <w:pPr>
              <w:spacing w:after="0"/>
              <w:rPr>
                <w:sz w:val="15"/>
                <w:szCs w:val="15"/>
                <w:color w:val="auto"/>
              </w:rPr>
            </w:pPr>
          </w:p>
        </w:tc>
        <w:tc>
          <w:tcPr>
            <w:tcW w:w="1840" w:type="dxa"/>
            <w:vAlign w:val="bottom"/>
            <w:tcBorders>
              <w:right w:val="single" w:sz="8" w:color="auto"/>
            </w:tcBorders>
          </w:tcPr>
          <w:p>
            <w:pPr>
              <w:ind w:left="40"/>
              <w:spacing w:after="0" w:line="176" w:lineRule="exact"/>
              <w:rPr>
                <w:sz w:val="20"/>
                <w:szCs w:val="20"/>
                <w:color w:val="auto"/>
              </w:rPr>
            </w:pPr>
            <w:r>
              <w:rPr>
                <w:rFonts w:ascii="Arial" w:cs="Arial" w:eastAsia="Arial" w:hAnsi="Arial"/>
                <w:sz w:val="16"/>
                <w:szCs w:val="16"/>
                <w:color w:val="auto"/>
              </w:rPr>
              <w:t>• AMTs</w:t>
            </w:r>
          </w:p>
        </w:tc>
        <w:tc>
          <w:tcPr>
            <w:tcW w:w="1860" w:type="dxa"/>
            <w:vAlign w:val="bottom"/>
            <w:tcBorders>
              <w:right w:val="single" w:sz="8" w:color="auto"/>
            </w:tcBorders>
          </w:tcPr>
          <w:p>
            <w:pPr>
              <w:ind w:left="60"/>
              <w:spacing w:after="0" w:line="176" w:lineRule="exact"/>
              <w:rPr>
                <w:sz w:val="20"/>
                <w:szCs w:val="20"/>
                <w:color w:val="auto"/>
              </w:rPr>
            </w:pPr>
            <w:r>
              <w:rPr>
                <w:rFonts w:ascii="Arial" w:cs="Arial" w:eastAsia="Arial" w:hAnsi="Arial"/>
                <w:sz w:val="16"/>
                <w:szCs w:val="16"/>
                <w:color w:val="auto"/>
              </w:rPr>
              <w:t>• AMTs</w:t>
            </w:r>
          </w:p>
        </w:tc>
        <w:tc>
          <w:tcPr>
            <w:tcW w:w="1880" w:type="dxa"/>
            <w:vAlign w:val="bottom"/>
            <w:tcBorders>
              <w:right w:val="single" w:sz="8" w:color="auto"/>
            </w:tcBorders>
          </w:tcPr>
          <w:p>
            <w:pPr>
              <w:spacing w:after="0"/>
              <w:rPr>
                <w:sz w:val="15"/>
                <w:szCs w:val="15"/>
                <w:color w:val="auto"/>
              </w:rPr>
            </w:pPr>
          </w:p>
        </w:tc>
        <w:tc>
          <w:tcPr>
            <w:tcW w:w="1800" w:type="dxa"/>
            <w:vAlign w:val="bottom"/>
          </w:tcPr>
          <w:p>
            <w:pPr>
              <w:spacing w:after="0"/>
              <w:rPr>
                <w:sz w:val="15"/>
                <w:szCs w:val="15"/>
                <w:color w:val="auto"/>
              </w:rPr>
            </w:pPr>
          </w:p>
        </w:tc>
      </w:tr>
      <w:tr>
        <w:trPr>
          <w:trHeight w:val="177"/>
        </w:trPr>
        <w:tc>
          <w:tcPr>
            <w:tcW w:w="2200" w:type="dxa"/>
            <w:vAlign w:val="bottom"/>
            <w:tcBorders>
              <w:left w:val="single" w:sz="8" w:color="auto"/>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840" w:type="dxa"/>
            <w:vAlign w:val="bottom"/>
            <w:tcBorders>
              <w:bottom w:val="single" w:sz="8" w:color="auto"/>
              <w:right w:val="single" w:sz="8" w:color="auto"/>
            </w:tcBorders>
          </w:tcPr>
          <w:p>
            <w:pPr>
              <w:ind w:left="40"/>
              <w:spacing w:after="0" w:line="177" w:lineRule="exact"/>
              <w:rPr>
                <w:sz w:val="20"/>
                <w:szCs w:val="20"/>
                <w:color w:val="auto"/>
              </w:rPr>
            </w:pPr>
            <w:r>
              <w:rPr>
                <w:rFonts w:ascii="Arial" w:cs="Arial" w:eastAsia="Arial" w:hAnsi="Arial"/>
                <w:sz w:val="16"/>
                <w:szCs w:val="16"/>
                <w:color w:val="auto"/>
              </w:rPr>
              <w:t>• Ford</w:t>
            </w:r>
          </w:p>
        </w:tc>
        <w:tc>
          <w:tcPr>
            <w:tcW w:w="1860" w:type="dxa"/>
            <w:vAlign w:val="bottom"/>
            <w:tcBorders>
              <w:bottom w:val="single" w:sz="8" w:color="auto"/>
              <w:right w:val="single" w:sz="8" w:color="auto"/>
            </w:tcBorders>
          </w:tcPr>
          <w:p>
            <w:pPr>
              <w:spacing w:after="0"/>
              <w:rPr>
                <w:sz w:val="15"/>
                <w:szCs w:val="15"/>
                <w:color w:val="auto"/>
              </w:rPr>
            </w:pPr>
          </w:p>
        </w:tc>
        <w:tc>
          <w:tcPr>
            <w:tcW w:w="188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r>
    </w:tbl>
    <w:p>
      <w:pPr>
        <w:spacing w:after="0" w:line="122" w:lineRule="exact"/>
        <w:rPr>
          <w:sz w:val="20"/>
          <w:szCs w:val="20"/>
          <w:color w:val="auto"/>
        </w:rPr>
      </w:pPr>
    </w:p>
    <w:p>
      <w:pPr>
        <w:ind w:right="160" w:firstLine="531"/>
        <w:spacing w:after="0" w:line="239" w:lineRule="auto"/>
        <w:rPr>
          <w:sz w:val="20"/>
          <w:szCs w:val="20"/>
          <w:color w:val="auto"/>
        </w:rPr>
      </w:pPr>
      <w:r>
        <w:rPr>
          <w:rFonts w:ascii="Arial" w:cs="Arial" w:eastAsia="Arial" w:hAnsi="Arial"/>
          <w:sz w:val="16"/>
          <w:szCs w:val="16"/>
          <w:b w:val="1"/>
          <w:bCs w:val="1"/>
          <w:i w:val="1"/>
          <w:iCs w:val="1"/>
          <w:color w:val="auto"/>
        </w:rPr>
        <w:t xml:space="preserve">Off-Highway. </w:t>
      </w:r>
      <w:r>
        <w:rPr>
          <w:rFonts w:ascii="Arial" w:cs="Arial" w:eastAsia="Arial" w:hAnsi="Arial"/>
          <w:sz w:val="16"/>
          <w:szCs w:val="16"/>
          <w:color w:val="auto"/>
        </w:rPr>
        <w:t>We have provided products used in vehicles and equipment that serve energy, mining and construction applications in North America for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60 years. Off-highway energy applications include hydraulic fracturing equipment, well-stimulation equipment, pumping equipment, and well-servicing rigs, which often use a fully-automatic transmission to propel the vehicle and drive auxiliary equipment. We supply our heavy duty off-highway transmissions to nearly all producers of well-stimulation and well-servicing equipment. Competition includes Caterpillar Inc. (“Caterpillar”) and Twin Disc, Inc. (“Twin Disc”).</w:t>
      </w:r>
    </w:p>
    <w:p>
      <w:pPr>
        <w:spacing w:after="0" w:line="130" w:lineRule="exact"/>
        <w:rPr>
          <w:sz w:val="20"/>
          <w:szCs w:val="20"/>
          <w:color w:val="auto"/>
        </w:rPr>
      </w:pPr>
    </w:p>
    <w:p>
      <w:pPr>
        <w:ind w:right="60" w:firstLine="531"/>
        <w:spacing w:after="0" w:line="232" w:lineRule="auto"/>
        <w:rPr>
          <w:sz w:val="20"/>
          <w:szCs w:val="20"/>
          <w:color w:val="auto"/>
        </w:rPr>
      </w:pPr>
      <w:r>
        <w:rPr>
          <w:rFonts w:ascii="Arial" w:cs="Arial" w:eastAsia="Arial" w:hAnsi="Arial"/>
          <w:sz w:val="16"/>
          <w:szCs w:val="16"/>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Group (“Volvo”) and ZF as competitors.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Outside North America</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Outside North America we serve several different markets, including: Europe, Middle East, Africa (collectively, “EMEA”), Asia-Pacific and South America.</w:t>
      </w:r>
    </w:p>
    <w:p>
      <w:pPr>
        <w:spacing w:after="0" w:line="115" w:lineRule="exact"/>
        <w:rPr>
          <w:sz w:val="20"/>
          <w:szCs w:val="20"/>
          <w:color w:val="auto"/>
        </w:rPr>
      </w:pPr>
    </w:p>
    <w:p>
      <w:pPr>
        <w:ind w:firstLine="531"/>
        <w:spacing w:after="0" w:line="236" w:lineRule="auto"/>
        <w:rPr>
          <w:sz w:val="20"/>
          <w:szCs w:val="20"/>
          <w:color w:val="auto"/>
        </w:rPr>
      </w:pPr>
      <w:r>
        <w:rPr>
          <w:rFonts w:ascii="Arial" w:cs="Arial" w:eastAsia="Arial" w:hAnsi="Arial"/>
          <w:sz w:val="16"/>
          <w:szCs w:val="16"/>
          <w:b w:val="1"/>
          <w:bCs w:val="1"/>
          <w:i w:val="1"/>
          <w:iCs w:val="1"/>
          <w:color w:val="auto"/>
        </w:rPr>
        <w:t xml:space="preserve">On-Highway. </w:t>
      </w:r>
      <w:r>
        <w:rPr>
          <w:rFonts w:ascii="Arial" w:cs="Arial" w:eastAsia="Arial" w:hAnsi="Arial"/>
          <w:sz w:val="16"/>
          <w:szCs w:val="16"/>
          <w:color w:val="auto"/>
        </w:rPr>
        <w:t>We are the largest manufacturer of fully-automatic transmissions for the commercial vehicle market outside of North America. While the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fully-automatic transmissions in the medium- and heavy-duty commercial vehicle market has been widely accepted in North America, markets outside North America continue to be dominated by manual transmissions. Where adopted, fully-automatic transmission-equipped medium- and heavy-duty commercial vehicles are concentrated in certain vocational end markets. We often compete in this market against independent manufacturers of manual transmissions, AMTs, electric-hybrid and fully-electric propulsion solutions, fully-automatic transmissions manufactured by ZF and Voith and against vertically integrated OEMs.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82550</wp:posOffset>
            </wp:positionV>
            <wp:extent cx="2868295" cy="16243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68295" cy="162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40" w:firstLine="531"/>
        <w:spacing w:after="0" w:line="236" w:lineRule="auto"/>
        <w:rPr>
          <w:sz w:val="20"/>
          <w:szCs w:val="20"/>
          <w:color w:val="auto"/>
        </w:rPr>
      </w:pPr>
      <w:r>
        <w:rPr>
          <w:rFonts w:ascii="Arial" w:cs="Arial" w:eastAsia="Arial" w:hAnsi="Arial"/>
          <w:sz w:val="16"/>
          <w:szCs w:val="16"/>
          <w:b w:val="1"/>
          <w:bCs w:val="1"/>
          <w:i w:val="1"/>
          <w:iCs w:val="1"/>
          <w:color w:val="auto"/>
        </w:rPr>
        <w:t>Europe, Middle East, Africa</w:t>
      </w:r>
      <w:r>
        <w:rPr>
          <w:rFonts w:ascii="Arial" w:cs="Arial" w:eastAsia="Arial" w:hAnsi="Arial"/>
          <w:sz w:val="16"/>
          <w:szCs w:val="16"/>
          <w:color w:val="auto"/>
        </w:rPr>
        <w:t>. EMEA is composed of several different markets, each of which differs from our core North American market by the degree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maturity, sophistication and acceptance of fully-automatic transmission and electric propulsion solution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111" w:lineRule="exact"/>
        <w:rPr>
          <w:sz w:val="20"/>
          <w:szCs w:val="20"/>
          <w:color w:val="auto"/>
        </w:rPr>
      </w:pPr>
    </w:p>
    <w:p>
      <w:pPr>
        <w:ind w:right="140" w:firstLine="531"/>
        <w:spacing w:after="0" w:line="237" w:lineRule="auto"/>
        <w:rPr>
          <w:sz w:val="20"/>
          <w:szCs w:val="20"/>
          <w:color w:val="auto"/>
        </w:rPr>
      </w:pPr>
      <w:r>
        <w:rPr>
          <w:rFonts w:ascii="Arial" w:cs="Arial" w:eastAsia="Arial" w:hAnsi="Arial"/>
          <w:sz w:val="16"/>
          <w:szCs w:val="16"/>
          <w:b w:val="1"/>
          <w:bCs w:val="1"/>
          <w:i w:val="1"/>
          <w:iCs w:val="1"/>
          <w:color w:val="auto"/>
        </w:rPr>
        <w:t xml:space="preserve">Asia-Pacific. </w:t>
      </w:r>
      <w:r>
        <w:rPr>
          <w:rFonts w:ascii="Arial" w:cs="Arial" w:eastAsia="Arial" w:hAnsi="Arial"/>
          <w:sz w:val="16"/>
          <w:szCs w:val="16"/>
          <w:color w:val="auto"/>
        </w:rPr>
        <w:t>Our key Asia-Pacific markets include China, Japan, India, and South Korea; however, we actively participate in several other important Asia-Pacific countries including Australia,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 In China, subsidies offered by governmental entities continue to drive the development and adoption of fully-electric propulsion solutions for use in the transit bus market.</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South America</w:t>
      </w:r>
      <w:r>
        <w:rPr>
          <w:rFonts w:ascii="Arial" w:cs="Arial" w:eastAsia="Arial" w:hAnsi="Arial"/>
          <w:sz w:val="15"/>
          <w:szCs w:val="15"/>
          <w:color w:val="auto"/>
        </w:rPr>
        <w:t>. The South American region is characterized by a high level of OEM integration, with captive manual transmission and AMT manufacturing.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Currently, manual transmissions are the predominant transmissions used in commercial vehicles in South America.</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 xml:space="preserve">Off-Highway. </w:t>
      </w:r>
      <w:r>
        <w:rPr>
          <w:rFonts w:ascii="Arial" w:cs="Arial" w:eastAsia="Arial" w:hAnsi="Arial"/>
          <w:sz w:val="16"/>
          <w:szCs w:val="16"/>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2261235</wp:posOffset>
            </wp:positionH>
            <wp:positionV relativeFrom="paragraph">
              <wp:posOffset>96520</wp:posOffset>
            </wp:positionV>
            <wp:extent cx="2741930" cy="1542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1930" cy="154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firstLine="531"/>
        <w:spacing w:after="0" w:line="243" w:lineRule="auto"/>
        <w:rPr>
          <w:sz w:val="20"/>
          <w:szCs w:val="20"/>
          <w:color w:val="auto"/>
        </w:rPr>
      </w:pPr>
      <w:r>
        <w:rPr>
          <w:rFonts w:ascii="Arial" w:cs="Arial" w:eastAsia="Arial" w:hAnsi="Arial"/>
          <w:sz w:val="16"/>
          <w:szCs w:val="16"/>
          <w:b w:val="1"/>
          <w:bCs w:val="1"/>
          <w:i w:val="1"/>
          <w:iCs w:val="1"/>
          <w:color w:val="auto"/>
        </w:rPr>
        <w:t xml:space="preserve">Europe, Middle East, Africa. </w:t>
      </w:r>
      <w:r>
        <w:rPr>
          <w:rFonts w:ascii="Arial" w:cs="Arial" w:eastAsia="Arial" w:hAnsi="Arial"/>
          <w:sz w:val="16"/>
          <w:szCs w:val="16"/>
          <w:color w:val="auto"/>
        </w:rPr>
        <w:t>Our off-highway markets in EMEA are mining and construction. Our major off-highway competitors are Caterpillar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Komatsu, both of which are vertically integrated manufacturers of off-highway mining vehicles, including the specific fully-automatic transmission used in their mining trucks. A typical construction application is a rigid or articulated dump truck, with competition from Caterpillar, Dana Inc., Volvo and ZF transmissions.</w:t>
      </w:r>
    </w:p>
    <w:p>
      <w:pPr>
        <w:spacing w:after="0" w:line="110" w:lineRule="exact"/>
        <w:rPr>
          <w:sz w:val="20"/>
          <w:szCs w:val="20"/>
          <w:color w:val="auto"/>
        </w:rPr>
      </w:pPr>
    </w:p>
    <w:p>
      <w:pPr>
        <w:ind w:right="20" w:firstLine="531"/>
        <w:spacing w:after="0" w:line="243" w:lineRule="auto"/>
        <w:rPr>
          <w:sz w:val="20"/>
          <w:szCs w:val="20"/>
          <w:color w:val="auto"/>
        </w:rPr>
      </w:pPr>
      <w:r>
        <w:rPr>
          <w:rFonts w:ascii="Arial" w:cs="Arial" w:eastAsia="Arial" w:hAnsi="Arial"/>
          <w:sz w:val="16"/>
          <w:szCs w:val="16"/>
          <w:b w:val="1"/>
          <w:bCs w:val="1"/>
          <w:i w:val="1"/>
          <w:iCs w:val="1"/>
          <w:color w:val="auto"/>
        </w:rPr>
        <w:t>Asia-Pacific</w:t>
      </w:r>
      <w:r>
        <w:rPr>
          <w:rFonts w:ascii="Arial" w:cs="Arial" w:eastAsia="Arial" w:hAnsi="Arial"/>
          <w:sz w:val="16"/>
          <w:szCs w:val="16"/>
          <w:color w:val="auto"/>
        </w:rPr>
        <w:t>. Off-highway markets in Asia are shared by energy, mining and construction applications. Our primary competitors are Caterpillar, Danyang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Winstar Auto Parts Co., Ltd., Twin Disc and Xi’an FC Intelligence Transmission Co. Ltd., in energy applications; Caterpillar, Danyang Winstar Auto Parts Co., Ltd. and Komatsu in mining applications; and Caterpillar, Volvo and ZF in construction applications.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Defense</w:t>
      </w:r>
    </w:p>
    <w:p>
      <w:pPr>
        <w:spacing w:after="0" w:line="153" w:lineRule="exact"/>
        <w:rPr>
          <w:sz w:val="20"/>
          <w:szCs w:val="20"/>
          <w:color w:val="auto"/>
        </w:rPr>
      </w:pPr>
    </w:p>
    <w:p>
      <w:pPr>
        <w:ind w:right="60" w:firstLine="531"/>
        <w:spacing w:after="0" w:line="251" w:lineRule="auto"/>
        <w:rPr>
          <w:sz w:val="20"/>
          <w:szCs w:val="20"/>
          <w:color w:val="auto"/>
        </w:rPr>
      </w:pPr>
      <w:r>
        <w:rPr>
          <w:rFonts w:ascii="Arial" w:cs="Arial" w:eastAsia="Arial" w:hAnsi="Arial"/>
          <w:sz w:val="15"/>
          <w:szCs w:val="15"/>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Joint Light Tactical Vehicle, Light Armored Vehicle, Stryker Armored Vehicle, Mine Resistant Ambush Protected vehicle, the Family of Medium Tactical Vehicles, Heavy Expanded Mobility Tactical Trucks, Heavy Dump Truck and Heavy Equipment Transporters. Transmissions for our wheeled vehicle platforms are typically sold to OEMs.</w:t>
      </w:r>
    </w:p>
    <w:p>
      <w:pPr>
        <w:spacing w:after="0" w:line="123" w:lineRule="exact"/>
        <w:rPr>
          <w:sz w:val="20"/>
          <w:szCs w:val="20"/>
          <w:color w:val="auto"/>
        </w:rPr>
      </w:pPr>
    </w:p>
    <w:p>
      <w:pPr>
        <w:ind w:right="200" w:firstLine="531"/>
        <w:spacing w:after="0" w:line="233" w:lineRule="auto"/>
        <w:rPr>
          <w:sz w:val="20"/>
          <w:szCs w:val="20"/>
          <w:color w:val="auto"/>
        </w:rPr>
      </w:pPr>
      <w:r>
        <w:rPr>
          <w:rFonts w:ascii="Arial" w:cs="Arial" w:eastAsia="Arial" w:hAnsi="Arial"/>
          <w:sz w:val="16"/>
          <w:szCs w:val="16"/>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and our defense products are in 110 countries around the world. See Part I, Item 1A, “Risk Factors” of this Annual Report on Form 10-K for a discussion of risks associated with our contracts with the DOD.</w:t>
      </w:r>
    </w:p>
    <w:p>
      <w:pPr>
        <w:spacing w:after="0" w:line="130"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Globally, we face competition primarily from L3 Technologies, Inc., Renk AG and SAPA S.p.A for supply of tracked vehicle transmissions. Additionally, we face limited competition from Caterpillar and ZF in certain defense wheeled vehicles.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Service Parts, Support Equipment and Other</w:t>
      </w:r>
    </w:p>
    <w:p>
      <w:pPr>
        <w:spacing w:after="0" w:line="153" w:lineRule="exact"/>
        <w:rPr>
          <w:sz w:val="20"/>
          <w:szCs w:val="20"/>
          <w:color w:val="auto"/>
        </w:rPr>
      </w:pPr>
    </w:p>
    <w:p>
      <w:pPr>
        <w:ind w:right="40" w:firstLine="531"/>
        <w:spacing w:after="0" w:line="232" w:lineRule="auto"/>
        <w:rPr>
          <w:sz w:val="20"/>
          <w:szCs w:val="20"/>
          <w:color w:val="auto"/>
        </w:rPr>
      </w:pPr>
      <w:r>
        <w:rPr>
          <w:rFonts w:ascii="Arial" w:cs="Arial" w:eastAsia="Arial" w:hAnsi="Arial"/>
          <w:sz w:val="16"/>
          <w:szCs w:val="16"/>
          <w:color w:val="auto"/>
        </w:rPr>
        <w:t>Our service parts, support equipment and other end market is comprised of: Allison-branded service parts and transmission fluids, aluminum die cast components, extended transmission coverage, remanufactured transmissions, royalties, saleable engineering and support equipment. The aftermarket provides us with a relatively stable source of revenues as the installed base of vehicles and equipment utilizing our solutions continues to grow. The need for replacement parts is driven by normal vehicle and equipment maintenance requirements. Uninterrupted operation is generally critical for end users’ profitability. In addition, beginning in 2019 we began selling aluminum die casting components following our acquisition of Walker Die Casting.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The sale of Allison-branded parts and fluids, remanufactured transmissions and support equipment is fundamental to our brand promise. We have assembled a worldwide network of approximately 1,500 independent distributor and dealer locations to sell, service and support our solutions.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solutions into vehicles, and, therefore, sales of support equipment are dependent upon sales of new solutions.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Product Offerings</w:t>
      </w:r>
    </w:p>
    <w:p>
      <w:pPr>
        <w:spacing w:after="0" w:line="151" w:lineRule="exact"/>
        <w:rPr>
          <w:sz w:val="20"/>
          <w:szCs w:val="20"/>
          <w:color w:val="auto"/>
        </w:rPr>
      </w:pPr>
    </w:p>
    <w:p>
      <w:pPr>
        <w:ind w:right="40" w:firstLine="531"/>
        <w:spacing w:after="0" w:line="237" w:lineRule="auto"/>
        <w:rPr>
          <w:sz w:val="20"/>
          <w:szCs w:val="20"/>
          <w:color w:val="auto"/>
        </w:rPr>
      </w:pPr>
      <w:r>
        <w:rPr>
          <w:rFonts w:ascii="Arial" w:cs="Arial" w:eastAsia="Arial" w:hAnsi="Arial"/>
          <w:sz w:val="16"/>
          <w:szCs w:val="16"/>
          <w:color w:val="auto"/>
        </w:rPr>
        <w:t>Allison transmissions and electric propulsion solutions are sold under the Allison Transmission brand name and remanufactured transmissions are sold under the ReTran brand name. The following is a summary of our product lines.</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auto"/>
        </w:rPr>
        <w:t>On-Highway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2674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4400" cy="2674620"/>
                    </a:xfrm>
                    <a:prstGeom prst="rect">
                      <a:avLst/>
                    </a:prstGeom>
                    <a:noFill/>
                  </pic:spPr>
                </pic:pic>
              </a:graphicData>
            </a:graphic>
          </wp:anchor>
        </w:drawing>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Product</w:t>
            </w:r>
          </w:p>
        </w:tc>
        <w:tc>
          <w:tcPr>
            <w:tcW w:w="260" w:type="dxa"/>
            <w:vAlign w:val="bottom"/>
            <w:tcBorders>
              <w:bottom w:val="single" w:sz="8" w:color="CFF0FC"/>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436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Applications</w:t>
            </w:r>
          </w:p>
        </w:tc>
      </w:tr>
      <w:tr>
        <w:trPr>
          <w:trHeight w:val="179"/>
        </w:trPr>
        <w:tc>
          <w:tcPr>
            <w:tcW w:w="4080" w:type="dxa"/>
            <w:vAlign w:val="bottom"/>
            <w:shd w:val="clear" w:color="auto" w:fill="CFF0FC"/>
          </w:tcPr>
          <w:p>
            <w:pPr>
              <w:jc w:val="center"/>
              <w:spacing w:after="0" w:line="179" w:lineRule="exact"/>
              <w:rPr>
                <w:sz w:val="20"/>
                <w:szCs w:val="20"/>
                <w:color w:val="auto"/>
              </w:rPr>
            </w:pPr>
            <w:r>
              <w:rPr>
                <w:rFonts w:ascii="Arial" w:cs="Arial" w:eastAsia="Arial" w:hAnsi="Arial"/>
                <w:sz w:val="16"/>
                <w:szCs w:val="16"/>
                <w:color w:val="auto"/>
                <w:w w:val="95"/>
              </w:rPr>
              <w:t>1000 Series</w:t>
            </w:r>
          </w:p>
        </w:tc>
        <w:tc>
          <w:tcPr>
            <w:tcW w:w="2460" w:type="dxa"/>
            <w:vAlign w:val="bottom"/>
            <w:gridSpan w:val="2"/>
            <w:shd w:val="clear" w:color="auto" w:fill="CFF0FC"/>
          </w:tcPr>
          <w:p>
            <w:pPr>
              <w:ind w:left="260"/>
              <w:spacing w:after="0" w:line="179" w:lineRule="exact"/>
              <w:rPr>
                <w:sz w:val="20"/>
                <w:szCs w:val="20"/>
                <w:color w:val="auto"/>
              </w:rPr>
            </w:pPr>
            <w:r>
              <w:rPr>
                <w:rFonts w:ascii="Arial" w:cs="Arial" w:eastAsia="Arial" w:hAnsi="Arial"/>
                <w:sz w:val="16"/>
                <w:szCs w:val="16"/>
                <w:color w:val="auto"/>
              </w:rPr>
              <w:t>Distribution</w:t>
            </w:r>
          </w:p>
        </w:tc>
        <w:tc>
          <w:tcPr>
            <w:tcW w:w="4360" w:type="dxa"/>
            <w:vAlign w:val="bottom"/>
            <w:shd w:val="clear" w:color="auto" w:fill="CFF0FC"/>
          </w:tcPr>
          <w:p>
            <w:pPr>
              <w:ind w:left="1060"/>
              <w:spacing w:after="0" w:line="179" w:lineRule="exact"/>
              <w:rPr>
                <w:sz w:val="20"/>
                <w:szCs w:val="20"/>
                <w:color w:val="auto"/>
              </w:rPr>
            </w:pPr>
            <w:r>
              <w:rPr>
                <w:rFonts w:ascii="Arial" w:cs="Arial" w:eastAsia="Arial" w:hAnsi="Arial"/>
                <w:sz w:val="16"/>
                <w:szCs w:val="16"/>
                <w:color w:val="auto"/>
              </w:rPr>
              <w:t>Services</w:t>
            </w:r>
          </w:p>
        </w:tc>
      </w:tr>
      <w:tr>
        <w:trPr>
          <w:trHeight w:val="176"/>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6" w:lineRule="exact"/>
              <w:rPr>
                <w:sz w:val="20"/>
                <w:szCs w:val="20"/>
                <w:color w:val="auto"/>
              </w:rPr>
            </w:pPr>
            <w:r>
              <w:rPr>
                <w:rFonts w:ascii="Arial" w:cs="Arial" w:eastAsia="Arial" w:hAnsi="Arial"/>
                <w:sz w:val="16"/>
                <w:szCs w:val="16"/>
                <w:color w:val="auto"/>
              </w:rPr>
              <w:t>Motorhome</w:t>
            </w:r>
          </w:p>
        </w:tc>
        <w:tc>
          <w:tcPr>
            <w:tcW w:w="4360" w:type="dxa"/>
            <w:vAlign w:val="bottom"/>
            <w:shd w:val="clear" w:color="auto" w:fill="CFF0FC"/>
          </w:tcPr>
          <w:p>
            <w:pPr>
              <w:ind w:left="1060"/>
              <w:spacing w:after="0" w:line="176" w:lineRule="exact"/>
              <w:rPr>
                <w:sz w:val="20"/>
                <w:szCs w:val="20"/>
                <w:color w:val="auto"/>
              </w:rPr>
            </w:pPr>
            <w:r>
              <w:rPr>
                <w:rFonts w:ascii="Arial" w:cs="Arial" w:eastAsia="Arial" w:hAnsi="Arial"/>
                <w:sz w:val="16"/>
                <w:szCs w:val="16"/>
                <w:color w:val="auto"/>
              </w:rPr>
              <w:t>Specialty</w:t>
            </w:r>
          </w:p>
        </w:tc>
      </w:tr>
      <w:tr>
        <w:trPr>
          <w:trHeight w:val="176"/>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6" w:lineRule="exact"/>
              <w:rPr>
                <w:sz w:val="20"/>
                <w:szCs w:val="20"/>
                <w:color w:val="auto"/>
              </w:rPr>
            </w:pPr>
            <w:r>
              <w:rPr>
                <w:rFonts w:ascii="Arial" w:cs="Arial" w:eastAsia="Arial" w:hAnsi="Arial"/>
                <w:sz w:val="16"/>
                <w:szCs w:val="16"/>
                <w:color w:val="auto"/>
              </w:rPr>
              <w:t>Refuse</w:t>
            </w:r>
          </w:p>
        </w:tc>
        <w:tc>
          <w:tcPr>
            <w:tcW w:w="4360" w:type="dxa"/>
            <w:vAlign w:val="bottom"/>
            <w:shd w:val="clear" w:color="auto" w:fill="CFF0FC"/>
          </w:tcPr>
          <w:p>
            <w:pPr>
              <w:ind w:left="1060"/>
              <w:spacing w:after="0" w:line="176" w:lineRule="exact"/>
              <w:rPr>
                <w:sz w:val="20"/>
                <w:szCs w:val="20"/>
                <w:color w:val="auto"/>
              </w:rPr>
            </w:pPr>
            <w:r>
              <w:rPr>
                <w:rFonts w:ascii="Arial" w:cs="Arial" w:eastAsia="Arial" w:hAnsi="Arial"/>
                <w:sz w:val="16"/>
                <w:szCs w:val="16"/>
                <w:color w:val="auto"/>
              </w:rPr>
              <w:t>Wheeled Defense</w:t>
            </w:r>
          </w:p>
        </w:tc>
      </w:tr>
      <w:tr>
        <w:trPr>
          <w:trHeight w:val="177"/>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7" w:lineRule="exact"/>
              <w:rPr>
                <w:sz w:val="20"/>
                <w:szCs w:val="20"/>
                <w:color w:val="auto"/>
              </w:rPr>
            </w:pPr>
            <w:r>
              <w:rPr>
                <w:rFonts w:ascii="Arial" w:cs="Arial" w:eastAsia="Arial" w:hAnsi="Arial"/>
                <w:sz w:val="16"/>
                <w:szCs w:val="16"/>
                <w:color w:val="auto"/>
              </w:rPr>
              <w:t>School/Shuttle Bus</w:t>
            </w:r>
          </w:p>
        </w:tc>
        <w:tc>
          <w:tcPr>
            <w:tcW w:w="4360" w:type="dxa"/>
            <w:vAlign w:val="bottom"/>
            <w:shd w:val="clear" w:color="auto" w:fill="CFF0FC"/>
          </w:tcPr>
          <w:p>
            <w:pPr>
              <w:spacing w:after="0"/>
              <w:rPr>
                <w:sz w:val="15"/>
                <w:szCs w:val="15"/>
                <w:color w:val="auto"/>
              </w:rPr>
            </w:pPr>
          </w:p>
        </w:tc>
      </w:tr>
      <w:tr>
        <w:trPr>
          <w:trHeight w:val="187"/>
        </w:trPr>
        <w:tc>
          <w:tcPr>
            <w:tcW w:w="4080" w:type="dxa"/>
            <w:vAlign w:val="bottom"/>
          </w:tcPr>
          <w:p>
            <w:pPr>
              <w:jc w:val="center"/>
              <w:spacing w:after="0"/>
              <w:rPr>
                <w:sz w:val="20"/>
                <w:szCs w:val="20"/>
                <w:color w:val="auto"/>
              </w:rPr>
            </w:pPr>
            <w:r>
              <w:rPr>
                <w:rFonts w:ascii="Arial" w:cs="Arial" w:eastAsia="Arial" w:hAnsi="Arial"/>
                <w:sz w:val="16"/>
                <w:szCs w:val="16"/>
                <w:color w:val="auto"/>
                <w:w w:val="95"/>
              </w:rPr>
              <w:t>2000 Series</w:t>
            </w:r>
          </w:p>
        </w:tc>
        <w:tc>
          <w:tcPr>
            <w:tcW w:w="2460" w:type="dxa"/>
            <w:vAlign w:val="bottom"/>
            <w:gridSpan w:val="2"/>
          </w:tcPr>
          <w:p>
            <w:pPr>
              <w:ind w:left="260"/>
              <w:spacing w:after="0"/>
              <w:rPr>
                <w:sz w:val="20"/>
                <w:szCs w:val="20"/>
                <w:color w:val="auto"/>
              </w:rPr>
            </w:pPr>
            <w:r>
              <w:rPr>
                <w:rFonts w:ascii="Arial" w:cs="Arial" w:eastAsia="Arial" w:hAnsi="Arial"/>
                <w:sz w:val="16"/>
                <w:szCs w:val="16"/>
                <w:color w:val="auto"/>
              </w:rPr>
              <w:t>Distribution</w:t>
            </w:r>
          </w:p>
        </w:tc>
        <w:tc>
          <w:tcPr>
            <w:tcW w:w="4360" w:type="dxa"/>
            <w:vAlign w:val="bottom"/>
          </w:tcPr>
          <w:p>
            <w:pPr>
              <w:ind w:left="1060"/>
              <w:spacing w:after="0"/>
              <w:rPr>
                <w:sz w:val="20"/>
                <w:szCs w:val="20"/>
                <w:color w:val="auto"/>
              </w:rPr>
            </w:pPr>
            <w:r>
              <w:rPr>
                <w:rFonts w:ascii="Arial" w:cs="Arial" w:eastAsia="Arial" w:hAnsi="Arial"/>
                <w:sz w:val="16"/>
                <w:szCs w:val="16"/>
                <w:color w:val="auto"/>
              </w:rPr>
              <w:t>Services</w:t>
            </w:r>
          </w:p>
        </w:tc>
      </w:tr>
      <w:tr>
        <w:trPr>
          <w:trHeight w:val="176"/>
        </w:trPr>
        <w:tc>
          <w:tcPr>
            <w:tcW w:w="4080" w:type="dxa"/>
            <w:vAlign w:val="bottom"/>
          </w:tcPr>
          <w:p>
            <w:pPr>
              <w:spacing w:after="0"/>
              <w:rPr>
                <w:sz w:val="15"/>
                <w:szCs w:val="15"/>
                <w:color w:val="auto"/>
              </w:rPr>
            </w:pPr>
          </w:p>
        </w:tc>
        <w:tc>
          <w:tcPr>
            <w:tcW w:w="2460" w:type="dxa"/>
            <w:vAlign w:val="bottom"/>
            <w:gridSpan w:val="2"/>
          </w:tcPr>
          <w:p>
            <w:pPr>
              <w:ind w:left="260"/>
              <w:spacing w:after="0" w:line="176" w:lineRule="exact"/>
              <w:rPr>
                <w:sz w:val="20"/>
                <w:szCs w:val="20"/>
                <w:color w:val="auto"/>
              </w:rPr>
            </w:pPr>
            <w:r>
              <w:rPr>
                <w:rFonts w:ascii="Arial" w:cs="Arial" w:eastAsia="Arial" w:hAnsi="Arial"/>
                <w:sz w:val="16"/>
                <w:szCs w:val="16"/>
                <w:color w:val="auto"/>
              </w:rPr>
              <w:t>Motorhome</w:t>
            </w:r>
          </w:p>
        </w:tc>
        <w:tc>
          <w:tcPr>
            <w:tcW w:w="4360" w:type="dxa"/>
            <w:vAlign w:val="bottom"/>
          </w:tcPr>
          <w:p>
            <w:pPr>
              <w:ind w:left="1060"/>
              <w:spacing w:after="0" w:line="176" w:lineRule="exact"/>
              <w:rPr>
                <w:sz w:val="20"/>
                <w:szCs w:val="20"/>
                <w:color w:val="auto"/>
              </w:rPr>
            </w:pPr>
            <w:r>
              <w:rPr>
                <w:rFonts w:ascii="Arial" w:cs="Arial" w:eastAsia="Arial" w:hAnsi="Arial"/>
                <w:sz w:val="16"/>
                <w:szCs w:val="16"/>
                <w:color w:val="auto"/>
              </w:rPr>
              <w:t>Specialty</w:t>
            </w:r>
          </w:p>
        </w:tc>
      </w:tr>
      <w:tr>
        <w:trPr>
          <w:trHeight w:val="176"/>
        </w:trPr>
        <w:tc>
          <w:tcPr>
            <w:tcW w:w="4080" w:type="dxa"/>
            <w:vAlign w:val="bottom"/>
          </w:tcPr>
          <w:p>
            <w:pPr>
              <w:spacing w:after="0"/>
              <w:rPr>
                <w:sz w:val="15"/>
                <w:szCs w:val="15"/>
                <w:color w:val="auto"/>
              </w:rPr>
            </w:pPr>
          </w:p>
        </w:tc>
        <w:tc>
          <w:tcPr>
            <w:tcW w:w="2460" w:type="dxa"/>
            <w:vAlign w:val="bottom"/>
            <w:gridSpan w:val="2"/>
          </w:tcPr>
          <w:p>
            <w:pPr>
              <w:ind w:left="260"/>
              <w:spacing w:after="0" w:line="176" w:lineRule="exact"/>
              <w:rPr>
                <w:sz w:val="20"/>
                <w:szCs w:val="20"/>
                <w:color w:val="auto"/>
              </w:rPr>
            </w:pPr>
            <w:r>
              <w:rPr>
                <w:rFonts w:ascii="Arial" w:cs="Arial" w:eastAsia="Arial" w:hAnsi="Arial"/>
                <w:sz w:val="16"/>
                <w:szCs w:val="16"/>
                <w:color w:val="auto"/>
              </w:rPr>
              <w:t>Refuse</w:t>
            </w:r>
          </w:p>
        </w:tc>
        <w:tc>
          <w:tcPr>
            <w:tcW w:w="4360" w:type="dxa"/>
            <w:vAlign w:val="bottom"/>
          </w:tcPr>
          <w:p>
            <w:pPr>
              <w:ind w:left="1060"/>
              <w:spacing w:after="0" w:line="176" w:lineRule="exact"/>
              <w:rPr>
                <w:sz w:val="20"/>
                <w:szCs w:val="20"/>
                <w:color w:val="auto"/>
              </w:rPr>
            </w:pPr>
            <w:r>
              <w:rPr>
                <w:rFonts w:ascii="Arial" w:cs="Arial" w:eastAsia="Arial" w:hAnsi="Arial"/>
                <w:sz w:val="16"/>
                <w:szCs w:val="16"/>
                <w:color w:val="auto"/>
              </w:rPr>
              <w:t>Wheeled Defense</w:t>
            </w:r>
          </w:p>
        </w:tc>
      </w:tr>
      <w:tr>
        <w:trPr>
          <w:trHeight w:val="177"/>
        </w:trPr>
        <w:tc>
          <w:tcPr>
            <w:tcW w:w="4080" w:type="dxa"/>
            <w:vAlign w:val="bottom"/>
          </w:tcPr>
          <w:p>
            <w:pPr>
              <w:spacing w:after="0"/>
              <w:rPr>
                <w:sz w:val="15"/>
                <w:szCs w:val="15"/>
                <w:color w:val="auto"/>
              </w:rPr>
            </w:pPr>
          </w:p>
        </w:tc>
        <w:tc>
          <w:tcPr>
            <w:tcW w:w="2460" w:type="dxa"/>
            <w:vAlign w:val="bottom"/>
            <w:gridSpan w:val="2"/>
          </w:tcPr>
          <w:p>
            <w:pPr>
              <w:ind w:left="260"/>
              <w:spacing w:after="0" w:line="177" w:lineRule="exact"/>
              <w:rPr>
                <w:sz w:val="20"/>
                <w:szCs w:val="20"/>
                <w:color w:val="auto"/>
              </w:rPr>
            </w:pPr>
            <w:r>
              <w:rPr>
                <w:rFonts w:ascii="Arial" w:cs="Arial" w:eastAsia="Arial" w:hAnsi="Arial"/>
                <w:sz w:val="16"/>
                <w:szCs w:val="16"/>
                <w:color w:val="auto"/>
              </w:rPr>
              <w:t>School/Shuttle Bus</w:t>
            </w:r>
          </w:p>
        </w:tc>
        <w:tc>
          <w:tcPr>
            <w:tcW w:w="4360" w:type="dxa"/>
            <w:vAlign w:val="bottom"/>
          </w:tcPr>
          <w:p>
            <w:pPr>
              <w:spacing w:after="0"/>
              <w:rPr>
                <w:sz w:val="15"/>
                <w:szCs w:val="15"/>
                <w:color w:val="auto"/>
              </w:rPr>
            </w:pPr>
          </w:p>
        </w:tc>
      </w:tr>
      <w:tr>
        <w:trPr>
          <w:trHeight w:val="187"/>
        </w:trPr>
        <w:tc>
          <w:tcPr>
            <w:tcW w:w="4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3000 Series</w:t>
            </w:r>
          </w:p>
        </w:tc>
        <w:tc>
          <w:tcPr>
            <w:tcW w:w="2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Coach and Transit Bus</w:t>
            </w:r>
          </w:p>
        </w:tc>
        <w:tc>
          <w:tcPr>
            <w:tcW w:w="4360" w:type="dxa"/>
            <w:vAlign w:val="bottom"/>
            <w:shd w:val="clear" w:color="auto" w:fill="CFF0FC"/>
          </w:tcPr>
          <w:p>
            <w:pPr>
              <w:ind w:left="1060"/>
              <w:spacing w:after="0"/>
              <w:rPr>
                <w:sz w:val="20"/>
                <w:szCs w:val="20"/>
                <w:color w:val="auto"/>
              </w:rPr>
            </w:pPr>
            <w:r>
              <w:rPr>
                <w:rFonts w:ascii="Arial" w:cs="Arial" w:eastAsia="Arial" w:hAnsi="Arial"/>
                <w:sz w:val="16"/>
                <w:szCs w:val="16"/>
                <w:color w:val="auto"/>
              </w:rPr>
              <w:t>Motorhome</w:t>
            </w:r>
          </w:p>
        </w:tc>
      </w:tr>
      <w:tr>
        <w:trPr>
          <w:trHeight w:val="176"/>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6" w:lineRule="exact"/>
              <w:rPr>
                <w:sz w:val="20"/>
                <w:szCs w:val="20"/>
                <w:color w:val="auto"/>
              </w:rPr>
            </w:pPr>
            <w:r>
              <w:rPr>
                <w:rFonts w:ascii="Arial" w:cs="Arial" w:eastAsia="Arial" w:hAnsi="Arial"/>
                <w:sz w:val="16"/>
                <w:szCs w:val="16"/>
                <w:color w:val="auto"/>
              </w:rPr>
              <w:t>Construction</w:t>
            </w:r>
          </w:p>
        </w:tc>
        <w:tc>
          <w:tcPr>
            <w:tcW w:w="4360" w:type="dxa"/>
            <w:vAlign w:val="bottom"/>
            <w:shd w:val="clear" w:color="auto" w:fill="CFF0FC"/>
          </w:tcPr>
          <w:p>
            <w:pPr>
              <w:ind w:left="1060"/>
              <w:spacing w:after="0" w:line="176" w:lineRule="exact"/>
              <w:rPr>
                <w:sz w:val="20"/>
                <w:szCs w:val="20"/>
                <w:color w:val="auto"/>
              </w:rPr>
            </w:pPr>
            <w:r>
              <w:rPr>
                <w:rFonts w:ascii="Arial" w:cs="Arial" w:eastAsia="Arial" w:hAnsi="Arial"/>
                <w:sz w:val="16"/>
                <w:szCs w:val="16"/>
                <w:color w:val="auto"/>
              </w:rPr>
              <w:t>Refuse</w:t>
            </w:r>
          </w:p>
        </w:tc>
      </w:tr>
      <w:tr>
        <w:trPr>
          <w:trHeight w:val="176"/>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6" w:lineRule="exact"/>
              <w:rPr>
                <w:sz w:val="20"/>
                <w:szCs w:val="20"/>
                <w:color w:val="auto"/>
              </w:rPr>
            </w:pPr>
            <w:r>
              <w:rPr>
                <w:rFonts w:ascii="Arial" w:cs="Arial" w:eastAsia="Arial" w:hAnsi="Arial"/>
                <w:sz w:val="16"/>
                <w:szCs w:val="16"/>
                <w:color w:val="auto"/>
              </w:rPr>
              <w:t>Distribution</w:t>
            </w:r>
          </w:p>
        </w:tc>
        <w:tc>
          <w:tcPr>
            <w:tcW w:w="4360" w:type="dxa"/>
            <w:vAlign w:val="bottom"/>
            <w:shd w:val="clear" w:color="auto" w:fill="CFF0FC"/>
          </w:tcPr>
          <w:p>
            <w:pPr>
              <w:ind w:left="1060"/>
              <w:spacing w:after="0" w:line="176" w:lineRule="exact"/>
              <w:rPr>
                <w:sz w:val="20"/>
                <w:szCs w:val="20"/>
                <w:color w:val="auto"/>
              </w:rPr>
            </w:pPr>
            <w:r>
              <w:rPr>
                <w:rFonts w:ascii="Arial" w:cs="Arial" w:eastAsia="Arial" w:hAnsi="Arial"/>
                <w:sz w:val="16"/>
                <w:szCs w:val="16"/>
                <w:color w:val="auto"/>
              </w:rPr>
              <w:t>Services</w:t>
            </w:r>
          </w:p>
        </w:tc>
      </w:tr>
      <w:tr>
        <w:trPr>
          <w:trHeight w:val="176"/>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6" w:lineRule="exact"/>
              <w:rPr>
                <w:sz w:val="20"/>
                <w:szCs w:val="20"/>
                <w:color w:val="auto"/>
              </w:rPr>
            </w:pPr>
            <w:r>
              <w:rPr>
                <w:rFonts w:ascii="Arial" w:cs="Arial" w:eastAsia="Arial" w:hAnsi="Arial"/>
                <w:sz w:val="16"/>
                <w:szCs w:val="16"/>
                <w:color w:val="auto"/>
              </w:rPr>
              <w:t>Fire and Emergency</w:t>
            </w:r>
          </w:p>
        </w:tc>
        <w:tc>
          <w:tcPr>
            <w:tcW w:w="4360" w:type="dxa"/>
            <w:vAlign w:val="bottom"/>
            <w:shd w:val="clear" w:color="auto" w:fill="CFF0FC"/>
          </w:tcPr>
          <w:p>
            <w:pPr>
              <w:ind w:left="1060"/>
              <w:spacing w:after="0" w:line="176" w:lineRule="exact"/>
              <w:rPr>
                <w:sz w:val="20"/>
                <w:szCs w:val="20"/>
                <w:color w:val="auto"/>
              </w:rPr>
            </w:pPr>
            <w:r>
              <w:rPr>
                <w:rFonts w:ascii="Arial" w:cs="Arial" w:eastAsia="Arial" w:hAnsi="Arial"/>
                <w:sz w:val="16"/>
                <w:szCs w:val="16"/>
                <w:color w:val="auto"/>
              </w:rPr>
              <w:t>Specialty</w:t>
            </w:r>
          </w:p>
        </w:tc>
      </w:tr>
      <w:tr>
        <w:trPr>
          <w:trHeight w:val="177"/>
        </w:trPr>
        <w:tc>
          <w:tcPr>
            <w:tcW w:w="4080" w:type="dxa"/>
            <w:vAlign w:val="bottom"/>
            <w:shd w:val="clear" w:color="auto" w:fill="CFF0FC"/>
          </w:tcPr>
          <w:p>
            <w:pPr>
              <w:spacing w:after="0"/>
              <w:rPr>
                <w:sz w:val="15"/>
                <w:szCs w:val="15"/>
                <w:color w:val="auto"/>
              </w:rPr>
            </w:pPr>
          </w:p>
        </w:tc>
        <w:tc>
          <w:tcPr>
            <w:tcW w:w="2460" w:type="dxa"/>
            <w:vAlign w:val="bottom"/>
            <w:gridSpan w:val="2"/>
            <w:shd w:val="clear" w:color="auto" w:fill="CFF0FC"/>
          </w:tcPr>
          <w:p>
            <w:pPr>
              <w:ind w:left="260"/>
              <w:spacing w:after="0" w:line="177" w:lineRule="exact"/>
              <w:rPr>
                <w:sz w:val="20"/>
                <w:szCs w:val="20"/>
                <w:color w:val="auto"/>
              </w:rPr>
            </w:pPr>
            <w:r>
              <w:rPr>
                <w:rFonts w:ascii="Arial" w:cs="Arial" w:eastAsia="Arial" w:hAnsi="Arial"/>
                <w:sz w:val="16"/>
                <w:szCs w:val="16"/>
                <w:color w:val="auto"/>
              </w:rPr>
              <w:t>Metro Tractors</w:t>
            </w:r>
          </w:p>
        </w:tc>
        <w:tc>
          <w:tcPr>
            <w:tcW w:w="4360" w:type="dxa"/>
            <w:vAlign w:val="bottom"/>
            <w:shd w:val="clear" w:color="auto" w:fill="CFF0FC"/>
          </w:tcPr>
          <w:p>
            <w:pPr>
              <w:ind w:left="1060"/>
              <w:spacing w:after="0" w:line="177" w:lineRule="exact"/>
              <w:rPr>
                <w:sz w:val="20"/>
                <w:szCs w:val="20"/>
                <w:color w:val="auto"/>
              </w:rPr>
            </w:pPr>
            <w:r>
              <w:rPr>
                <w:rFonts w:ascii="Arial" w:cs="Arial" w:eastAsia="Arial" w:hAnsi="Arial"/>
                <w:sz w:val="16"/>
                <w:szCs w:val="16"/>
                <w:color w:val="auto"/>
              </w:rPr>
              <w:t>Wheeled Defense</w:t>
            </w:r>
          </w:p>
        </w:tc>
      </w:tr>
      <w:tr>
        <w:trPr>
          <w:trHeight w:val="187"/>
        </w:trPr>
        <w:tc>
          <w:tcPr>
            <w:tcW w:w="4080" w:type="dxa"/>
            <w:vAlign w:val="bottom"/>
          </w:tcPr>
          <w:p>
            <w:pPr>
              <w:jc w:val="center"/>
              <w:spacing w:after="0"/>
              <w:rPr>
                <w:sz w:val="20"/>
                <w:szCs w:val="20"/>
                <w:color w:val="auto"/>
              </w:rPr>
            </w:pPr>
            <w:r>
              <w:rPr>
                <w:rFonts w:ascii="Arial" w:cs="Arial" w:eastAsia="Arial" w:hAnsi="Arial"/>
                <w:sz w:val="16"/>
                <w:szCs w:val="16"/>
                <w:color w:val="auto"/>
                <w:w w:val="95"/>
              </w:rPr>
              <w:t>4000 Series</w:t>
            </w:r>
          </w:p>
        </w:tc>
        <w:tc>
          <w:tcPr>
            <w:tcW w:w="2460" w:type="dxa"/>
            <w:vAlign w:val="bottom"/>
            <w:gridSpan w:val="2"/>
          </w:tcPr>
          <w:p>
            <w:pPr>
              <w:ind w:left="260"/>
              <w:spacing w:after="0"/>
              <w:rPr>
                <w:sz w:val="20"/>
                <w:szCs w:val="20"/>
                <w:color w:val="auto"/>
              </w:rPr>
            </w:pPr>
            <w:r>
              <w:rPr>
                <w:rFonts w:ascii="Arial" w:cs="Arial" w:eastAsia="Arial" w:hAnsi="Arial"/>
                <w:sz w:val="16"/>
                <w:szCs w:val="16"/>
                <w:color w:val="auto"/>
              </w:rPr>
              <w:t>Articulated Dump Truck</w:t>
            </w:r>
          </w:p>
        </w:tc>
        <w:tc>
          <w:tcPr>
            <w:tcW w:w="4360" w:type="dxa"/>
            <w:vAlign w:val="bottom"/>
          </w:tcPr>
          <w:p>
            <w:pPr>
              <w:ind w:left="1060"/>
              <w:spacing w:after="0"/>
              <w:rPr>
                <w:sz w:val="20"/>
                <w:szCs w:val="20"/>
                <w:color w:val="auto"/>
              </w:rPr>
            </w:pPr>
            <w:r>
              <w:rPr>
                <w:rFonts w:ascii="Arial" w:cs="Arial" w:eastAsia="Arial" w:hAnsi="Arial"/>
                <w:sz w:val="16"/>
                <w:szCs w:val="16"/>
                <w:color w:val="auto"/>
              </w:rPr>
              <w:t>Metro Tractors</w:t>
            </w:r>
          </w:p>
        </w:tc>
      </w:tr>
      <w:tr>
        <w:trPr>
          <w:trHeight w:val="176"/>
        </w:trPr>
        <w:tc>
          <w:tcPr>
            <w:tcW w:w="4080" w:type="dxa"/>
            <w:vAlign w:val="bottom"/>
          </w:tcPr>
          <w:p>
            <w:pPr>
              <w:spacing w:after="0"/>
              <w:rPr>
                <w:sz w:val="15"/>
                <w:szCs w:val="15"/>
                <w:color w:val="auto"/>
              </w:rPr>
            </w:pPr>
          </w:p>
        </w:tc>
        <w:tc>
          <w:tcPr>
            <w:tcW w:w="2460" w:type="dxa"/>
            <w:vAlign w:val="bottom"/>
            <w:gridSpan w:val="2"/>
          </w:tcPr>
          <w:p>
            <w:pPr>
              <w:ind w:left="260"/>
              <w:spacing w:after="0" w:line="176" w:lineRule="exact"/>
              <w:rPr>
                <w:sz w:val="20"/>
                <w:szCs w:val="20"/>
                <w:color w:val="auto"/>
              </w:rPr>
            </w:pPr>
            <w:r>
              <w:rPr>
                <w:rFonts w:ascii="Arial" w:cs="Arial" w:eastAsia="Arial" w:hAnsi="Arial"/>
                <w:sz w:val="16"/>
                <w:szCs w:val="16"/>
                <w:color w:val="auto"/>
              </w:rPr>
              <w:t>Coach and Transit Bus</w:t>
            </w:r>
          </w:p>
        </w:tc>
        <w:tc>
          <w:tcPr>
            <w:tcW w:w="4360" w:type="dxa"/>
            <w:vAlign w:val="bottom"/>
          </w:tcPr>
          <w:p>
            <w:pPr>
              <w:ind w:left="1060"/>
              <w:spacing w:after="0" w:line="176" w:lineRule="exact"/>
              <w:rPr>
                <w:sz w:val="20"/>
                <w:szCs w:val="20"/>
                <w:color w:val="auto"/>
              </w:rPr>
            </w:pPr>
            <w:r>
              <w:rPr>
                <w:rFonts w:ascii="Arial" w:cs="Arial" w:eastAsia="Arial" w:hAnsi="Arial"/>
                <w:sz w:val="16"/>
                <w:szCs w:val="16"/>
                <w:color w:val="auto"/>
              </w:rPr>
              <w:t>Motorhome</w:t>
            </w:r>
          </w:p>
        </w:tc>
      </w:tr>
      <w:tr>
        <w:trPr>
          <w:trHeight w:val="176"/>
        </w:trPr>
        <w:tc>
          <w:tcPr>
            <w:tcW w:w="4080" w:type="dxa"/>
            <w:vAlign w:val="bottom"/>
          </w:tcPr>
          <w:p>
            <w:pPr>
              <w:spacing w:after="0"/>
              <w:rPr>
                <w:sz w:val="15"/>
                <w:szCs w:val="15"/>
                <w:color w:val="auto"/>
              </w:rPr>
            </w:pPr>
          </w:p>
        </w:tc>
        <w:tc>
          <w:tcPr>
            <w:tcW w:w="2460" w:type="dxa"/>
            <w:vAlign w:val="bottom"/>
            <w:gridSpan w:val="2"/>
          </w:tcPr>
          <w:p>
            <w:pPr>
              <w:ind w:left="260"/>
              <w:spacing w:after="0" w:line="176" w:lineRule="exact"/>
              <w:rPr>
                <w:sz w:val="20"/>
                <w:szCs w:val="20"/>
                <w:color w:val="auto"/>
              </w:rPr>
            </w:pPr>
            <w:r>
              <w:rPr>
                <w:rFonts w:ascii="Arial" w:cs="Arial" w:eastAsia="Arial" w:hAnsi="Arial"/>
                <w:sz w:val="16"/>
                <w:szCs w:val="16"/>
                <w:color w:val="auto"/>
              </w:rPr>
              <w:t>Construction</w:t>
            </w:r>
          </w:p>
        </w:tc>
        <w:tc>
          <w:tcPr>
            <w:tcW w:w="4360" w:type="dxa"/>
            <w:vAlign w:val="bottom"/>
          </w:tcPr>
          <w:p>
            <w:pPr>
              <w:ind w:left="1060"/>
              <w:spacing w:after="0" w:line="176" w:lineRule="exact"/>
              <w:rPr>
                <w:sz w:val="20"/>
                <w:szCs w:val="20"/>
                <w:color w:val="auto"/>
              </w:rPr>
            </w:pPr>
            <w:r>
              <w:rPr>
                <w:rFonts w:ascii="Arial" w:cs="Arial" w:eastAsia="Arial" w:hAnsi="Arial"/>
                <w:sz w:val="16"/>
                <w:szCs w:val="16"/>
                <w:color w:val="auto"/>
              </w:rPr>
              <w:t>Refuse</w:t>
            </w:r>
          </w:p>
        </w:tc>
      </w:tr>
      <w:tr>
        <w:trPr>
          <w:trHeight w:val="176"/>
        </w:trPr>
        <w:tc>
          <w:tcPr>
            <w:tcW w:w="4080" w:type="dxa"/>
            <w:vAlign w:val="bottom"/>
          </w:tcPr>
          <w:p>
            <w:pPr>
              <w:spacing w:after="0"/>
              <w:rPr>
                <w:sz w:val="15"/>
                <w:szCs w:val="15"/>
                <w:color w:val="auto"/>
              </w:rPr>
            </w:pPr>
          </w:p>
        </w:tc>
        <w:tc>
          <w:tcPr>
            <w:tcW w:w="2460" w:type="dxa"/>
            <w:vAlign w:val="bottom"/>
            <w:gridSpan w:val="2"/>
          </w:tcPr>
          <w:p>
            <w:pPr>
              <w:ind w:left="260"/>
              <w:spacing w:after="0" w:line="176" w:lineRule="exact"/>
              <w:rPr>
                <w:sz w:val="20"/>
                <w:szCs w:val="20"/>
                <w:color w:val="auto"/>
              </w:rPr>
            </w:pPr>
            <w:r>
              <w:rPr>
                <w:rFonts w:ascii="Arial" w:cs="Arial" w:eastAsia="Arial" w:hAnsi="Arial"/>
                <w:sz w:val="16"/>
                <w:szCs w:val="16"/>
                <w:color w:val="auto"/>
              </w:rPr>
              <w:t>Distribution</w:t>
            </w:r>
          </w:p>
        </w:tc>
        <w:tc>
          <w:tcPr>
            <w:tcW w:w="4360" w:type="dxa"/>
            <w:vAlign w:val="bottom"/>
          </w:tcPr>
          <w:p>
            <w:pPr>
              <w:ind w:left="1060"/>
              <w:spacing w:after="0" w:line="176" w:lineRule="exact"/>
              <w:rPr>
                <w:sz w:val="20"/>
                <w:szCs w:val="20"/>
                <w:color w:val="auto"/>
              </w:rPr>
            </w:pPr>
            <w:r>
              <w:rPr>
                <w:rFonts w:ascii="Arial" w:cs="Arial" w:eastAsia="Arial" w:hAnsi="Arial"/>
                <w:sz w:val="16"/>
                <w:szCs w:val="16"/>
                <w:color w:val="auto"/>
              </w:rPr>
              <w:t>Specialty</w:t>
            </w:r>
          </w:p>
        </w:tc>
      </w:tr>
      <w:tr>
        <w:trPr>
          <w:trHeight w:val="177"/>
        </w:trPr>
        <w:tc>
          <w:tcPr>
            <w:tcW w:w="4080" w:type="dxa"/>
            <w:vAlign w:val="bottom"/>
          </w:tcPr>
          <w:p>
            <w:pPr>
              <w:spacing w:after="0"/>
              <w:rPr>
                <w:sz w:val="15"/>
                <w:szCs w:val="15"/>
                <w:color w:val="auto"/>
              </w:rPr>
            </w:pPr>
          </w:p>
        </w:tc>
        <w:tc>
          <w:tcPr>
            <w:tcW w:w="2460" w:type="dxa"/>
            <w:vAlign w:val="bottom"/>
            <w:gridSpan w:val="2"/>
          </w:tcPr>
          <w:p>
            <w:pPr>
              <w:ind w:left="260"/>
              <w:spacing w:after="0" w:line="177" w:lineRule="exact"/>
              <w:rPr>
                <w:sz w:val="20"/>
                <w:szCs w:val="20"/>
                <w:color w:val="auto"/>
              </w:rPr>
            </w:pPr>
            <w:r>
              <w:rPr>
                <w:rFonts w:ascii="Arial" w:cs="Arial" w:eastAsia="Arial" w:hAnsi="Arial"/>
                <w:sz w:val="16"/>
                <w:szCs w:val="16"/>
                <w:color w:val="auto"/>
              </w:rPr>
              <w:t>Fire and Emergency</w:t>
            </w:r>
          </w:p>
        </w:tc>
        <w:tc>
          <w:tcPr>
            <w:tcW w:w="4360" w:type="dxa"/>
            <w:vAlign w:val="bottom"/>
          </w:tcPr>
          <w:p>
            <w:pPr>
              <w:ind w:left="1060"/>
              <w:spacing w:after="0" w:line="177" w:lineRule="exact"/>
              <w:rPr>
                <w:sz w:val="20"/>
                <w:szCs w:val="20"/>
                <w:color w:val="auto"/>
              </w:rPr>
            </w:pPr>
            <w:r>
              <w:rPr>
                <w:rFonts w:ascii="Arial" w:cs="Arial" w:eastAsia="Arial" w:hAnsi="Arial"/>
                <w:sz w:val="16"/>
                <w:szCs w:val="16"/>
                <w:color w:val="auto"/>
              </w:rPr>
              <w:t>Wheeled Defense</w:t>
            </w:r>
          </w:p>
        </w:tc>
      </w:tr>
      <w:tr>
        <w:trPr>
          <w:trHeight w:val="188"/>
        </w:trPr>
        <w:tc>
          <w:tcPr>
            <w:tcW w:w="4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Electric-Hybrid Propulsion Solution</w:t>
            </w:r>
          </w:p>
        </w:tc>
        <w:tc>
          <w:tcPr>
            <w:tcW w:w="24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Transit and Shuttle Bus</w:t>
            </w:r>
          </w:p>
        </w:tc>
        <w:tc>
          <w:tcPr>
            <w:tcW w:w="4360" w:type="dxa"/>
            <w:vAlign w:val="bottom"/>
            <w:shd w:val="clear" w:color="auto" w:fill="CFF0FC"/>
          </w:tcPr>
          <w:p>
            <w:pPr>
              <w:spacing w:after="0"/>
              <w:rPr>
                <w:sz w:val="16"/>
                <w:szCs w:val="16"/>
                <w:color w:val="auto"/>
              </w:rPr>
            </w:pPr>
          </w:p>
        </w:tc>
      </w:tr>
      <w:tr>
        <w:trPr>
          <w:trHeight w:val="187"/>
        </w:trPr>
        <w:tc>
          <w:tcPr>
            <w:tcW w:w="4080" w:type="dxa"/>
            <w:vAlign w:val="bottom"/>
          </w:tcPr>
          <w:p>
            <w:pPr>
              <w:jc w:val="center"/>
              <w:spacing w:after="0"/>
              <w:rPr>
                <w:sz w:val="20"/>
                <w:szCs w:val="20"/>
                <w:color w:val="auto"/>
              </w:rPr>
            </w:pPr>
            <w:r>
              <w:rPr>
                <w:rFonts w:ascii="Arial" w:cs="Arial" w:eastAsia="Arial" w:hAnsi="Arial"/>
                <w:sz w:val="16"/>
                <w:szCs w:val="16"/>
                <w:color w:val="auto"/>
                <w:w w:val="98"/>
              </w:rPr>
              <w:t>Fully-Electric Propulsion Solutions</w:t>
            </w:r>
          </w:p>
        </w:tc>
        <w:tc>
          <w:tcPr>
            <w:tcW w:w="2460" w:type="dxa"/>
            <w:vAlign w:val="bottom"/>
            <w:gridSpan w:val="2"/>
          </w:tcPr>
          <w:p>
            <w:pPr>
              <w:ind w:left="260"/>
              <w:spacing w:after="0"/>
              <w:rPr>
                <w:sz w:val="20"/>
                <w:szCs w:val="20"/>
                <w:color w:val="auto"/>
              </w:rPr>
            </w:pPr>
            <w:r>
              <w:rPr>
                <w:rFonts w:ascii="Arial" w:cs="Arial" w:eastAsia="Arial" w:hAnsi="Arial"/>
                <w:sz w:val="16"/>
                <w:szCs w:val="16"/>
                <w:color w:val="auto"/>
              </w:rPr>
              <w:t>Transit and Shuttle Bus</w:t>
            </w:r>
          </w:p>
        </w:tc>
        <w:tc>
          <w:tcPr>
            <w:tcW w:w="4360" w:type="dxa"/>
            <w:vAlign w:val="bottom"/>
          </w:tcPr>
          <w:p>
            <w:pPr>
              <w:spacing w:after="0"/>
              <w:rPr>
                <w:sz w:val="16"/>
                <w:szCs w:val="16"/>
                <w:color w:val="auto"/>
              </w:rPr>
            </w:pPr>
          </w:p>
        </w:tc>
      </w:tr>
      <w:tr>
        <w:trPr>
          <w:trHeight w:val="188"/>
        </w:trPr>
        <w:tc>
          <w:tcPr>
            <w:tcW w:w="4080" w:type="dxa"/>
            <w:vAlign w:val="bottom"/>
          </w:tcPr>
          <w:p>
            <w:pPr>
              <w:spacing w:after="0"/>
              <w:rPr>
                <w:sz w:val="16"/>
                <w:szCs w:val="16"/>
                <w:color w:val="auto"/>
              </w:rPr>
            </w:pPr>
          </w:p>
        </w:tc>
        <w:tc>
          <w:tcPr>
            <w:tcW w:w="2460" w:type="dxa"/>
            <w:vAlign w:val="bottom"/>
            <w:gridSpan w:val="2"/>
          </w:tcPr>
          <w:p>
            <w:pPr>
              <w:ind w:left="260"/>
              <w:spacing w:after="0"/>
              <w:rPr>
                <w:sz w:val="20"/>
                <w:szCs w:val="20"/>
                <w:color w:val="auto"/>
              </w:rPr>
            </w:pPr>
            <w:r>
              <w:rPr>
                <w:rFonts w:ascii="Arial" w:cs="Arial" w:eastAsia="Arial" w:hAnsi="Arial"/>
                <w:sz w:val="16"/>
                <w:szCs w:val="16"/>
                <w:color w:val="auto"/>
              </w:rPr>
              <w:t>Trucks</w:t>
            </w:r>
          </w:p>
        </w:tc>
        <w:tc>
          <w:tcPr>
            <w:tcW w:w="4360" w:type="dxa"/>
            <w:vAlign w:val="bottom"/>
          </w:tcPr>
          <w:p>
            <w:pPr>
              <w:spacing w:after="0"/>
              <w:rPr>
                <w:sz w:val="16"/>
                <w:szCs w:val="16"/>
                <w:color w:val="auto"/>
              </w:rPr>
            </w:pPr>
          </w:p>
        </w:tc>
      </w:tr>
    </w:tbl>
    <w:p>
      <w:pPr>
        <w:spacing w:after="0" w:line="325"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auto"/>
        </w:rPr>
        <w:t>Off-Highway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1430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4400" cy="143065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 w:type="dxa"/>
            <w:vAlign w:val="bottom"/>
          </w:tcPr>
          <w:p>
            <w:pPr>
              <w:spacing w:after="0"/>
              <w:rPr>
                <w:sz w:val="16"/>
                <w:szCs w:val="16"/>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Product</w:t>
            </w:r>
          </w:p>
        </w:tc>
        <w:tc>
          <w:tcPr>
            <w:tcW w:w="260" w:type="dxa"/>
            <w:vAlign w:val="bottom"/>
            <w:tcBorders>
              <w:bottom w:val="single" w:sz="8" w:color="CFF0FC"/>
            </w:tcBorders>
          </w:tcPr>
          <w:p>
            <w:pPr>
              <w:spacing w:after="0"/>
              <w:rPr>
                <w:sz w:val="16"/>
                <w:szCs w:val="16"/>
                <w:color w:val="auto"/>
              </w:rPr>
            </w:pPr>
          </w:p>
        </w:tc>
        <w:tc>
          <w:tcPr>
            <w:tcW w:w="6560" w:type="dxa"/>
            <w:vAlign w:val="bottom"/>
            <w:tcBorders>
              <w:bottom w:val="single" w:sz="8" w:color="auto"/>
            </w:tcBorders>
          </w:tcPr>
          <w:p>
            <w:pPr>
              <w:ind w:left="2800"/>
              <w:spacing w:after="0"/>
              <w:rPr>
                <w:sz w:val="20"/>
                <w:szCs w:val="20"/>
                <w:color w:val="auto"/>
              </w:rPr>
            </w:pPr>
            <w:r>
              <w:rPr>
                <w:rFonts w:ascii="Arial" w:cs="Arial" w:eastAsia="Arial" w:hAnsi="Arial"/>
                <w:sz w:val="16"/>
                <w:szCs w:val="16"/>
                <w:b w:val="1"/>
                <w:bCs w:val="1"/>
                <w:color w:val="auto"/>
              </w:rPr>
              <w:t>Applications</w:t>
            </w:r>
          </w:p>
        </w:tc>
        <w:tc>
          <w:tcPr>
            <w:tcW w:w="280" w:type="dxa"/>
            <w:vAlign w:val="bottom"/>
          </w:tcPr>
          <w:p>
            <w:pPr>
              <w:spacing w:after="0"/>
              <w:rPr>
                <w:sz w:val="16"/>
                <w:szCs w:val="16"/>
                <w:color w:val="auto"/>
              </w:rPr>
            </w:pPr>
          </w:p>
        </w:tc>
      </w:tr>
      <w:tr>
        <w:trPr>
          <w:trHeight w:val="179"/>
        </w:trPr>
        <w:tc>
          <w:tcPr>
            <w:tcW w:w="260" w:type="dxa"/>
            <w:vAlign w:val="bottom"/>
          </w:tcPr>
          <w:p>
            <w:pPr>
              <w:spacing w:after="0"/>
              <w:rPr>
                <w:sz w:val="15"/>
                <w:szCs w:val="15"/>
                <w:color w:val="auto"/>
              </w:rPr>
            </w:pPr>
          </w:p>
        </w:tc>
        <w:tc>
          <w:tcPr>
            <w:tcW w:w="4080" w:type="dxa"/>
            <w:vAlign w:val="bottom"/>
            <w:shd w:val="clear" w:color="auto" w:fill="CFF0FC"/>
          </w:tcPr>
          <w:p>
            <w:pPr>
              <w:jc w:val="center"/>
              <w:spacing w:after="0" w:line="179" w:lineRule="exact"/>
              <w:rPr>
                <w:sz w:val="20"/>
                <w:szCs w:val="20"/>
                <w:color w:val="auto"/>
              </w:rPr>
            </w:pPr>
            <w:r>
              <w:rPr>
                <w:rFonts w:ascii="Arial" w:cs="Arial" w:eastAsia="Arial" w:hAnsi="Arial"/>
                <w:sz w:val="16"/>
                <w:szCs w:val="16"/>
                <w:color w:val="auto"/>
                <w:w w:val="95"/>
              </w:rPr>
              <w:t>5000 Series</w:t>
            </w:r>
          </w:p>
        </w:tc>
        <w:tc>
          <w:tcPr>
            <w:tcW w:w="6820" w:type="dxa"/>
            <w:vAlign w:val="bottom"/>
            <w:gridSpan w:val="2"/>
            <w:shd w:val="clear" w:color="auto" w:fill="CFF0FC"/>
          </w:tcPr>
          <w:p>
            <w:pPr>
              <w:ind w:left="260"/>
              <w:spacing w:after="0" w:line="179" w:lineRule="exact"/>
              <w:rPr>
                <w:sz w:val="20"/>
                <w:szCs w:val="20"/>
                <w:color w:val="auto"/>
              </w:rPr>
            </w:pPr>
            <w:r>
              <w:rPr>
                <w:rFonts w:ascii="Arial" w:cs="Arial" w:eastAsia="Arial" w:hAnsi="Arial"/>
                <w:sz w:val="16"/>
                <w:szCs w:val="16"/>
                <w:color w:val="auto"/>
              </w:rPr>
              <w:t>Rigid and Articulated Dump Truck</w:t>
            </w:r>
          </w:p>
        </w:tc>
        <w:tc>
          <w:tcPr>
            <w:tcW w:w="280" w:type="dxa"/>
            <w:vAlign w:val="bottom"/>
          </w:tcPr>
          <w:p>
            <w:pPr>
              <w:spacing w:after="0"/>
              <w:rPr>
                <w:sz w:val="15"/>
                <w:szCs w:val="15"/>
                <w:color w:val="auto"/>
              </w:rPr>
            </w:pPr>
          </w:p>
        </w:tc>
      </w:tr>
      <w:tr>
        <w:trPr>
          <w:trHeight w:val="176"/>
        </w:trPr>
        <w:tc>
          <w:tcPr>
            <w:tcW w:w="260" w:type="dxa"/>
            <w:vAlign w:val="bottom"/>
          </w:tcPr>
          <w:p>
            <w:pPr>
              <w:spacing w:after="0"/>
              <w:rPr>
                <w:sz w:val="15"/>
                <w:szCs w:val="15"/>
                <w:color w:val="auto"/>
              </w:rPr>
            </w:pPr>
          </w:p>
        </w:tc>
        <w:tc>
          <w:tcPr>
            <w:tcW w:w="4080" w:type="dxa"/>
            <w:vAlign w:val="bottom"/>
            <w:shd w:val="clear" w:color="auto" w:fill="CFF0FC"/>
          </w:tcPr>
          <w:p>
            <w:pPr>
              <w:spacing w:after="0"/>
              <w:rPr>
                <w:sz w:val="15"/>
                <w:szCs w:val="15"/>
                <w:color w:val="auto"/>
              </w:rPr>
            </w:pPr>
          </w:p>
        </w:tc>
        <w:tc>
          <w:tcPr>
            <w:tcW w:w="6820" w:type="dxa"/>
            <w:vAlign w:val="bottom"/>
            <w:gridSpan w:val="2"/>
            <w:shd w:val="clear" w:color="auto" w:fill="CFF0FC"/>
          </w:tcPr>
          <w:p>
            <w:pPr>
              <w:ind w:left="260"/>
              <w:spacing w:after="0" w:line="176" w:lineRule="exact"/>
              <w:rPr>
                <w:sz w:val="20"/>
                <w:szCs w:val="20"/>
                <w:color w:val="auto"/>
              </w:rPr>
            </w:pPr>
            <w:r>
              <w:rPr>
                <w:rFonts w:ascii="Arial" w:cs="Arial" w:eastAsia="Arial" w:hAnsi="Arial"/>
                <w:sz w:val="16"/>
                <w:szCs w:val="16"/>
                <w:color w:val="auto"/>
              </w:rPr>
              <w:t>Underground Mine Truck</w:t>
            </w:r>
          </w:p>
        </w:tc>
        <w:tc>
          <w:tcPr>
            <w:tcW w:w="28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4080" w:type="dxa"/>
            <w:vAlign w:val="bottom"/>
            <w:shd w:val="clear" w:color="auto" w:fill="CFF0FC"/>
          </w:tcPr>
          <w:p>
            <w:pPr>
              <w:spacing w:after="0"/>
              <w:rPr>
                <w:sz w:val="15"/>
                <w:szCs w:val="15"/>
                <w:color w:val="auto"/>
              </w:rPr>
            </w:pPr>
          </w:p>
        </w:tc>
        <w:tc>
          <w:tcPr>
            <w:tcW w:w="6820" w:type="dxa"/>
            <w:vAlign w:val="bottom"/>
            <w:gridSpan w:val="2"/>
            <w:shd w:val="clear" w:color="auto" w:fill="CFF0FC"/>
          </w:tcPr>
          <w:p>
            <w:pPr>
              <w:ind w:left="260"/>
              <w:spacing w:after="0" w:line="177" w:lineRule="exact"/>
              <w:rPr>
                <w:sz w:val="20"/>
                <w:szCs w:val="20"/>
                <w:color w:val="auto"/>
              </w:rPr>
            </w:pPr>
            <w:r>
              <w:rPr>
                <w:rFonts w:ascii="Arial" w:cs="Arial" w:eastAsia="Arial" w:hAnsi="Arial"/>
                <w:sz w:val="16"/>
                <w:szCs w:val="16"/>
                <w:color w:val="auto"/>
              </w:rPr>
              <w:t>Well Service Rigs</w:t>
            </w:r>
          </w:p>
        </w:tc>
        <w:tc>
          <w:tcPr>
            <w:tcW w:w="280" w:type="dxa"/>
            <w:vAlign w:val="bottom"/>
          </w:tcPr>
          <w:p>
            <w:pPr>
              <w:spacing w:after="0"/>
              <w:rPr>
                <w:sz w:val="15"/>
                <w:szCs w:val="15"/>
                <w:color w:val="auto"/>
              </w:rPr>
            </w:pPr>
          </w:p>
        </w:tc>
      </w:tr>
      <w:tr>
        <w:trPr>
          <w:trHeight w:val="187"/>
        </w:trPr>
        <w:tc>
          <w:tcPr>
            <w:tcW w:w="26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5"/>
              </w:rPr>
              <w:t>6000 Series</w:t>
            </w: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Rigid and Articulated Dump Truck</w:t>
            </w:r>
          </w:p>
        </w:tc>
        <w:tc>
          <w:tcPr>
            <w:tcW w:w="280" w:type="dxa"/>
            <w:vAlign w:val="bottom"/>
          </w:tcPr>
          <w:p>
            <w:pPr>
              <w:spacing w:after="0"/>
              <w:rPr>
                <w:sz w:val="16"/>
                <w:szCs w:val="16"/>
                <w:color w:val="auto"/>
              </w:rPr>
            </w:pPr>
          </w:p>
        </w:tc>
      </w:tr>
      <w:tr>
        <w:trPr>
          <w:trHeight w:val="176"/>
        </w:trPr>
        <w:tc>
          <w:tcPr>
            <w:tcW w:w="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820" w:type="dxa"/>
            <w:vAlign w:val="bottom"/>
            <w:gridSpan w:val="2"/>
          </w:tcPr>
          <w:p>
            <w:pPr>
              <w:ind w:left="260"/>
              <w:spacing w:after="0" w:line="176" w:lineRule="exact"/>
              <w:rPr>
                <w:sz w:val="20"/>
                <w:szCs w:val="20"/>
                <w:color w:val="auto"/>
              </w:rPr>
            </w:pPr>
            <w:r>
              <w:rPr>
                <w:rFonts w:ascii="Arial" w:cs="Arial" w:eastAsia="Arial" w:hAnsi="Arial"/>
                <w:sz w:val="16"/>
                <w:szCs w:val="16"/>
                <w:color w:val="auto"/>
              </w:rPr>
              <w:t>Underground Mine Truck</w:t>
            </w:r>
          </w:p>
        </w:tc>
        <w:tc>
          <w:tcPr>
            <w:tcW w:w="280" w:type="dxa"/>
            <w:vAlign w:val="bottom"/>
          </w:tcPr>
          <w:p>
            <w:pPr>
              <w:spacing w:after="0"/>
              <w:rPr>
                <w:sz w:val="15"/>
                <w:szCs w:val="15"/>
                <w:color w:val="auto"/>
              </w:rPr>
            </w:pPr>
          </w:p>
        </w:tc>
      </w:tr>
      <w:tr>
        <w:trPr>
          <w:trHeight w:val="177"/>
        </w:trPr>
        <w:tc>
          <w:tcPr>
            <w:tcW w:w="2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6820" w:type="dxa"/>
            <w:vAlign w:val="bottom"/>
            <w:gridSpan w:val="2"/>
          </w:tcPr>
          <w:p>
            <w:pPr>
              <w:ind w:left="260"/>
              <w:spacing w:after="0" w:line="177" w:lineRule="exact"/>
              <w:rPr>
                <w:sz w:val="20"/>
                <w:szCs w:val="20"/>
                <w:color w:val="auto"/>
              </w:rPr>
            </w:pPr>
            <w:r>
              <w:rPr>
                <w:rFonts w:ascii="Arial" w:cs="Arial" w:eastAsia="Arial" w:hAnsi="Arial"/>
                <w:sz w:val="16"/>
                <w:szCs w:val="16"/>
                <w:color w:val="auto"/>
              </w:rPr>
              <w:t>Well Service Rigs</w:t>
            </w:r>
          </w:p>
        </w:tc>
        <w:tc>
          <w:tcPr>
            <w:tcW w:w="280" w:type="dxa"/>
            <w:vAlign w:val="bottom"/>
          </w:tcPr>
          <w:p>
            <w:pPr>
              <w:spacing w:after="0"/>
              <w:rPr>
                <w:sz w:val="15"/>
                <w:szCs w:val="15"/>
                <w:color w:val="auto"/>
              </w:rPr>
            </w:pPr>
          </w:p>
        </w:tc>
      </w:tr>
      <w:tr>
        <w:trPr>
          <w:trHeight w:val="187"/>
        </w:trPr>
        <w:tc>
          <w:tcPr>
            <w:tcW w:w="260" w:type="dxa"/>
            <w:vAlign w:val="bottom"/>
          </w:tcPr>
          <w:p>
            <w:pPr>
              <w:spacing w:after="0"/>
              <w:rPr>
                <w:sz w:val="16"/>
                <w:szCs w:val="16"/>
                <w:color w:val="auto"/>
              </w:rPr>
            </w:pPr>
          </w:p>
        </w:tc>
        <w:tc>
          <w:tcPr>
            <w:tcW w:w="4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8000 Series</w:t>
            </w:r>
          </w:p>
        </w:tc>
        <w:tc>
          <w:tcPr>
            <w:tcW w:w="68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Hydraulic Fracturing Equipment</w:t>
            </w:r>
          </w:p>
        </w:tc>
        <w:tc>
          <w:tcPr>
            <w:tcW w:w="280" w:type="dxa"/>
            <w:vAlign w:val="bottom"/>
          </w:tcPr>
          <w:p>
            <w:pPr>
              <w:spacing w:after="0"/>
              <w:rPr>
                <w:sz w:val="16"/>
                <w:szCs w:val="16"/>
                <w:color w:val="auto"/>
              </w:rPr>
            </w:pPr>
          </w:p>
        </w:tc>
      </w:tr>
      <w:tr>
        <w:trPr>
          <w:trHeight w:val="177"/>
        </w:trPr>
        <w:tc>
          <w:tcPr>
            <w:tcW w:w="260" w:type="dxa"/>
            <w:vAlign w:val="bottom"/>
          </w:tcPr>
          <w:p>
            <w:pPr>
              <w:spacing w:after="0"/>
              <w:rPr>
                <w:sz w:val="15"/>
                <w:szCs w:val="15"/>
                <w:color w:val="auto"/>
              </w:rPr>
            </w:pPr>
          </w:p>
        </w:tc>
        <w:tc>
          <w:tcPr>
            <w:tcW w:w="4080" w:type="dxa"/>
            <w:vAlign w:val="bottom"/>
            <w:shd w:val="clear" w:color="auto" w:fill="CFF0FC"/>
          </w:tcPr>
          <w:p>
            <w:pPr>
              <w:spacing w:after="0"/>
              <w:rPr>
                <w:sz w:val="15"/>
                <w:szCs w:val="15"/>
                <w:color w:val="auto"/>
              </w:rPr>
            </w:pPr>
          </w:p>
        </w:tc>
        <w:tc>
          <w:tcPr>
            <w:tcW w:w="6820" w:type="dxa"/>
            <w:vAlign w:val="bottom"/>
            <w:gridSpan w:val="2"/>
            <w:shd w:val="clear" w:color="auto" w:fill="CFF0FC"/>
          </w:tcPr>
          <w:p>
            <w:pPr>
              <w:ind w:left="260"/>
              <w:spacing w:after="0" w:line="177" w:lineRule="exact"/>
              <w:rPr>
                <w:sz w:val="20"/>
                <w:szCs w:val="20"/>
                <w:color w:val="auto"/>
              </w:rPr>
            </w:pPr>
            <w:r>
              <w:rPr>
                <w:rFonts w:ascii="Arial" w:cs="Arial" w:eastAsia="Arial" w:hAnsi="Arial"/>
                <w:sz w:val="16"/>
                <w:szCs w:val="16"/>
                <w:color w:val="auto"/>
              </w:rPr>
              <w:t>Rigid Dump Trucks</w:t>
            </w:r>
          </w:p>
        </w:tc>
        <w:tc>
          <w:tcPr>
            <w:tcW w:w="280" w:type="dxa"/>
            <w:vAlign w:val="bottom"/>
          </w:tcPr>
          <w:p>
            <w:pPr>
              <w:spacing w:after="0"/>
              <w:rPr>
                <w:sz w:val="15"/>
                <w:szCs w:val="15"/>
                <w:color w:val="auto"/>
              </w:rPr>
            </w:pPr>
          </w:p>
        </w:tc>
      </w:tr>
      <w:tr>
        <w:trPr>
          <w:trHeight w:val="187"/>
        </w:trPr>
        <w:tc>
          <w:tcPr>
            <w:tcW w:w="260" w:type="dxa"/>
            <w:vAlign w:val="bottom"/>
          </w:tcPr>
          <w:p>
            <w:pPr>
              <w:spacing w:after="0"/>
              <w:rPr>
                <w:sz w:val="16"/>
                <w:szCs w:val="16"/>
                <w:color w:val="auto"/>
              </w:rPr>
            </w:pPr>
          </w:p>
        </w:tc>
        <w:tc>
          <w:tcPr>
            <w:tcW w:w="4080" w:type="dxa"/>
            <w:vAlign w:val="bottom"/>
          </w:tcPr>
          <w:p>
            <w:pPr>
              <w:jc w:val="center"/>
              <w:spacing w:after="0"/>
              <w:rPr>
                <w:sz w:val="20"/>
                <w:szCs w:val="20"/>
                <w:color w:val="auto"/>
              </w:rPr>
            </w:pPr>
            <w:r>
              <w:rPr>
                <w:rFonts w:ascii="Arial" w:cs="Arial" w:eastAsia="Arial" w:hAnsi="Arial"/>
                <w:sz w:val="16"/>
                <w:szCs w:val="16"/>
                <w:color w:val="auto"/>
                <w:w w:val="95"/>
              </w:rPr>
              <w:t>9000 Series</w:t>
            </w: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Hydraulic Fracturing Equipment</w:t>
            </w:r>
          </w:p>
        </w:tc>
        <w:tc>
          <w:tcPr>
            <w:tcW w:w="280" w:type="dxa"/>
            <w:vAlign w:val="bottom"/>
          </w:tcPr>
          <w:p>
            <w:pPr>
              <w:spacing w:after="0"/>
              <w:rPr>
                <w:sz w:val="16"/>
                <w:szCs w:val="16"/>
                <w:color w:val="auto"/>
              </w:rPr>
            </w:pPr>
          </w:p>
        </w:tc>
      </w:tr>
      <w:tr>
        <w:trPr>
          <w:trHeight w:val="177"/>
        </w:trPr>
        <w:tc>
          <w:tcPr>
            <w:tcW w:w="26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gridSpan w:val="2"/>
          </w:tcPr>
          <w:p>
            <w:pPr>
              <w:ind w:left="260"/>
              <w:spacing w:after="0" w:line="177" w:lineRule="exact"/>
              <w:rPr>
                <w:sz w:val="20"/>
                <w:szCs w:val="20"/>
                <w:color w:val="auto"/>
              </w:rPr>
            </w:pPr>
            <w:r>
              <w:rPr>
                <w:rFonts w:ascii="Arial" w:cs="Arial" w:eastAsia="Arial" w:hAnsi="Arial"/>
                <w:sz w:val="16"/>
                <w:szCs w:val="16"/>
                <w:color w:val="auto"/>
              </w:rPr>
              <w:t>Rigid Dump Trucks</w:t>
            </w:r>
          </w:p>
        </w:tc>
        <w:tc>
          <w:tcPr>
            <w:tcW w:w="280" w:type="dxa"/>
            <w:vAlign w:val="bottom"/>
            <w:tcBorders>
              <w:bottom w:val="single" w:sz="8" w:color="auto"/>
            </w:tcBorders>
          </w:tcPr>
          <w:p>
            <w:pPr>
              <w:spacing w:after="0"/>
              <w:rPr>
                <w:sz w:val="15"/>
                <w:szCs w:val="15"/>
                <w:color w:val="auto"/>
              </w:rPr>
            </w:pPr>
          </w:p>
        </w:tc>
      </w:tr>
      <w:tr>
        <w:trPr>
          <w:trHeight w:val="366"/>
        </w:trPr>
        <w:tc>
          <w:tcPr>
            <w:tcW w:w="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6820" w:type="dxa"/>
            <w:vAlign w:val="bottom"/>
            <w:gridSpan w:val="2"/>
          </w:tcPr>
          <w:p>
            <w:pPr>
              <w:ind w:left="1340"/>
              <w:spacing w:after="0"/>
              <w:rPr>
                <w:sz w:val="20"/>
                <w:szCs w:val="20"/>
                <w:color w:val="auto"/>
              </w:rPr>
            </w:pPr>
            <w:r>
              <w:rPr>
                <w:rFonts w:ascii="Arial" w:cs="Arial" w:eastAsia="Arial" w:hAnsi="Arial"/>
                <w:sz w:val="16"/>
                <w:szCs w:val="16"/>
                <w:color w:val="auto"/>
              </w:rPr>
              <w:t>9</w:t>
            </w:r>
          </w:p>
        </w:tc>
        <w:tc>
          <w:tcPr>
            <w:tcW w:w="280" w:type="dxa"/>
            <w:vAlign w:val="bottom"/>
          </w:tcPr>
          <w:p>
            <w:pPr>
              <w:spacing w:after="0"/>
              <w:rPr>
                <w:sz w:val="24"/>
                <w:szCs w:val="24"/>
                <w:color w:val="auto"/>
              </w:rPr>
            </w:pPr>
          </w:p>
        </w:tc>
      </w:tr>
      <w:tr>
        <w:trPr>
          <w:trHeight w:val="87"/>
        </w:trPr>
        <w:tc>
          <w:tcPr>
            <w:tcW w:w="26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6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28" w:lineRule="exact"/>
        <w:rPr>
          <w:sz w:val="20"/>
          <w:szCs w:val="20"/>
          <w:color w:val="auto"/>
        </w:rPr>
      </w:pPr>
    </w:p>
    <w:p>
      <w:pPr>
        <w:ind w:left="260"/>
        <w:spacing w:after="0"/>
        <w:rPr>
          <w:sz w:val="20"/>
          <w:szCs w:val="20"/>
          <w:color w:val="auto"/>
        </w:rPr>
      </w:pPr>
      <w:r>
        <w:rPr>
          <w:rFonts w:ascii="Arial" w:cs="Arial" w:eastAsia="Arial" w:hAnsi="Arial"/>
          <w:sz w:val="19"/>
          <w:szCs w:val="19"/>
          <w:b w:val="1"/>
          <w:bCs w:val="1"/>
          <w:i w:val="1"/>
          <w:iCs w:val="1"/>
          <w:color w:val="auto"/>
        </w:rPr>
        <w:t>Defense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64400" cy="640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4400" cy="640715"/>
                    </a:xfrm>
                    <a:prstGeom prst="rect">
                      <a:avLst/>
                    </a:prstGeom>
                    <a:noFill/>
                  </pic:spPr>
                </pic:pic>
              </a:graphicData>
            </a:graphic>
          </wp:anchor>
        </w:drawing>
      </w:r>
    </w:p>
    <w:p>
      <w:pPr>
        <w:spacing w:after="0" w:line="4"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080" w:type="dxa"/>
            <w:vAlign w:val="bottom"/>
            <w:tcBorders>
              <w:bottom w:val="single" w:sz="8" w:color="auto"/>
            </w:tcBorders>
          </w:tcPr>
          <w:p>
            <w:pPr>
              <w:ind w:left="1740"/>
              <w:spacing w:after="0"/>
              <w:rPr>
                <w:sz w:val="20"/>
                <w:szCs w:val="20"/>
                <w:color w:val="auto"/>
              </w:rPr>
            </w:pPr>
            <w:r>
              <w:rPr>
                <w:rFonts w:ascii="Arial" w:cs="Arial" w:eastAsia="Arial" w:hAnsi="Arial"/>
                <w:sz w:val="16"/>
                <w:szCs w:val="16"/>
                <w:b w:val="1"/>
                <w:bCs w:val="1"/>
                <w:color w:val="auto"/>
              </w:rPr>
              <w:t>Product</w:t>
            </w:r>
          </w:p>
        </w:tc>
        <w:tc>
          <w:tcPr>
            <w:tcW w:w="260" w:type="dxa"/>
            <w:vAlign w:val="bottom"/>
            <w:tcBorders>
              <w:bottom w:val="single" w:sz="8" w:color="CFF0FC"/>
            </w:tcBorders>
          </w:tcPr>
          <w:p>
            <w:pPr>
              <w:spacing w:after="0"/>
              <w:rPr>
                <w:sz w:val="16"/>
                <w:szCs w:val="16"/>
                <w:color w:val="auto"/>
              </w:rPr>
            </w:pPr>
          </w:p>
        </w:tc>
        <w:tc>
          <w:tcPr>
            <w:tcW w:w="6560" w:type="dxa"/>
            <w:vAlign w:val="bottom"/>
            <w:tcBorders>
              <w:bottom w:val="single" w:sz="8" w:color="auto"/>
            </w:tcBorders>
          </w:tcPr>
          <w:p>
            <w:pPr>
              <w:ind w:left="2800"/>
              <w:spacing w:after="0"/>
              <w:rPr>
                <w:sz w:val="20"/>
                <w:szCs w:val="20"/>
                <w:color w:val="auto"/>
              </w:rPr>
            </w:pPr>
            <w:r>
              <w:rPr>
                <w:rFonts w:ascii="Arial" w:cs="Arial" w:eastAsia="Arial" w:hAnsi="Arial"/>
                <w:sz w:val="16"/>
                <w:szCs w:val="16"/>
                <w:b w:val="1"/>
                <w:bCs w:val="1"/>
                <w:color w:val="auto"/>
              </w:rPr>
              <w:t>Applications</w:t>
            </w:r>
          </w:p>
        </w:tc>
      </w:tr>
      <w:tr>
        <w:trPr>
          <w:trHeight w:val="179"/>
        </w:trPr>
        <w:tc>
          <w:tcPr>
            <w:tcW w:w="4080" w:type="dxa"/>
            <w:vAlign w:val="bottom"/>
            <w:shd w:val="clear" w:color="auto" w:fill="CFF0FC"/>
          </w:tcPr>
          <w:p>
            <w:pPr>
              <w:jc w:val="center"/>
              <w:spacing w:after="0" w:line="180" w:lineRule="exact"/>
              <w:rPr>
                <w:sz w:val="20"/>
                <w:szCs w:val="20"/>
                <w:color w:val="auto"/>
              </w:rPr>
            </w:pPr>
            <w:r>
              <w:rPr>
                <w:rFonts w:ascii="Arial" w:cs="Arial" w:eastAsia="Arial" w:hAnsi="Arial"/>
                <w:sz w:val="16"/>
                <w:szCs w:val="16"/>
                <w:color w:val="auto"/>
              </w:rPr>
              <w:t>X200</w:t>
            </w:r>
          </w:p>
        </w:tc>
        <w:tc>
          <w:tcPr>
            <w:tcW w:w="6820" w:type="dxa"/>
            <w:vAlign w:val="bottom"/>
            <w:gridSpan w:val="2"/>
            <w:shd w:val="clear" w:color="auto" w:fill="CFF0FC"/>
          </w:tcPr>
          <w:p>
            <w:pPr>
              <w:ind w:left="260"/>
              <w:spacing w:after="0" w:line="180" w:lineRule="exact"/>
              <w:rPr>
                <w:sz w:val="20"/>
                <w:szCs w:val="20"/>
                <w:color w:val="auto"/>
              </w:rPr>
            </w:pPr>
            <w:r>
              <w:rPr>
                <w:rFonts w:ascii="Arial" w:cs="Arial" w:eastAsia="Arial" w:hAnsi="Arial"/>
                <w:sz w:val="16"/>
                <w:szCs w:val="16"/>
                <w:color w:val="auto"/>
              </w:rPr>
              <w:t>Tracked Vehicles</w:t>
            </w:r>
          </w:p>
        </w:tc>
      </w:tr>
      <w:tr>
        <w:trPr>
          <w:trHeight w:val="188"/>
        </w:trPr>
        <w:tc>
          <w:tcPr>
            <w:tcW w:w="4080" w:type="dxa"/>
            <w:vAlign w:val="bottom"/>
          </w:tcPr>
          <w:p>
            <w:pPr>
              <w:jc w:val="center"/>
              <w:spacing w:after="0"/>
              <w:rPr>
                <w:sz w:val="20"/>
                <w:szCs w:val="20"/>
                <w:color w:val="auto"/>
              </w:rPr>
            </w:pPr>
            <w:r>
              <w:rPr>
                <w:rFonts w:ascii="Arial" w:cs="Arial" w:eastAsia="Arial" w:hAnsi="Arial"/>
                <w:sz w:val="16"/>
                <w:szCs w:val="16"/>
                <w:color w:val="auto"/>
                <w:w w:val="97"/>
              </w:rPr>
              <w:t>3040MX</w:t>
            </w: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Tracked Vehicles</w:t>
            </w:r>
          </w:p>
        </w:tc>
      </w:tr>
      <w:tr>
        <w:trPr>
          <w:trHeight w:val="188"/>
        </w:trPr>
        <w:tc>
          <w:tcPr>
            <w:tcW w:w="40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X1100</w:t>
            </w:r>
          </w:p>
        </w:tc>
        <w:tc>
          <w:tcPr>
            <w:tcW w:w="682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Tracked Vehicles</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Development and Engineering</w:t>
      </w:r>
    </w:p>
    <w:p>
      <w:pPr>
        <w:spacing w:after="0" w:line="153"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We maintain product development and engineering capability dedicated to the design, development, refinement and support of our fully-automatic transmissions and electric-hybrid and fully-electric 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transmission control software and mechanical components to optimize fuel economy while delivering desired vehicle performance.</w:t>
      </w:r>
    </w:p>
    <w:p>
      <w:pPr>
        <w:spacing w:after="0" w:line="132"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Further, we are developing new technology to improve fuel efficiency and fuel economy by allowing engines to operate more efficiently and at lower speeds to avoid consuming fuel without compromising performance. Some examples of these development efforts include the recent announcements of our first 9-speed transmission and the new uprated variant of our existing 3000 Series transmission for the On-Highway regional haul end-market. We also pioneered electric hybrid-propulsion in commercial vehicles and beginning in 2019, we announced our fully-electric propulsion solutions. Building on our existing engineering capabilities and technology acquired in 2019 we continue to enhance our existing electric hybrid-propulsion system with additional electrification features, including the ability to operate in electric-only mode for up to 10 miles. We also continue to develop and enhance new alternative technologies for use in our global commercial vehicle markets, including fully-electric centrally-located drive and electrified-axle solutions. Finally, our product development and engineering efforts also extend into our Off-Highway and Defense end-markets through initiatives to develop more efficient and higher-horsepower hydraulic fracturing transmissions, as well as new cross-drive transmissions for tracked applications. From time to time, we also acquire certain licenses to provide us with technology to complement our portfolio of products and product initiatives.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 Organization</w:t>
      </w:r>
    </w:p>
    <w:p>
      <w:pPr>
        <w:spacing w:after="0" w:line="153" w:lineRule="exact"/>
        <w:rPr>
          <w:sz w:val="20"/>
          <w:szCs w:val="20"/>
          <w:color w:val="auto"/>
        </w:rPr>
      </w:pPr>
    </w:p>
    <w:p>
      <w:pPr>
        <w:ind w:right="120" w:firstLine="531"/>
        <w:spacing w:after="0" w:line="250" w:lineRule="auto"/>
        <w:rPr>
          <w:sz w:val="20"/>
          <w:szCs w:val="20"/>
          <w:color w:val="auto"/>
        </w:rPr>
      </w:pPr>
      <w:r>
        <w:rPr>
          <w:rFonts w:ascii="Arial" w:cs="Arial" w:eastAsia="Arial" w:hAnsi="Arial"/>
          <w:sz w:val="15"/>
          <w:szCs w:val="15"/>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for our large end users, national accounts.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122" w:lineRule="exact"/>
        <w:rPr>
          <w:sz w:val="20"/>
          <w:szCs w:val="20"/>
          <w:color w:val="auto"/>
        </w:rPr>
      </w:pPr>
    </w:p>
    <w:p>
      <w:pPr>
        <w:ind w:firstLine="531"/>
        <w:spacing w:after="0" w:line="234" w:lineRule="auto"/>
        <w:rPr>
          <w:sz w:val="20"/>
          <w:szCs w:val="20"/>
          <w:color w:val="auto"/>
        </w:rPr>
      </w:pPr>
      <w:r>
        <w:rPr>
          <w:rFonts w:ascii="Arial" w:cs="Arial" w:eastAsia="Arial" w:hAnsi="Arial"/>
          <w:sz w:val="16"/>
          <w:szCs w:val="16"/>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the Indianapolis test track and our enhanced customer experience demonstration track at our Hungary facility.</w:t>
      </w:r>
    </w:p>
    <w:p>
      <w:pPr>
        <w:spacing w:after="0" w:line="131" w:lineRule="exact"/>
        <w:rPr>
          <w:sz w:val="20"/>
          <w:szCs w:val="20"/>
          <w:color w:val="auto"/>
        </w:rPr>
      </w:pPr>
    </w:p>
    <w:p>
      <w:pPr>
        <w:ind w:right="240" w:firstLine="531"/>
        <w:spacing w:after="0" w:line="237" w:lineRule="auto"/>
        <w:rPr>
          <w:sz w:val="20"/>
          <w:szCs w:val="20"/>
          <w:color w:val="auto"/>
        </w:rPr>
      </w:pPr>
      <w:r>
        <w:rPr>
          <w:rFonts w:ascii="Arial" w:cs="Arial" w:eastAsia="Arial" w:hAnsi="Arial"/>
          <w:sz w:val="16"/>
          <w:szCs w:val="16"/>
          <w:color w:val="auto"/>
        </w:rPr>
        <w:t>While our marketing management uses the term “customer” interchangeably for OEMs and end users, the primary objective of our marketing strategy is to create demand for fully-automatic transmissions and electric propulsion solutions through:</w:t>
      </w:r>
    </w:p>
    <w:p>
      <w:pPr>
        <w:spacing w:after="0" w:line="129" w:lineRule="exact"/>
        <w:rPr>
          <w:sz w:val="20"/>
          <w:szCs w:val="20"/>
          <w:color w:val="auto"/>
        </w:rPr>
      </w:pPr>
    </w:p>
    <w:p>
      <w:pPr>
        <w:ind w:left="800" w:hanging="208"/>
        <w:spacing w:after="0" w:line="237"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OEM promotion of our products and incorporation of fully-automatic transmissions and electric propulsion solutions in their commercial vehicle product offerings;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800" w:hanging="208"/>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Allison representative and/or Allison distributor contact with identified, major end users; and</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network of independent dealers who contact other end users.</w:t>
      </w:r>
    </w:p>
    <w:p>
      <w:pPr>
        <w:spacing w:after="0" w:line="145" w:lineRule="exact"/>
        <w:rPr>
          <w:sz w:val="20"/>
          <w:szCs w:val="20"/>
          <w:color w:val="auto"/>
        </w:rPr>
      </w:pPr>
    </w:p>
    <w:p>
      <w:pPr>
        <w:ind w:right="240" w:firstLine="531"/>
        <w:spacing w:after="0" w:line="237" w:lineRule="auto"/>
        <w:rPr>
          <w:sz w:val="20"/>
          <w:szCs w:val="20"/>
          <w:color w:val="auto"/>
        </w:rPr>
      </w:pPr>
      <w:r>
        <w:rPr>
          <w:rFonts w:ascii="Arial" w:cs="Arial" w:eastAsia="Arial" w:hAnsi="Arial"/>
          <w:sz w:val="16"/>
          <w:szCs w:val="16"/>
          <w:color w:val="auto"/>
        </w:rPr>
        <w:t>The process is interactive, as Allison representatives, Allison distributors, OEMs and dealers educate customers and respond to the specific applications, requirements and needs of numerous specialty markets.</w:t>
      </w:r>
    </w:p>
    <w:p>
      <w:pPr>
        <w:spacing w:after="0" w:line="129" w:lineRule="exact"/>
        <w:rPr>
          <w:sz w:val="20"/>
          <w:szCs w:val="20"/>
          <w:color w:val="auto"/>
        </w:rPr>
      </w:pPr>
    </w:p>
    <w:p>
      <w:pPr>
        <w:ind w:right="180" w:firstLine="531"/>
        <w:spacing w:after="0" w:line="233" w:lineRule="auto"/>
        <w:rPr>
          <w:sz w:val="20"/>
          <w:szCs w:val="20"/>
          <w:color w:val="auto"/>
        </w:rPr>
      </w:pPr>
      <w:r>
        <w:rPr>
          <w:rFonts w:ascii="Arial" w:cs="Arial" w:eastAsia="Arial" w:hAnsi="Arial"/>
          <w:sz w:val="16"/>
          <w:szCs w:val="16"/>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53" w:lineRule="exact"/>
        <w:rPr>
          <w:sz w:val="20"/>
          <w:szCs w:val="20"/>
          <w:color w:val="auto"/>
        </w:rPr>
      </w:pPr>
    </w:p>
    <w:p>
      <w:pPr>
        <w:ind w:right="80" w:firstLine="531"/>
        <w:spacing w:after="0" w:line="250" w:lineRule="auto"/>
        <w:rPr>
          <w:sz w:val="20"/>
          <w:szCs w:val="20"/>
          <w:color w:val="auto"/>
        </w:rPr>
      </w:pPr>
      <w:r>
        <w:rPr>
          <w:rFonts w:ascii="Arial" w:cs="Arial" w:eastAsia="Arial" w:hAnsi="Arial"/>
          <w:sz w:val="15"/>
          <w:szCs w:val="15"/>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five plants. We also have established customization and parts distribution in the United States, The Netherlands, Brazil, China, Hungary, India and Japan, and plants in Lewisburg, Tennessee, Chennai, India and Szentgotthard, Hungary. Our high volume on-highway products are produced in multiple global locations while off-highway, electric hybrid-propulsion and defense tracked products are produced in Indianapolis. In addition, our aluminum die cast components are produced in Lewisburg.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Suppliers and Raw Materials</w:t>
      </w:r>
    </w:p>
    <w:p>
      <w:pPr>
        <w:spacing w:after="0" w:line="153"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A significant amount of the part numbers that make up our transmissions and electric propulsion solutions are purchased from outside suppliers, and during 2019, we purchased approximately $899 million of direct materials and components from outside suppliers. The largest elements of our direct spending are aluminum and steel castings and forgings that are formed by our suppliers into our larger components and assemblies for use in our transmissions and electric propulsion solutions. Our spending on aluminum and steel raw materials directly and indirectly through our purchase of these components constituted approximately 12% of our direct material and component costs in 2019.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quality.</w:t>
      </w: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40"/>
          </w:cols>
          <w:pgMar w:left="240" w:top="140" w:right="3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53"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Patents, trademarks,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our proprietary information. We own and have licensing arrangements for a number of U.S. and foreign patents related to our products and business. We do not consider our business to be dependent on any single patent, nor will the expiration of any single patent materially affect our business. Our current patents will expire over various periods and we continue to file new patent applications on newly-developed technology.</w:t>
      </w:r>
    </w:p>
    <w:p>
      <w:pPr>
        <w:spacing w:after="0" w:line="130" w:lineRule="exact"/>
        <w:rPr>
          <w:sz w:val="20"/>
          <w:szCs w:val="20"/>
          <w:color w:val="auto"/>
        </w:rPr>
      </w:pPr>
    </w:p>
    <w:p>
      <w:pPr>
        <w:ind w:right="60" w:firstLine="531"/>
        <w:spacing w:after="0" w:line="250" w:lineRule="auto"/>
        <w:rPr>
          <w:sz w:val="20"/>
          <w:szCs w:val="20"/>
          <w:color w:val="auto"/>
        </w:rPr>
      </w:pPr>
      <w:r>
        <w:rPr>
          <w:rFonts w:ascii="Arial" w:cs="Arial" w:eastAsia="Arial" w:hAnsi="Arial"/>
          <w:sz w:val="15"/>
          <w:szCs w:val="15"/>
          <w:color w:val="auto"/>
        </w:rPr>
        <w:t>We have an irrevocable, royalty-free, worldwide license to a number of U.S. and foreign patents and patent applications, as well as certain unpatented technology and know-how, owned by General Motors Company (“GM”) to manufacture, use and sell fully-automatic transmissions and certain electric hybrid-propulsion systems for use in vocational and defense vehicles and off-highway products. Such licenses are subject to certain limitations. See Part I, Item 1A, “Risk Factors” of this Annual Report on Form 10-K for a discussion of these risks and limitations. We also acquired from GM an irrevocable, royalty-free, worldwide license under computer software programs that we use to run our business, including product design. In addition, GM has a license to use certain Allison trademarks.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53" w:lineRule="exact"/>
        <w:rPr>
          <w:sz w:val="20"/>
          <w:szCs w:val="20"/>
          <w:color w:val="auto"/>
        </w:rPr>
      </w:pPr>
    </w:p>
    <w:p>
      <w:pPr>
        <w:ind w:right="140" w:firstLine="531"/>
        <w:spacing w:after="0" w:line="234" w:lineRule="auto"/>
        <w:rPr>
          <w:sz w:val="20"/>
          <w:szCs w:val="20"/>
          <w:color w:val="auto"/>
        </w:rPr>
      </w:pPr>
      <w:r>
        <w:rPr>
          <w:rFonts w:ascii="Arial" w:cs="Arial" w:eastAsia="Arial" w:hAnsi="Arial"/>
          <w:sz w:val="16"/>
          <w:szCs w:val="16"/>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Working capital levels do not fluctuate significantly in the normal course for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53" w:lineRule="exact"/>
        <w:rPr>
          <w:sz w:val="20"/>
          <w:szCs w:val="20"/>
          <w:color w:val="auto"/>
        </w:rPr>
      </w:pPr>
    </w:p>
    <w:p>
      <w:pPr>
        <w:ind w:right="60" w:firstLine="531"/>
        <w:spacing w:after="0" w:line="232" w:lineRule="auto"/>
        <w:rPr>
          <w:sz w:val="20"/>
          <w:szCs w:val="20"/>
          <w:color w:val="auto"/>
        </w:rPr>
      </w:pPr>
      <w:r>
        <w:rPr>
          <w:rFonts w:ascii="Arial" w:cs="Arial" w:eastAsia="Arial" w:hAnsi="Arial"/>
          <w:sz w:val="16"/>
          <w:szCs w:val="16"/>
          <w:color w:val="auto"/>
        </w:rPr>
        <w:t>As of December 31, 2019, we had approximately 3,700 employees, with approximately 90% of those employees in the U.S. Approximately 45% of our U.S. employees are represented by the International Union, United Automobile, Aerospace and Agricultural Implement Workers of America (“UAW”) and are subject to a collective bargaining agreement. In December 2017, we entered into a six year collective bargaining agreement with UAW Local 933 that expires in November 2023. As approximately 25% of our represented employees are currently retirement eligible, we anticipate a continuing shift toward increasing the number of multi-tier employees over the coming years. There have been no strikes or work stoppages due to Allison-specific issues in over 30 years.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Compliance</w:t>
      </w:r>
    </w:p>
    <w:p>
      <w:pPr>
        <w:spacing w:after="0" w:line="153"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60" w:firstLine="531"/>
        <w:spacing w:after="0" w:line="249" w:lineRule="auto"/>
        <w:rPr>
          <w:sz w:val="20"/>
          <w:szCs w:val="20"/>
          <w:color w:val="auto"/>
        </w:rPr>
      </w:pPr>
      <w:r>
        <w:rPr>
          <w:rFonts w:ascii="Arial" w:cs="Arial" w:eastAsia="Arial" w:hAnsi="Arial"/>
          <w:sz w:val="15"/>
          <w:szCs w:val="15"/>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23"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financial results.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53"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We compete on the basis of product performance, quality, price, distribution capability and service in addition to other factors. We face competition from numerous manufacturers of various types of transmissions and propulsion solutions for commercial vehicles. Furthermore, we face an increasing amount of competition from vertical integration, as some of our customers are OEMs that manufacture transmissions and propulsion solutions for their own products. Despite their transmission and propulsion solutions manufacturing capabilities, we believe that our existing OEM customers have chosen to purchase certain transmissions and propulsion solutions from us due to the quality, reliability and strong brand of our transmissions and propulsion solutions and in order to limit fixed costs, minimize production risks and maintain company focus on commercial vehicle design, production and marketing.</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153"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(“Exchange Act”). These periodic and current reports and all amendments to those reports are available free of charge on the investor relations page of our website at http://ir.allisontransmission.com as soon as reasonably practicable after we electronically file them with, or furnish them to, the SEC. We have included our website address throughout this filing as textual references only. The information contained on, or accessible through, our website is not incorporated into this Annual Report on Form 10-K. The SEC also maintains an Internet site that contains reports, proxy and information statements, and other information regarding issuers that file electronically with the SEC at http://www.sec.gov.</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7" w:lineRule="exact"/>
        <w:rPr>
          <w:sz w:val="20"/>
          <w:szCs w:val="20"/>
          <w:color w:val="auto"/>
        </w:rPr>
      </w:pPr>
    </w:p>
    <w:p>
      <w:pPr>
        <w:jc w:val="both"/>
        <w:ind w:right="360" w:firstLine="603"/>
        <w:spacing w:after="0" w:line="242" w:lineRule="auto"/>
        <w:rPr>
          <w:sz w:val="20"/>
          <w:szCs w:val="20"/>
          <w:color w:val="auto"/>
        </w:rPr>
      </w:pPr>
      <w:r>
        <w:rPr>
          <w:rFonts w:ascii="Arial" w:cs="Arial" w:eastAsia="Arial" w:hAnsi="Arial"/>
          <w:sz w:val="16"/>
          <w:szCs w:val="16"/>
          <w:i w:val="1"/>
          <w:iCs w:val="1"/>
          <w:color w:val="auto"/>
        </w:rPr>
        <w:t>The following is a cautionary discussion of risks, uncertainties and assumptions that we believe are significant to our business. In addition to the factors discussed elsewhere in this Annual Report on Form 10-K, the following are the important factors that, individually or in the aggregate, we believe could make our actual results differ materially from those described in any forward-looking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8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We participate in markets that are competitive, and our competitors’ actions could have a material adverse effect on our business, results of operations and financial condition.</w:t>
      </w:r>
    </w:p>
    <w:p>
      <w:pPr>
        <w:spacing w:after="0" w:line="117" w:lineRule="exact"/>
        <w:rPr>
          <w:sz w:val="20"/>
          <w:szCs w:val="20"/>
          <w:color w:val="auto"/>
        </w:rPr>
      </w:pPr>
    </w:p>
    <w:p>
      <w:pPr>
        <w:ind w:right="120" w:firstLine="531"/>
        <w:spacing w:after="0" w:line="232" w:lineRule="auto"/>
        <w:rPr>
          <w:sz w:val="20"/>
          <w:szCs w:val="20"/>
          <w:color w:val="auto"/>
        </w:rPr>
      </w:pPr>
      <w:r>
        <w:rPr>
          <w:rFonts w:ascii="Arial" w:cs="Arial" w:eastAsia="Arial" w:hAnsi="Arial"/>
          <w:sz w:val="16"/>
          <w:szCs w:val="16"/>
          <w:color w:val="auto"/>
        </w:rPr>
        <w:t>Our business operates in competitive markets. We compete against other existing or new global manufacturers of transmissions and propulsion solutions for commercial vehicles on the basis of product performance, quality, price, distribution capability and service in addition to other factors. In addition, we compete with manufacturers developing alternative technologies, including fully-electric propulsion solutions, that may or may not require a transmission. In addition, subsidies offered by governmental entities continue to drive the development and adoption of various alternative technologies. Actions by our competitors could lead to downward pressure on prices and/or a decline in our market share, either or both of which could adversely affect our results.</w:t>
      </w:r>
    </w:p>
    <w:p>
      <w:pPr>
        <w:spacing w:after="0" w:line="132"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In addition, some of our customers or future customers are OEMs that manufacture or could in the future manufacture transmissions, propulsion solutions or alternate technologies, including electric propulsion solutions, for their own products. Despite their transmission manufacturing capabilities, our existing OEM customers have chosen to purchase certain transmissions and propulsion solutions from us due to customer demand, resulting from the quality of our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or propulsion solution manufacturer, the inability of third-party suppliers to meet specifications and the emergence of low-cost production opportunities in foreign countries. As a result, these OEMs may use products produced internally or by another manufacturer and no longer choose to purchase products from us. A significant reduction in the level of external sourcing by our OEM customers could significantly impact our net sales and cash flows and, accordingly, have a material adverse effect on our business, results of operations and financial condition.</w:t>
      </w:r>
    </w:p>
    <w:p>
      <w:pPr>
        <w:spacing w:after="0" w:line="160"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117"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Volatility in and disruption to the global economic environment and changes in the regulatory and business environments in which we operate may have a material adverse effect on our business, results of operations and financial condition.</w:t>
      </w:r>
    </w:p>
    <w:p>
      <w:pPr>
        <w:spacing w:after="0" w:line="117" w:lineRule="exact"/>
        <w:rPr>
          <w:sz w:val="20"/>
          <w:szCs w:val="20"/>
          <w:color w:val="auto"/>
        </w:rPr>
      </w:pPr>
    </w:p>
    <w:p>
      <w:pPr>
        <w:ind w:right="20" w:firstLine="531"/>
        <w:spacing w:after="0" w:line="230" w:lineRule="auto"/>
        <w:rPr>
          <w:sz w:val="20"/>
          <w:szCs w:val="20"/>
          <w:color w:val="auto"/>
        </w:rPr>
      </w:pPr>
      <w:r>
        <w:rPr>
          <w:rFonts w:ascii="Arial" w:cs="Arial" w:eastAsia="Arial" w:hAnsi="Arial"/>
          <w:sz w:val="16"/>
          <w:szCs w:val="16"/>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including increased trade protectionism and tariffs,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may not be successful in developing or introducing new products and technologies and responding to customer needs.</w:t>
      </w:r>
    </w:p>
    <w:p>
      <w:pPr>
        <w:spacing w:after="0" w:line="151" w:lineRule="exact"/>
        <w:rPr>
          <w:sz w:val="20"/>
          <w:szCs w:val="20"/>
          <w:color w:val="auto"/>
        </w:rPr>
      </w:pPr>
    </w:p>
    <w:p>
      <w:pPr>
        <w:ind w:firstLine="531"/>
        <w:spacing w:after="0" w:line="230" w:lineRule="auto"/>
        <w:rPr>
          <w:sz w:val="20"/>
          <w:szCs w:val="20"/>
          <w:color w:val="auto"/>
        </w:rPr>
      </w:pPr>
      <w:r>
        <w:rPr>
          <w:rFonts w:ascii="Arial" w:cs="Arial" w:eastAsia="Arial" w:hAnsi="Arial"/>
          <w:sz w:val="16"/>
          <w:szCs w:val="16"/>
          <w:color w:val="auto"/>
        </w:rPr>
        <w:t>We currently have new products and technologies under development and enhancements to our existing products and technologies, including electric-hybrid and fully-electric propulsion solutions, for planned introduction into certain end markets. The development of new products and technologies is difficult and the timetable for commercial release is uncertain. Not all of our new product launches have been successful, and we may not be successful in the future in introducing other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Given the early stages of development of some of these new products and technologies, there can be no guarantee of future market acceptance and investment returns with respect to these products. In addition, the increased adoption of electric propulsion solutions could result in lower demand for our fully-automatic transmissions and, over time, the demand for related service parts and support equipment. If we do not adequately anticipate the changing needs of our customers by developing and introducing new and effective products and technologies on a timely basis, or if the products and technologies we develop do not become market-leading, our competitive position and prospects could be harmed. If our competitors are able to respond to changing market demands and adopt new technologies more quickly than we do, demand for our products could decline, our competitive position could be harmed, our future research and development activities may be constrained due to intellectual property rights of others and we may not be able to recoup a return on our development investments. Moreover, changing customer demands as well as evolving regulatory,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or increased costs in the production, launch or acceptance of our products and technologies, our net sales and results of operations may be materially adversely affected.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jc w:val="both"/>
        <w:ind w:left="400"/>
        <w:spacing w:after="0" w:line="243" w:lineRule="auto"/>
        <w:rPr>
          <w:sz w:val="20"/>
          <w:szCs w:val="20"/>
          <w:color w:val="auto"/>
        </w:rPr>
      </w:pPr>
      <w:r>
        <w:rPr>
          <w:rFonts w:ascii="Arial" w:cs="Arial" w:eastAsia="Arial" w:hAnsi="Arial"/>
          <w:sz w:val="16"/>
          <w:szCs w:val="16"/>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 adverse effect on our results of operations and financial condition.</w:t>
      </w:r>
    </w:p>
    <w:p>
      <w:pPr>
        <w:spacing w:after="0" w:line="128"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We have in the past and may in the future derive a significant portion of our net sales from a relatively limited number of OEM customers. For the years ended December 31, 2019, 2018 and 2017, our top five OEM customers accounted for approximately 54%, 49% and 49% of our net sales, respectively. Our top three customers, Daimler AG, PACCAR Inc. and Navistar International Corporation accounted for approximately 20%, 12% and 11%, respectively, of our net sales during 2019.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success depends on continued research and development efforts, the outcome of which is uncertain.</w:t>
      </w:r>
    </w:p>
    <w:p>
      <w:pPr>
        <w:spacing w:after="0" w:line="151" w:lineRule="exact"/>
        <w:rPr>
          <w:sz w:val="20"/>
          <w:szCs w:val="20"/>
          <w:color w:val="auto"/>
        </w:rPr>
      </w:pPr>
    </w:p>
    <w:p>
      <w:pPr>
        <w:ind w:right="80" w:firstLine="531"/>
        <w:spacing w:after="0" w:line="232" w:lineRule="auto"/>
        <w:rPr>
          <w:sz w:val="20"/>
          <w:szCs w:val="20"/>
          <w:color w:val="auto"/>
        </w:rPr>
      </w:pPr>
      <w:r>
        <w:rPr>
          <w:rFonts w:ascii="Arial" w:cs="Arial" w:eastAsia="Arial" w:hAnsi="Arial"/>
          <w:sz w:val="16"/>
          <w:szCs w:val="16"/>
          <w:color w:val="auto"/>
        </w:rPr>
        <w:t>Our success depends on our ability to improve the efficiency and performance of our products,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and changes in transmission-related or vehicle propulsion technology of our competitors, and licenses for technologies that would enable us to keep pace with our competitors may not be available on commercially reasonable terms if at all. Finally, our research and development efforts, and generally our ability to introduce improved or new products in the marketplace, may be constrained by the patents and other intellectual property rights of competitors and others.</w:t>
      </w:r>
    </w:p>
    <w:p>
      <w:pPr>
        <w:spacing w:after="0" w:line="159" w:lineRule="exact"/>
        <w:rPr>
          <w:sz w:val="20"/>
          <w:szCs w:val="20"/>
          <w:color w:val="auto"/>
        </w:rPr>
      </w:pPr>
    </w:p>
    <w:p>
      <w:pPr>
        <w:ind w:left="400" w:right="20"/>
        <w:spacing w:after="0" w:line="257" w:lineRule="auto"/>
        <w:rPr>
          <w:sz w:val="20"/>
          <w:szCs w:val="20"/>
          <w:color w:val="auto"/>
        </w:rPr>
      </w:pPr>
      <w:r>
        <w:rPr>
          <w:rFonts w:ascii="Arial" w:cs="Arial" w:eastAsia="Arial" w:hAnsi="Arial"/>
          <w:sz w:val="16"/>
          <w:szCs w:val="16"/>
          <w:b w:val="1"/>
          <w:bCs w:val="1"/>
          <w:i w:val="1"/>
          <w:iCs w:val="1"/>
          <w:color w:val="auto"/>
        </w:rPr>
        <w:t>We may not be able to identify or consummate acquisitions or achieve expected benefits from or effectively integrate acquisitions, which could harm our growth.</w:t>
      </w:r>
    </w:p>
    <w:p>
      <w:pPr>
        <w:spacing w:after="0" w:line="117" w:lineRule="exact"/>
        <w:rPr>
          <w:sz w:val="20"/>
          <w:szCs w:val="20"/>
          <w:color w:val="auto"/>
        </w:rPr>
      </w:pPr>
    </w:p>
    <w:p>
      <w:pPr>
        <w:ind w:right="220" w:firstLine="531"/>
        <w:spacing w:after="0" w:line="237" w:lineRule="auto"/>
        <w:rPr>
          <w:sz w:val="20"/>
          <w:szCs w:val="20"/>
          <w:color w:val="auto"/>
        </w:rPr>
      </w:pPr>
      <w:r>
        <w:rPr>
          <w:rFonts w:ascii="Arial" w:cs="Arial" w:eastAsia="Arial" w:hAnsi="Arial"/>
          <w:sz w:val="16"/>
          <w:szCs w:val="16"/>
          <w:color w:val="auto"/>
        </w:rPr>
        <w:t>From time to time we evaluate selective acquisitions and strategic investments. Potential and completed acquisitions involve many risks that could have an adverse effect on our business, financial condition or results of operations, including:</w:t>
      </w:r>
    </w:p>
    <w:p>
      <w:pPr>
        <w:spacing w:after="0" w:line="129" w:lineRule="exact"/>
        <w:rPr>
          <w:sz w:val="20"/>
          <w:szCs w:val="20"/>
          <w:color w:val="auto"/>
        </w:rPr>
      </w:pPr>
    </w:p>
    <w:p>
      <w:pPr>
        <w:ind w:left="800" w:hanging="208"/>
        <w:spacing w:after="0" w:line="229"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identify suitable acquisition candidates, prevail against competing potential acquirers and negotiate and consummate acquisitions on terms attractive to us;</w:t>
      </w:r>
    </w:p>
    <w:p>
      <w:pPr>
        <w:jc w:val="both"/>
        <w:ind w:left="800" w:right="20" w:hanging="208"/>
        <w:spacing w:after="0" w:line="229"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in integrating personnel and sales forces, operations, manufacturing, logistics, research and development, information technology, communications, purchasing, accounting, marketing, administration and other systems and processes and otherwise assimilating the operations of the acquired company;</w:t>
      </w:r>
    </w:p>
    <w:p>
      <w:pPr>
        <w:spacing w:after="0" w:line="1"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diversion of resources, including diverting management’s attention from our current operations;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of entering new geographic or product markets in which we have limited or no direct prior experience;</w:t>
      </w:r>
    </w:p>
    <w:p>
      <w:pPr>
        <w:spacing w:after="0" w:line="3" w:lineRule="exact"/>
        <w:rPr>
          <w:rFonts w:ascii="Arial" w:cs="Arial" w:eastAsia="Arial" w:hAnsi="Arial"/>
          <w:sz w:val="16"/>
          <w:szCs w:val="16"/>
          <w:color w:val="auto"/>
        </w:rPr>
      </w:pPr>
    </w:p>
    <w:p>
      <w:pPr>
        <w:ind w:left="800" w:right="20" w:hanging="208"/>
        <w:spacing w:after="0" w:line="229"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loss of key customers, employees or suppliers of the acquired company or adverse effects on our existing business relationships with our suppliers and customers;</w:t>
      </w: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potential incurrence of indebtedness to fund the acquisition;</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acquired business not achieving anticipated revenues, earnings, cash flow or market share;</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excess capacity;</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failure to achieve the expected synergies or cost savings resulting from the acquisition;</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need for additional investments post-acquisition that could be greater than anticipated;</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U.S. and foreign competition laws and regulations on our ability to make certain acquisitions;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w:t>
      </w:r>
    </w:p>
    <w:p>
      <w:pPr>
        <w:spacing w:after="0" w:line="3" w:lineRule="exact"/>
        <w:rPr>
          <w:rFonts w:ascii="Arial" w:cs="Arial" w:eastAsia="Arial" w:hAnsi="Arial"/>
          <w:sz w:val="16"/>
          <w:szCs w:val="16"/>
          <w:color w:val="auto"/>
        </w:rPr>
      </w:pPr>
    </w:p>
    <w:p>
      <w:pPr>
        <w:ind w:left="800" w:hanging="208"/>
        <w:spacing w:after="0" w:line="237"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incorrect estimates made in accounting for acquisitions, incurrence of non-recurring charges and write-off of significant amounts of goodwill that could adversely affect our financial results; 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800" w:hanging="208"/>
        <w:spacing w:after="0"/>
        <w:tabs>
          <w:tab w:leader="none" w:pos="8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dilution of earnings.</w:t>
      </w:r>
    </w:p>
    <w:p>
      <w:pPr>
        <w:spacing w:after="0" w:line="274" w:lineRule="exact"/>
        <w:rPr>
          <w:sz w:val="20"/>
          <w:szCs w:val="20"/>
          <w:color w:val="auto"/>
        </w:rPr>
      </w:pPr>
    </w:p>
    <w:p>
      <w:pPr>
        <w:ind w:right="20" w:firstLine="531"/>
        <w:spacing w:after="0" w:line="233" w:lineRule="auto"/>
        <w:rPr>
          <w:sz w:val="20"/>
          <w:szCs w:val="20"/>
          <w:color w:val="auto"/>
        </w:rPr>
      </w:pPr>
      <w:r>
        <w:rPr>
          <w:rFonts w:ascii="Arial" w:cs="Arial" w:eastAsia="Arial" w:hAnsi="Arial"/>
          <w:sz w:val="16"/>
          <w:szCs w:val="16"/>
          <w:color w:val="auto"/>
        </w:rPr>
        <w:t>We may also face liability with respect to acquired businesses for violations of environmental or other laws occurring prior to the date of our acquisition, and some or all of these liabilities may not be covered by environmental or other insurance secured to mitigate the risk or by indemnification from the sellers from which we acquired these businesses. We could also incur significant costs, including, but not limited to, remediation costs, natural resources damages, civil or criminal fines and sanctions and third-party claims, as a result of past or future violations of, or liabilities associated with, environmental or other laws.</w:t>
      </w:r>
    </w:p>
    <w:p>
      <w:pPr>
        <w:spacing w:after="0" w:line="130" w:lineRule="exact"/>
        <w:rPr>
          <w:sz w:val="20"/>
          <w:szCs w:val="20"/>
          <w:color w:val="auto"/>
        </w:rPr>
      </w:pPr>
    </w:p>
    <w:p>
      <w:pPr>
        <w:ind w:right="200" w:firstLine="531"/>
        <w:spacing w:after="0" w:line="234" w:lineRule="auto"/>
        <w:rPr>
          <w:sz w:val="20"/>
          <w:szCs w:val="20"/>
          <w:color w:val="auto"/>
        </w:rPr>
      </w:pPr>
      <w:r>
        <w:rPr>
          <w:rFonts w:ascii="Arial" w:cs="Arial" w:eastAsia="Arial" w:hAnsi="Arial"/>
          <w:sz w:val="16"/>
          <w:szCs w:val="16"/>
          <w:color w:val="auto"/>
        </w:rPr>
        <w:t>We cannot offer any assurance that we will be able to consummate any future acquisitions, strategic investments or other business combinations. If we are unable to identify suitable acquisition candidates or to consummate and successfully integrate our recent and any future acquisitions, our business and results of operations may be adversely affected as a result.</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Increases in cost, disruption of supply or shortage of raw materials or components used in our products could harm our business and profitability.</w:t>
      </w:r>
    </w:p>
    <w:p>
      <w:pPr>
        <w:spacing w:after="0" w:line="162"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33" w:lineRule="exact"/>
        <w:rPr>
          <w:sz w:val="20"/>
          <w:szCs w:val="20"/>
          <w:color w:val="auto"/>
        </w:rPr>
      </w:pPr>
    </w:p>
    <w:p>
      <w:pPr>
        <w:ind w:right="20" w:firstLine="531"/>
        <w:spacing w:after="0" w:line="230" w:lineRule="auto"/>
        <w:rPr>
          <w:sz w:val="20"/>
          <w:szCs w:val="20"/>
          <w:color w:val="auto"/>
        </w:rPr>
      </w:pPr>
      <w:r>
        <w:rPr>
          <w:rFonts w:ascii="Arial" w:cs="Arial" w:eastAsia="Arial" w:hAnsi="Arial"/>
          <w:sz w:val="16"/>
          <w:szCs w:val="16"/>
          <w:color w:val="auto"/>
        </w:rPr>
        <w:t>In 2019, approximately 75% of our total spending on components was sourced from approximately 40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which could increase our risk of purchasing non-conforming components.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public health crisis such as pandemics and epidemics or the like could negatively impact our business, results of operations and financial condition. Although we have agreements with many of our customers that we will pass such price increases through to them, such contracts may be canceled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could be materially adversely affected by any failure to maintain cost controls.</w:t>
      </w:r>
    </w:p>
    <w:p>
      <w:pPr>
        <w:spacing w:after="0" w:line="151"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We rely on our cost structure and operating discipline to achieve strong operating margins. There are many factors that could affect our ability to realize expected cost savings or achieve future cost savings that we are not able to control, including the need for unexpected significant capital expenditures; unexpected changes in commodity or component pricing, including an increase in export or import tariffs, that we are unable to pass on to our suppliers or customers; labor costs, including wages, benefits and healthcare; cost inflation; and our inability to maintain efficiencies gained from our workforce optimization initiatives. Additionally, we have substantial indebtedness of approximately $2,544 million as of December 31, 2019. Our inability to maintain our cost controls could adversely impact our operating margins.</w:t>
      </w:r>
    </w:p>
    <w:p>
      <w:pPr>
        <w:spacing w:after="0" w:line="159"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117" w:lineRule="exact"/>
        <w:rPr>
          <w:sz w:val="20"/>
          <w:szCs w:val="20"/>
          <w:color w:val="auto"/>
        </w:rPr>
      </w:pPr>
    </w:p>
    <w:p>
      <w:pPr>
        <w:ind w:right="60" w:firstLine="531"/>
        <w:spacing w:after="0" w:line="231" w:lineRule="auto"/>
        <w:rPr>
          <w:sz w:val="20"/>
          <w:szCs w:val="20"/>
          <w:color w:val="auto"/>
        </w:rPr>
      </w:pPr>
      <w:r>
        <w:rPr>
          <w:rFonts w:ascii="Arial" w:cs="Arial" w:eastAsia="Arial" w:hAnsi="Arial"/>
          <w:sz w:val="16"/>
          <w:szCs w:val="16"/>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electric propulsion solutions, and other alternative transmission and propulsion solution technologies and failure to further develop the Allison brand. If the rate of adoption of fully-automatic transmissions does not increase as we have anticipated, our long-term growth prospects and results of operations may be impaired.</w:t>
      </w:r>
    </w:p>
    <w:p>
      <w:pPr>
        <w:spacing w:after="0" w:line="161" w:lineRule="exact"/>
        <w:rPr>
          <w:sz w:val="20"/>
          <w:szCs w:val="20"/>
          <w:color w:val="auto"/>
        </w:rPr>
      </w:pPr>
    </w:p>
    <w:p>
      <w:pPr>
        <w:jc w:val="both"/>
        <w:ind w:left="400"/>
        <w:spacing w:after="0" w:line="243" w:lineRule="auto"/>
        <w:rPr>
          <w:sz w:val="20"/>
          <w:szCs w:val="20"/>
          <w:color w:val="auto"/>
        </w:rPr>
      </w:pPr>
      <w:r>
        <w:rPr>
          <w:rFonts w:ascii="Arial" w:cs="Arial" w:eastAsia="Arial" w:hAnsi="Arial"/>
          <w:sz w:val="16"/>
          <w:szCs w:val="16"/>
          <w:b w:val="1"/>
          <w:bCs w:val="1"/>
          <w:i w:val="1"/>
          <w:iCs w:val="1"/>
          <w:color w:val="auto"/>
        </w:rPr>
        <w:t>Our sales to the Defense end market are to government entities and contractors for the U.S. and foreign governments, and the loss of a significant number of our contracts, or budgetary declines or future reductions or changes in spending by the U.S. or foreign governments could have a material adverse effect on our results of operations and financial condition.</w:t>
      </w:r>
    </w:p>
    <w:p>
      <w:pPr>
        <w:spacing w:after="0" w:line="128" w:lineRule="exact"/>
        <w:rPr>
          <w:sz w:val="20"/>
          <w:szCs w:val="20"/>
          <w:color w:val="auto"/>
        </w:rPr>
      </w:pPr>
    </w:p>
    <w:p>
      <w:pPr>
        <w:ind w:right="140" w:firstLine="531"/>
        <w:spacing w:after="0" w:line="233" w:lineRule="auto"/>
        <w:rPr>
          <w:sz w:val="20"/>
          <w:szCs w:val="20"/>
          <w:color w:val="auto"/>
        </w:rPr>
      </w:pPr>
      <w:r>
        <w:rPr>
          <w:rFonts w:ascii="Arial" w:cs="Arial" w:eastAsia="Arial" w:hAnsi="Arial"/>
          <w:sz w:val="16"/>
          <w:szCs w:val="16"/>
          <w:color w:val="auto"/>
        </w:rPr>
        <w:t>Our net sales to the Defense end market are derived from contracts (revenue arrangements) with agencies of, and prime system contractors for, the U.S. government and foreign governments. If a significant number of our Defense contracts and subcontracts are simultaneously delayed or cancelled for budgetary, performance or other reasons, it would have a material adverse effect on our results of operations and financial condition. Approximately 6%, or $151 million, of our net sales for the year ended December 31, 2019 were from our Defense end market.</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future financial results may be adversely affected by:</w:t>
      </w:r>
    </w:p>
    <w:p>
      <w:pPr>
        <w:spacing w:after="0" w:line="133" w:lineRule="exact"/>
        <w:rPr>
          <w:sz w:val="20"/>
          <w:szCs w:val="20"/>
          <w:color w:val="auto"/>
        </w:rPr>
      </w:pPr>
    </w:p>
    <w:p>
      <w:pPr>
        <w:ind w:left="800" w:hanging="208"/>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declines in, or uncertainty regarding, U.S. or foreign government defense budgets;</w:t>
      </w:r>
    </w:p>
    <w:p>
      <w:pPr>
        <w:spacing w:after="0" w:line="3" w:lineRule="exact"/>
        <w:rPr>
          <w:rFonts w:ascii="Arial" w:cs="Arial" w:eastAsia="Arial" w:hAnsi="Arial"/>
          <w:sz w:val="16"/>
          <w:szCs w:val="16"/>
          <w:color w:val="auto"/>
        </w:rPr>
      </w:pPr>
    </w:p>
    <w:p>
      <w:pPr>
        <w:ind w:left="800" w:right="700" w:hanging="208"/>
        <w:spacing w:after="0" w:line="229"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curtailment of the U.S. government’s use of technology or other services and product providers, including curtailment due to government budget reductions, future government shutdowns and related fiscal matters;</w:t>
      </w:r>
    </w:p>
    <w:p>
      <w:pPr>
        <w:ind w:left="800" w:hanging="208"/>
        <w:spacing w:after="0"/>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geopolitical developments, including economic sanctions, that affect demand for our products and services; and</w:t>
      </w:r>
    </w:p>
    <w:p>
      <w:pPr>
        <w:spacing w:after="0" w:line="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technological developments that impact purchasing decisions or our competitive position.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117" w:lineRule="exact"/>
        <w:rPr>
          <w:sz w:val="20"/>
          <w:szCs w:val="20"/>
          <w:color w:val="auto"/>
        </w:rPr>
      </w:pPr>
    </w:p>
    <w:p>
      <w:pPr>
        <w:ind w:right="80" w:firstLine="531"/>
        <w:spacing w:after="0" w:line="232" w:lineRule="auto"/>
        <w:rPr>
          <w:sz w:val="20"/>
          <w:szCs w:val="20"/>
          <w:color w:val="auto"/>
        </w:rPr>
      </w:pPr>
      <w:r>
        <w:rPr>
          <w:rFonts w:ascii="Arial" w:cs="Arial" w:eastAsia="Arial" w:hAnsi="Arial"/>
          <w:sz w:val="16"/>
          <w:szCs w:val="16"/>
          <w:color w:val="auto"/>
        </w:rPr>
        <w:t>Our business is subject to certain risks associated with doing business internationally, particularly in emerging markets. Outside-North America net sales represented approximately 23% of our net sales for 2019. Most of our operations are in the U.S., but we also have manufacturing and customization facilities in India and Hungary with a services agreement with Opel Szentgotthard Automotive Manufacturing Ltd.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132" w:lineRule="exact"/>
        <w:rPr>
          <w:sz w:val="20"/>
          <w:szCs w:val="20"/>
          <w:color w:val="auto"/>
        </w:rPr>
      </w:pPr>
    </w:p>
    <w:p>
      <w:pPr>
        <w:ind w:left="800" w:hanging="20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burden of complying with multiple and possibly conflicting laws and any unexpected changes in regulatory requirements;</w:t>
      </w:r>
    </w:p>
    <w:p>
      <w:pPr>
        <w:spacing w:after="0" w:line="3" w:lineRule="exact"/>
        <w:rPr>
          <w:rFonts w:ascii="Arial" w:cs="Arial" w:eastAsia="Arial" w:hAnsi="Arial"/>
          <w:sz w:val="16"/>
          <w:szCs w:val="16"/>
          <w:color w:val="auto"/>
        </w:rPr>
      </w:pPr>
    </w:p>
    <w:p>
      <w:pPr>
        <w:ind w:left="800" w:right="40" w:hanging="208"/>
        <w:spacing w:after="0" w:line="22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foreign currency exchange controls, sanctions, import and export restrictions and tariffs, including restrictions promulgated by the Office of Foreign Assets Control of the U.S. Department of the Treasury, and other trade protection regulations and measures;</w:t>
      </w:r>
    </w:p>
    <w:p>
      <w:pPr>
        <w:ind w:left="800" w:right="500" w:hanging="208"/>
        <w:spacing w:after="0" w:line="22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political risks, including increased trade protectionism and risks of loss due to civil disturbances, acts of terrorism, acts of war, guerilla activities and insurrection;</w:t>
      </w:r>
    </w:p>
    <w:p>
      <w:pPr>
        <w:ind w:left="800" w:hanging="20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unstable economic, financial and market conditions and increased expenses as a result of inflation or higher interest rates;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difficulties in enforcement of third-party contractual obligations and intellectual property rights and collecting receivables through foreign legal systems;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difficulty in staffing and managing international operations and the application of foreign labor regulations;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differing local product preferences and product requirements;</w:t>
      </w:r>
    </w:p>
    <w:p>
      <w:pPr>
        <w:spacing w:after="0" w:line="3" w:lineRule="exact"/>
        <w:rPr>
          <w:rFonts w:ascii="Arial" w:cs="Arial" w:eastAsia="Arial" w:hAnsi="Arial"/>
          <w:sz w:val="16"/>
          <w:szCs w:val="16"/>
          <w:color w:val="auto"/>
        </w:rPr>
      </w:pPr>
    </w:p>
    <w:p>
      <w:pPr>
        <w:ind w:left="800" w:right="200" w:hanging="208"/>
        <w:spacing w:after="0" w:line="22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fluctuations in currency exchange rates to the extent that our assets or liabilities are denominated in a currency other than the functional currency of the country where we operate;</w:t>
      </w:r>
    </w:p>
    <w:p>
      <w:pPr>
        <w:ind w:left="800" w:right="600" w:hanging="208"/>
        <w:spacing w:after="0" w:line="22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potentially adverse tax consequences from changes in tax laws, requirements relating to withholding taxes on remittances and other payments by subsidiaries and restrictions on our ability to repatriate dividends from our subsidiaries; and</w:t>
      </w:r>
    </w:p>
    <w:p>
      <w:pPr>
        <w:ind w:left="800" w:right="240" w:hanging="208"/>
        <w:spacing w:after="0" w:line="237"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(“FCPA”) and similar laws and regulations in other jurisdictions.</w:t>
      </w:r>
    </w:p>
    <w:p>
      <w:pPr>
        <w:spacing w:after="0" w:line="259" w:lineRule="exact"/>
        <w:rPr>
          <w:sz w:val="20"/>
          <w:szCs w:val="20"/>
          <w:color w:val="auto"/>
        </w:rPr>
      </w:pPr>
    </w:p>
    <w:p>
      <w:pPr>
        <w:ind w:right="340" w:firstLine="531"/>
        <w:spacing w:after="0" w:line="237" w:lineRule="auto"/>
        <w:rPr>
          <w:sz w:val="20"/>
          <w:szCs w:val="20"/>
          <w:color w:val="auto"/>
        </w:rPr>
      </w:pPr>
      <w:r>
        <w:rPr>
          <w:rFonts w:ascii="Arial" w:cs="Arial" w:eastAsia="Arial" w:hAnsi="Arial"/>
          <w:sz w:val="16"/>
          <w:szCs w:val="16"/>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158" w:lineRule="exact"/>
        <w:rPr>
          <w:sz w:val="20"/>
          <w:szCs w:val="20"/>
          <w:color w:val="auto"/>
        </w:rPr>
      </w:pPr>
    </w:p>
    <w:p>
      <w:pPr>
        <w:ind w:left="400" w:right="20"/>
        <w:spacing w:after="0" w:line="257" w:lineRule="auto"/>
        <w:rPr>
          <w:sz w:val="20"/>
          <w:szCs w:val="20"/>
          <w:color w:val="auto"/>
        </w:rPr>
      </w:pPr>
      <w:r>
        <w:rPr>
          <w:rFonts w:ascii="Arial" w:cs="Arial" w:eastAsia="Arial" w:hAnsi="Arial"/>
          <w:sz w:val="16"/>
          <w:szCs w:val="16"/>
          <w:b w:val="1"/>
          <w:bCs w:val="1"/>
          <w:i w:val="1"/>
          <w:iCs w:val="1"/>
          <w:color w:val="auto"/>
        </w:rPr>
        <w:t>Our international operations require us to comply with anti-corruption laws and regulations of the U.S. government and various international jurisdictions.</w:t>
      </w:r>
    </w:p>
    <w:p>
      <w:pPr>
        <w:spacing w:after="0" w:line="117"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60"/>
        <w:spacing w:after="0" w:line="232" w:lineRule="auto"/>
        <w:rPr>
          <w:sz w:val="20"/>
          <w:szCs w:val="20"/>
          <w:color w:val="auto"/>
        </w:rPr>
      </w:pPr>
      <w:r>
        <w:rPr>
          <w:rFonts w:ascii="Arial" w:cs="Arial" w:eastAsia="Arial" w:hAnsi="Arial"/>
          <w:sz w:val="16"/>
          <w:szCs w:val="16"/>
          <w:color w:val="auto"/>
        </w:rPr>
        <w:t>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legal requirements, which could adversely affect our reputation, business, financial condition and results of operations.</w:t>
      </w:r>
    </w:p>
    <w:p>
      <w:pPr>
        <w:spacing w:after="0" w:line="160"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17"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10 “Product Warranty Liabilities” of Notes to Consolidated Financial Statements included in Part II, Item 8 of this Annual Report on Form 10-K for additional details regarding these warranty issues.</w:t>
      </w:r>
    </w:p>
    <w:p>
      <w:pPr>
        <w:spacing w:after="0" w:line="131" w:lineRule="exact"/>
        <w:rPr>
          <w:sz w:val="20"/>
          <w:szCs w:val="20"/>
          <w:color w:val="auto"/>
        </w:rPr>
      </w:pPr>
    </w:p>
    <w:p>
      <w:pPr>
        <w:ind w:right="20" w:firstLine="531"/>
        <w:spacing w:after="0" w:line="250" w:lineRule="auto"/>
        <w:rPr>
          <w:sz w:val="20"/>
          <w:szCs w:val="20"/>
          <w:color w:val="auto"/>
        </w:rPr>
      </w:pPr>
      <w:r>
        <w:rPr>
          <w:rFonts w:ascii="Arial" w:cs="Arial" w:eastAsia="Arial" w:hAnsi="Arial"/>
          <w:sz w:val="15"/>
          <w:szCs w:val="15"/>
          <w:color w:val="auto"/>
        </w:rPr>
        <w:t>Furthermore, our business depends on the strong brand reputation we believe we have developed. In addition to the risk of defective products, we also face significant risks in our efforts to penetrate new markets, where we have limited brand recognition. We also rely on our reputation with end users of our products to specify our products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122" w:lineRule="exact"/>
        <w:rPr>
          <w:sz w:val="20"/>
          <w:szCs w:val="20"/>
          <w:color w:val="auto"/>
        </w:rPr>
      </w:pPr>
    </w:p>
    <w:p>
      <w:pPr>
        <w:ind w:right="80" w:firstLine="531"/>
        <w:spacing w:after="0" w:line="234" w:lineRule="auto"/>
        <w:rPr>
          <w:sz w:val="20"/>
          <w:szCs w:val="20"/>
          <w:color w:val="auto"/>
        </w:rPr>
      </w:pPr>
      <w:r>
        <w:rPr>
          <w:rFonts w:ascii="Arial" w:cs="Arial" w:eastAsia="Arial" w:hAnsi="Arial"/>
          <w:sz w:val="16"/>
          <w:szCs w:val="16"/>
          <w:color w:val="auto"/>
        </w:rPr>
        <w:t>Additionally, we license the “Allison Transmission” name and certain related trademarks to third parties. If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Our brand and reputation are dependent on the continued participation and level of service of our numerous independent distributors and dealers.</w:t>
      </w:r>
    </w:p>
    <w:p>
      <w:pPr>
        <w:spacing w:after="0" w:line="162"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We work with a network of approximately 1,500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right="20"/>
        <w:spacing w:after="0" w:line="257" w:lineRule="auto"/>
        <w:rPr>
          <w:sz w:val="20"/>
          <w:szCs w:val="20"/>
          <w:color w:val="auto"/>
        </w:rPr>
      </w:pPr>
      <w:r>
        <w:rPr>
          <w:rFonts w:ascii="Arial" w:cs="Arial" w:eastAsia="Arial" w:hAnsi="Arial"/>
          <w:sz w:val="16"/>
          <w:szCs w:val="16"/>
          <w:b w:val="1"/>
          <w:bCs w:val="1"/>
          <w:i w:val="1"/>
          <w:iCs w:val="1"/>
          <w:color w:val="auto"/>
        </w:rPr>
        <w:t>We are subject to cybersecurity risks to operational systems, security systems, or infrastructure owned by Allison or third-party vendors or suppliers.</w:t>
      </w:r>
    </w:p>
    <w:p>
      <w:pPr>
        <w:spacing w:after="0" w:line="117" w:lineRule="exact"/>
        <w:rPr>
          <w:sz w:val="20"/>
          <w:szCs w:val="20"/>
          <w:color w:val="auto"/>
        </w:rPr>
      </w:pPr>
    </w:p>
    <w:p>
      <w:pPr>
        <w:ind w:right="100" w:firstLine="531"/>
        <w:spacing w:after="0" w:line="230" w:lineRule="auto"/>
        <w:rPr>
          <w:sz w:val="20"/>
          <w:szCs w:val="20"/>
          <w:color w:val="auto"/>
        </w:rPr>
      </w:pPr>
      <w:r>
        <w:rPr>
          <w:rFonts w:ascii="Arial" w:cs="Arial" w:eastAsia="Arial" w:hAnsi="Arial"/>
          <w:sz w:val="16"/>
          <w:szCs w:val="16"/>
          <w:color w:val="auto"/>
        </w:rPr>
        <w:t>We are at risk for interruptions, outages, and breaches of: (i) operational systems, including business, financial, accounting, product development, data processing, or manufacturing processes, owned by us or our third-party vendors or suppliers; (ii) facility security systems, owned by us or our third-party vendors or suppliers; and/or (iii) transmission control modules or other in-product technology, owned by us or our third-party vendors or suppliers. Such cyber incidents could materially disrupt operational systems; result in loss of intellectual property, trade secrets or other proprietary or competitively sensitive information; compromise personally identifiable information of employees, customers, suppliers, or others; jeopardize the security of our facilities; and/or affect the performance of transmission control modules or other in-product technology. A cyber incident could be caused by malicious third parties using sophisticated, targeted methods to circumvent firewalls, encryption, and other security defenses, including hacking, fraud, trickery, or other forms of deception. The techniques used by third parties change frequently and may be difficult to detect for long periods of time. A significant cyber incident could impact production capability, harm our reputation and/or subject us to regulatory actions or litigation, any of which could materially affect our business, results of operations and financial condition. While we utilize a number of measures to prevent, detect and mitigate these threats, including employee education, monitoring of networks and systems, and maintenance of backup and protective systems, there is no guarantee such efforts will be successful in preventing a cyber incident.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In the event of a catastrophic loss of our key manufacturing facility, our business would be adversely affected.</w:t>
      </w:r>
    </w:p>
    <w:p>
      <w:pPr>
        <w:spacing w:after="0" w:line="151" w:lineRule="exact"/>
        <w:rPr>
          <w:sz w:val="20"/>
          <w:szCs w:val="20"/>
          <w:color w:val="auto"/>
        </w:rPr>
      </w:pPr>
    </w:p>
    <w:p>
      <w:pPr>
        <w:ind w:firstLine="531"/>
        <w:spacing w:after="0" w:line="247" w:lineRule="auto"/>
        <w:rPr>
          <w:sz w:val="20"/>
          <w:szCs w:val="20"/>
          <w:color w:val="auto"/>
        </w:rPr>
      </w:pPr>
      <w:r>
        <w:rPr>
          <w:rFonts w:ascii="Arial" w:cs="Arial" w:eastAsia="Arial" w:hAnsi="Arial"/>
          <w:sz w:val="15"/>
          <w:szCs w:val="15"/>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public health crisis, such as pandemics and epidemics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for our transmissions in both Szentgotthard, Hungary and Chennai, India and aluminum die cast components in Lewisburg, Tennessee.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117"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GM has granted us an irrevocable, perpetual, royalty-free, worldwide license under a large number of U.S. and foreign patents and patent applications, as well as certain unpatented technology and know-how, to design, develop, manufacture, use and sell fully-automatic transmissions and electric-hybrid propulsion solution for use in certain vocational vehicles, defense vehicles and off-road products. With respect to the bulk of the intellectual property licensed to us, our license is exclusive with respect to the design, development, manufacture, use and sale of fully-automatic transmissions and electric-hybrid propulsion solution in vocational vehicles above certain weight rating thresholds, certain defense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GM has the right, in the first instance, to control the maintenance, enforcement and defense of such patents and the prosecution of the licensed patent applications. In addition, our ability to sublicense our rights is limited.</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We rely on unpatented technology, which exposes us to certain risks.</w:t>
      </w:r>
    </w:p>
    <w:p>
      <w:pPr>
        <w:spacing w:after="0" w:line="151" w:lineRule="exact"/>
        <w:rPr>
          <w:sz w:val="20"/>
          <w:szCs w:val="20"/>
          <w:color w:val="auto"/>
        </w:rPr>
      </w:pPr>
    </w:p>
    <w:p>
      <w:pPr>
        <w:ind w:right="240" w:firstLine="531"/>
        <w:spacing w:after="0" w:line="234"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31" w:lineRule="exact"/>
        <w:rPr>
          <w:sz w:val="20"/>
          <w:szCs w:val="20"/>
          <w:color w:val="auto"/>
        </w:rPr>
      </w:pPr>
    </w:p>
    <w:p>
      <w:pPr>
        <w:ind w:right="40" w:firstLine="531"/>
        <w:spacing w:after="0" w:line="230" w:lineRule="auto"/>
        <w:rPr>
          <w:sz w:val="20"/>
          <w:szCs w:val="20"/>
          <w:color w:val="auto"/>
        </w:rPr>
      </w:pPr>
      <w:r>
        <w:rPr>
          <w:rFonts w:ascii="Arial" w:cs="Arial" w:eastAsia="Arial" w:hAnsi="Arial"/>
          <w:sz w:val="16"/>
          <w:szCs w:val="16"/>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are set to expire in the next few years. When a patent expires, the inventions it discloses can be used freely by others. Thus, the competitive advantage that we gain from the patents licensed to us from GM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Labor unrest could have a material adverse effect on our business, results of operations and financial condition.</w:t>
      </w:r>
    </w:p>
    <w:p>
      <w:pPr>
        <w:spacing w:after="0" w:line="151" w:lineRule="exact"/>
        <w:rPr>
          <w:sz w:val="20"/>
          <w:szCs w:val="20"/>
          <w:color w:val="auto"/>
        </w:rPr>
      </w:pPr>
    </w:p>
    <w:p>
      <w:pPr>
        <w:ind w:right="140" w:firstLine="531"/>
        <w:spacing w:after="0" w:line="237" w:lineRule="auto"/>
        <w:rPr>
          <w:sz w:val="20"/>
          <w:szCs w:val="20"/>
          <w:color w:val="auto"/>
        </w:rPr>
      </w:pPr>
      <w:r>
        <w:rPr>
          <w:rFonts w:ascii="Arial" w:cs="Arial" w:eastAsia="Arial" w:hAnsi="Arial"/>
          <w:sz w:val="16"/>
          <w:szCs w:val="16"/>
          <w:color w:val="auto"/>
        </w:rPr>
        <w:t>As of December 31, 2019, approximately 45% of our U.S. employees, representing over 40% of our total employees, were represented by the UAW and are subject to a collective bargaining agreement. Our current collective bargaining agreement with UAW Local 933 is effective through November 2023.</w:t>
      </w:r>
    </w:p>
    <w:p>
      <w:pPr>
        <w:spacing w:after="0" w:line="129" w:lineRule="exact"/>
        <w:rPr>
          <w:sz w:val="20"/>
          <w:szCs w:val="20"/>
          <w:color w:val="auto"/>
        </w:rPr>
      </w:pPr>
    </w:p>
    <w:p>
      <w:pPr>
        <w:ind w:right="360" w:firstLine="531"/>
        <w:spacing w:after="0" w:line="234"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strikes. Any interruption in the delivery of our products could reduce demand for our products and could have a material adverse effect on us.</w:t>
      </w:r>
    </w:p>
    <w:p>
      <w:pPr>
        <w:spacing w:after="0" w:line="133" w:lineRule="exact"/>
        <w:rPr>
          <w:sz w:val="20"/>
          <w:szCs w:val="20"/>
          <w:color w:val="auto"/>
        </w:rPr>
      </w:pPr>
    </w:p>
    <w:p>
      <w:pPr>
        <w:ind w:right="220" w:firstLine="531"/>
        <w:spacing w:after="0" w:line="234" w:lineRule="auto"/>
        <w:rPr>
          <w:sz w:val="20"/>
          <w:szCs w:val="20"/>
          <w:color w:val="auto"/>
        </w:rPr>
      </w:pPr>
      <w:r>
        <w:rPr>
          <w:rFonts w:ascii="Arial" w:cs="Arial" w:eastAsia="Arial" w:hAnsi="Arial"/>
          <w:sz w:val="16"/>
          <w:szCs w:val="16"/>
          <w:color w:val="auto"/>
        </w:rPr>
        <w:t>In general, we consider our labor relations with all of our employees to be good. However, in the future we may be subject to labor unrest.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pension and other post-retirement benefits funding obligations could increase as a result of a variety of factors.</w:t>
      </w:r>
    </w:p>
    <w:p>
      <w:pPr>
        <w:spacing w:after="0" w:line="151" w:lineRule="exact"/>
        <w:rPr>
          <w:sz w:val="20"/>
          <w:szCs w:val="20"/>
          <w:color w:val="auto"/>
        </w:rPr>
      </w:pPr>
    </w:p>
    <w:p>
      <w:pPr>
        <w:ind w:right="20" w:firstLine="531"/>
        <w:spacing w:after="0" w:line="230" w:lineRule="auto"/>
        <w:rPr>
          <w:sz w:val="20"/>
          <w:szCs w:val="20"/>
          <w:color w:val="auto"/>
        </w:rPr>
      </w:pPr>
      <w:r>
        <w:rPr>
          <w:rFonts w:ascii="Arial" w:cs="Arial" w:eastAsia="Arial" w:hAnsi="Arial"/>
          <w:sz w:val="16"/>
          <w:szCs w:val="16"/>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 that income or expense for defined benefit pension plans be calculated at the annual measurement date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2019 defined benefit pension plans obligation of approximately $25 million. Likewise, a one percentage point decrease in the effective interest rate for determining defined benefit pension plans contributions would result in an increase in the minimum required contributions for 2020 of approximately $4 million. Similarly, a one percentage point decrease in the assumed discount rate would result in an increase in the December 31, 2019 OPEB obligation of approximately $14 million. As of December 31, 2019, the funded status of our defined benefit pension plans was $13 million and the unfunded status of our OPEB plan was $94 million.</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Environmental, health and safety laws and regulations may impose significant compliance costs and liabilities on us.</w:t>
      </w:r>
    </w:p>
    <w:p>
      <w:pPr>
        <w:spacing w:after="0" w:line="151" w:lineRule="exact"/>
        <w:rPr>
          <w:sz w:val="20"/>
          <w:szCs w:val="20"/>
          <w:color w:val="auto"/>
        </w:rPr>
      </w:pPr>
    </w:p>
    <w:p>
      <w:pPr>
        <w:ind w:firstLine="531"/>
        <w:spacing w:after="0" w:line="246" w:lineRule="auto"/>
        <w:rPr>
          <w:sz w:val="20"/>
          <w:szCs w:val="20"/>
          <w:color w:val="auto"/>
        </w:rPr>
      </w:pPr>
      <w:r>
        <w:rPr>
          <w:rFonts w:ascii="Arial" w:cs="Arial" w:eastAsia="Arial" w:hAnsi="Arial"/>
          <w:sz w:val="15"/>
          <w:szCs w:val="15"/>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460"/>
        <w:spacing w:after="0" w:line="237" w:lineRule="auto"/>
        <w:rPr>
          <w:sz w:val="20"/>
          <w:szCs w:val="20"/>
          <w:color w:val="auto"/>
        </w:rPr>
      </w:pPr>
      <w:r>
        <w:rPr>
          <w:rFonts w:ascii="Arial" w:cs="Arial" w:eastAsia="Arial" w:hAnsi="Arial"/>
          <w:sz w:val="16"/>
          <w:szCs w:val="16"/>
          <w:color w:val="auto"/>
        </w:rPr>
        <w:t>comply could also result in our failure to secure adequate insurance for our business, resulting in significant exposure, diminished ability to hedge our risks and material modifications of our business operations.</w:t>
      </w:r>
    </w:p>
    <w:p>
      <w:pPr>
        <w:spacing w:after="0" w:line="129"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w:t>
      </w:r>
    </w:p>
    <w:p>
      <w:pPr>
        <w:spacing w:after="0" w:line="132"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We manage the remediation of historical soil and groundwater contamination at our Indianapolis, Indiana facilities under an Agreed Order of Consent with the EPA. See Part II, Item 8, NOTE 18, “Commitments and Contingencies” of this Annual Report on Form 10-K. There can be no assurances that future environmental remediation obligations will not have a material adverse effect on our results of operations and financial condition. In addition, we occasionally evaluate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business and financial results may be adversely affected by U.S. government contracting risks.</w:t>
      </w:r>
    </w:p>
    <w:p>
      <w:pPr>
        <w:spacing w:after="0" w:line="151"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the Federal Acquisition Regulation, International Traffic in Arms Regulations and regulations from the Bureau of Alcohol, Tobacco and Firearms and the FCPA.</w:t>
      </w:r>
    </w:p>
    <w:p>
      <w:pPr>
        <w:spacing w:after="0" w:line="133"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net income and cash flow from operations.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Exchange rate fluctuations could adversely affect our results of operations and financial position.</w:t>
      </w:r>
    </w:p>
    <w:p>
      <w:pPr>
        <w:spacing w:after="0" w:line="151"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As a result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159"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An impairment in the carrying value of goodwill, other intangible assets or long-lived assets could negatively affect our consolidated results of operations and net worth.</w:t>
      </w:r>
    </w:p>
    <w:p>
      <w:pPr>
        <w:spacing w:after="0" w:line="117" w:lineRule="exact"/>
        <w:rPr>
          <w:sz w:val="20"/>
          <w:szCs w:val="20"/>
          <w:color w:val="auto"/>
        </w:rPr>
      </w:pPr>
    </w:p>
    <w:p>
      <w:pPr>
        <w:ind w:right="20" w:firstLine="531"/>
        <w:spacing w:after="0" w:line="247" w:lineRule="auto"/>
        <w:rPr>
          <w:sz w:val="20"/>
          <w:szCs w:val="20"/>
          <w:color w:val="auto"/>
        </w:rPr>
      </w:pPr>
      <w:r>
        <w:rPr>
          <w:rFonts w:ascii="Arial" w:cs="Arial" w:eastAsia="Arial" w:hAnsi="Arial"/>
          <w:sz w:val="15"/>
          <w:szCs w:val="15"/>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unsuccessful development of product and unexpected significant declines in operating results may result in charges for goodwill and other asset impairments. See NOTE 2 “Summary of Significant Accounting Policies” and NOTE 6 “Goodwill and Other Intangible Assets” of Notes to Consolidated Financial Statements included in Part II, Item 8 of this Annual Report on Form 10-K for additional details.</w:t>
      </w:r>
    </w:p>
    <w:p>
      <w:pPr>
        <w:spacing w:after="0" w:line="129" w:lineRule="exact"/>
        <w:rPr>
          <w:sz w:val="20"/>
          <w:szCs w:val="20"/>
          <w:color w:val="auto"/>
        </w:rPr>
      </w:pPr>
    </w:p>
    <w:p>
      <w:pPr>
        <w:ind w:right="80" w:firstLine="531"/>
        <w:spacing w:after="0" w:line="231" w:lineRule="auto"/>
        <w:rPr>
          <w:sz w:val="20"/>
          <w:szCs w:val="20"/>
          <w:color w:val="auto"/>
        </w:rPr>
      </w:pPr>
      <w:r>
        <w:rPr>
          <w:rFonts w:ascii="Arial" w:cs="Arial" w:eastAsia="Arial" w:hAnsi="Arial"/>
          <w:sz w:val="16"/>
          <w:szCs w:val="16"/>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a significant change in the projected future cash flows generated by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 and could have a material adverse effect on the results of our operations. See NOTE 2 “Summary of Significant Accounting Policies” and NOTE 5 “Property, Plant and Equipment” of Notes to Consolidated Financial Statements included in Part II, Item 8 of this Annual Report on Form 10-K for additional details.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400"/>
        <w:spacing w:after="0" w:line="290" w:lineRule="auto"/>
        <w:rPr>
          <w:sz w:val="20"/>
          <w:szCs w:val="20"/>
          <w:color w:val="auto"/>
        </w:rPr>
      </w:pPr>
      <w:r>
        <w:rPr>
          <w:rFonts w:ascii="Arial" w:cs="Arial" w:eastAsia="Arial" w:hAnsi="Arial"/>
          <w:sz w:val="15"/>
          <w:szCs w:val="15"/>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94" w:lineRule="exact"/>
        <w:rPr>
          <w:sz w:val="20"/>
          <w:szCs w:val="20"/>
          <w:color w:val="auto"/>
        </w:rPr>
      </w:pPr>
    </w:p>
    <w:p>
      <w:pPr>
        <w:ind w:right="40" w:firstLine="531"/>
        <w:spacing w:after="0" w:line="237"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129" w:lineRule="exact"/>
        <w:rPr>
          <w:sz w:val="20"/>
          <w:szCs w:val="20"/>
          <w:color w:val="auto"/>
        </w:rPr>
      </w:pPr>
    </w:p>
    <w:p>
      <w:pPr>
        <w:ind w:left="800" w:right="580" w:hanging="208"/>
        <w:spacing w:after="0" w:line="229"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issue to increase the number of outstanding shares and to discourage a takeover attempt;</w:t>
      </w:r>
    </w:p>
    <w:p>
      <w:pPr>
        <w:ind w:left="800" w:hanging="20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limit the ability of stockholders to remove directors only “for cause”;</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prohibit our stockholders from calling a special meeting of stockholders;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adopt, or to alter or repeal our bylaws;</w:t>
      </w:r>
    </w:p>
    <w:p>
      <w:pPr>
        <w:spacing w:after="0" w:line="3" w:lineRule="exact"/>
        <w:rPr>
          <w:rFonts w:ascii="Arial" w:cs="Arial" w:eastAsia="Arial" w:hAnsi="Arial"/>
          <w:sz w:val="16"/>
          <w:szCs w:val="16"/>
          <w:color w:val="auto"/>
        </w:rPr>
      </w:pPr>
    </w:p>
    <w:p>
      <w:pPr>
        <w:ind w:left="800" w:right="740" w:hanging="208"/>
        <w:spacing w:after="0" w:line="229"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stockholder meetings; and</w:t>
      </w:r>
    </w:p>
    <w:p>
      <w:pPr>
        <w:ind w:left="800" w:right="560" w:hanging="208"/>
        <w:spacing w:after="0" w:line="237"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require the approval of holders of at least two-thirds of the outstanding shares of common stock to amend the bylaws and certain provisions of the certificate of incorporation.</w:t>
      </w:r>
    </w:p>
    <w:p>
      <w:pPr>
        <w:spacing w:after="0" w:line="259" w:lineRule="exact"/>
        <w:rPr>
          <w:sz w:val="20"/>
          <w:szCs w:val="20"/>
          <w:color w:val="auto"/>
        </w:rPr>
      </w:pPr>
    </w:p>
    <w:p>
      <w:pPr>
        <w:ind w:right="260" w:firstLine="531"/>
        <w:spacing w:after="0" w:line="234"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that our stockholders may believe to be in their best interests. These provisions could also discourage proxy contests and make it more difficult for our stockholders to elect directors of their choosing and cause us to take corporate actions other than those they desire.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Indebtedness</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51"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 xml:space="preserve">We have a significant amount of indebtedness. As of December 31, 2019, we had total indebtedness of $2,544 million and we would have been able to borrow an additional $595 million, net of $5 million of outstanding letters of credit, under Allison Transmission Inc.’s (“ATI”), the Company’s wholly-owned subsidiary, </w:t>
      </w:r>
      <w:r>
        <w:rPr>
          <w:rFonts w:ascii="Arial" w:cs="Arial" w:eastAsia="Arial" w:hAnsi="Arial"/>
          <w:sz w:val="16"/>
          <w:szCs w:val="16"/>
          <w:color w:val="212529"/>
        </w:rPr>
        <w:t xml:space="preserve">new revolving credit facility with commitments in the amount of $600 million due September 2024 </w:t>
      </w:r>
      <w:r>
        <w:rPr>
          <w:rFonts w:ascii="Arial" w:cs="Arial" w:eastAsia="Arial" w:hAnsi="Arial"/>
          <w:sz w:val="16"/>
          <w:szCs w:val="16"/>
          <w:color w:val="000000"/>
        </w:rPr>
        <w:t>(“New Revolving Credit Facility”). As of December 31, 2019, we had</w:t>
      </w:r>
      <w:r>
        <w:rPr>
          <w:rFonts w:ascii="Arial" w:cs="Arial" w:eastAsia="Arial" w:hAnsi="Arial"/>
          <w:sz w:val="16"/>
          <w:szCs w:val="16"/>
          <w:color w:val="212529"/>
        </w:rPr>
        <w:t xml:space="preserve"> </w:t>
      </w:r>
      <w:r>
        <w:rPr>
          <w:rFonts w:ascii="Arial" w:cs="Arial" w:eastAsia="Arial" w:hAnsi="Arial"/>
          <w:sz w:val="16"/>
          <w:szCs w:val="16"/>
          <w:color w:val="000000"/>
        </w:rPr>
        <w:t xml:space="preserve">no outstanding borrowings against the New Revolving Credit Facility. At December 31, 2019, $644 million of our total indebtedness was associated with ATI’s </w:t>
      </w:r>
      <w:r>
        <w:rPr>
          <w:rFonts w:ascii="Arial" w:cs="Arial" w:eastAsia="Arial" w:hAnsi="Arial"/>
          <w:sz w:val="16"/>
          <w:szCs w:val="16"/>
          <w:color w:val="212529"/>
        </w:rPr>
        <w:t>new</w:t>
      </w:r>
      <w:r>
        <w:rPr>
          <w:rFonts w:ascii="Arial" w:cs="Arial" w:eastAsia="Arial" w:hAnsi="Arial"/>
          <w:sz w:val="16"/>
          <w:szCs w:val="16"/>
          <w:color w:val="000000"/>
        </w:rPr>
        <w:t xml:space="preserve"> </w:t>
      </w:r>
      <w:r>
        <w:rPr>
          <w:rFonts w:ascii="Arial" w:cs="Arial" w:eastAsia="Arial" w:hAnsi="Arial"/>
          <w:sz w:val="16"/>
          <w:szCs w:val="16"/>
          <w:color w:val="212529"/>
        </w:rPr>
        <w:t>term loan facility due March 2026 (“New Term Loan”</w:t>
      </w:r>
      <w:r>
        <w:rPr>
          <w:rFonts w:ascii="Arial" w:cs="Arial" w:eastAsia="Arial" w:hAnsi="Arial"/>
          <w:sz w:val="16"/>
          <w:szCs w:val="16"/>
          <w:color w:val="000000"/>
        </w:rPr>
        <w:t>, and together with the New Revolving Credit Facility, the “New Senior Secured Credit Facility”), $1,000 million of</w:t>
      </w:r>
      <w:r>
        <w:rPr>
          <w:rFonts w:ascii="Arial" w:cs="Arial" w:eastAsia="Arial" w:hAnsi="Arial"/>
          <w:sz w:val="16"/>
          <w:szCs w:val="16"/>
          <w:color w:val="212529"/>
        </w:rPr>
        <w:t xml:space="preserve"> </w:t>
      </w:r>
      <w:r>
        <w:rPr>
          <w:rFonts w:ascii="Arial" w:cs="Arial" w:eastAsia="Arial" w:hAnsi="Arial"/>
          <w:sz w:val="16"/>
          <w:szCs w:val="16"/>
          <w:color w:val="000000"/>
        </w:rPr>
        <w:t>our total indebtedness was associated with ATI’s 5.0% Senior Notes due September 2024 (“5.0% Senior Notes”), $400 million of our total indebtedness was associated with ATI’s 4.75% Senior Notes due October 2027 (“4.75% Senior Notes”) and $500 million of our total indebtedness was associated with ATI’s 5.875% Senior Notes due June 2029 (“5.875% Senior Notes”, and together with the 5.0% Senior Notes and 4.75% Senior Notes, the “Senior Notes”). For a complete description of the terms of the New Senior Secured Credit Facility and the Senior Notes, please see Part II, Item 7, “Management’s Discussion and Analysis of Financial Condition and Results of Operations – Liquidity and Capital Resources” of this Annual Report on Form 10-K.</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substantial indebtedness could have important consequences. For example, it could:</w:t>
      </w:r>
    </w:p>
    <w:p>
      <w:pPr>
        <w:spacing w:after="0" w:line="133" w:lineRule="exact"/>
        <w:rPr>
          <w:sz w:val="20"/>
          <w:szCs w:val="20"/>
          <w:color w:val="auto"/>
        </w:rPr>
      </w:pPr>
    </w:p>
    <w:p>
      <w:pPr>
        <w:ind w:left="800" w:hanging="208"/>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it more difficult for us to satisfy our obligations under our indebtedness;</w:t>
      </w:r>
    </w:p>
    <w:p>
      <w:pPr>
        <w:spacing w:after="0" w:line="3" w:lineRule="exact"/>
        <w:rPr>
          <w:rFonts w:ascii="Arial" w:cs="Arial" w:eastAsia="Arial" w:hAnsi="Arial"/>
          <w:sz w:val="16"/>
          <w:szCs w:val="16"/>
          <w:color w:val="auto"/>
        </w:rPr>
      </w:pPr>
    </w:p>
    <w:p>
      <w:pPr>
        <w:ind w:left="800" w:right="220" w:hanging="208"/>
        <w:spacing w:after="0" w:line="229"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1" w:lineRule="exact"/>
        <w:rPr>
          <w:rFonts w:ascii="Arial" w:cs="Arial" w:eastAsia="Arial" w:hAnsi="Arial"/>
          <w:sz w:val="16"/>
          <w:szCs w:val="16"/>
          <w:color w:val="auto"/>
        </w:rPr>
      </w:pPr>
    </w:p>
    <w:p>
      <w:pPr>
        <w:ind w:left="800" w:right="460" w:hanging="208"/>
        <w:spacing w:after="0" w:line="229"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 our vulnerability to and limit our flexibility in planning for, or reacting to, downturns or changes in our business and the industry in which we operate;</w:t>
      </w:r>
    </w:p>
    <w:p>
      <w:pPr>
        <w:ind w:left="800" w:hanging="208"/>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 us from making strategic acquisitions or cause us to make non-strategic divestitures;</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place us at a competitive disadvantage compared to our competitors that have less debt; and</w:t>
      </w:r>
    </w:p>
    <w:p>
      <w:pPr>
        <w:spacing w:after="0" w:line="3" w:lineRule="exact"/>
        <w:rPr>
          <w:rFonts w:ascii="Arial" w:cs="Arial" w:eastAsia="Arial" w:hAnsi="Arial"/>
          <w:sz w:val="16"/>
          <w:szCs w:val="16"/>
          <w:color w:val="auto"/>
        </w:rPr>
      </w:pPr>
    </w:p>
    <w:p>
      <w:pPr>
        <w:ind w:left="800" w:hanging="208"/>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limit our ability to borrow additional funds.</w:t>
      </w:r>
    </w:p>
    <w:p>
      <w:pPr>
        <w:spacing w:after="0" w:line="274" w:lineRule="exact"/>
        <w:rPr>
          <w:sz w:val="20"/>
          <w:szCs w:val="20"/>
          <w:color w:val="auto"/>
        </w:rPr>
      </w:pPr>
    </w:p>
    <w:p>
      <w:pPr>
        <w:ind w:right="100" w:firstLine="531"/>
        <w:spacing w:after="0" w:line="233" w:lineRule="auto"/>
        <w:rPr>
          <w:sz w:val="20"/>
          <w:szCs w:val="20"/>
          <w:color w:val="auto"/>
        </w:rPr>
      </w:pPr>
      <w:r>
        <w:rPr>
          <w:rFonts w:ascii="Arial" w:cs="Arial" w:eastAsia="Arial" w:hAnsi="Arial"/>
          <w:sz w:val="16"/>
          <w:szCs w:val="16"/>
          <w:color w:val="auto"/>
        </w:rPr>
        <w:t>In addition, the New Revolving Credit Facility contains a maximum total senior secured leverage ratio. The New Senior Secured Credit Facility and the indentures governing the Senior Notes also contain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130" w:lineRule="exact"/>
        <w:rPr>
          <w:sz w:val="20"/>
          <w:szCs w:val="20"/>
          <w:color w:val="auto"/>
        </w:rPr>
      </w:pPr>
    </w:p>
    <w:p>
      <w:pPr>
        <w:ind w:right="40" w:firstLine="531"/>
        <w:spacing w:after="0" w:line="248" w:lineRule="auto"/>
        <w:rPr>
          <w:sz w:val="20"/>
          <w:szCs w:val="20"/>
          <w:color w:val="auto"/>
        </w:rPr>
      </w:pPr>
      <w:r>
        <w:rPr>
          <w:rFonts w:ascii="Arial" w:cs="Arial" w:eastAsia="Arial" w:hAnsi="Arial"/>
          <w:sz w:val="15"/>
          <w:szCs w:val="15"/>
          <w:color w:val="auto"/>
        </w:rPr>
        <w:t>Further, the New Term Loan bears interest at fluctuating interest rates, primarily based on the London Interbank Offered Rate ("LIBOR"). In July 2017, the Financial Conduct Authority, a regulator of financial services firms in the United Kingdom, announced that it intends to stop persuading or compelling banks to submit LIBOR rates after 2021. In response to concerns regarding the future of LIBOR, the Board of Governors of the Federal Reserve System and the Federal Reserve Bank of New York convened the Alternative Reference Rates Committee (“ARRC”) to identify alternatives to LIBOR. The ARRC has recommended a benchmark replacement to assist issuers in continued capital market entry while safeguarding against LIBOR’s discontinuation. The initial steps in the ARRC’s recommended provision reference variations of the Secured Overnight Financing Rate (“SOFR”). At this time, it is not possible to predict whether SOFR will attain market traction as a LIBOR replacement. We are unable to predict whether LIBOR will cease to exist after calendar year 2021, the effect of any changes, any establishment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of alternative reference rates or any other reforms to LIBOR or any replacement of LIBOR that may be enacted in the United Kingdom or elsewhere. Such changes, reforms or replacements relating to LIBOR could have an adverse impact on the market for or value of any LIBOR-linked securities, loans, derivatives and other financial obligations or extensions of credit held by us or on our overall financial condition or results of operations.</w:t>
      </w:r>
    </w:p>
    <w:p>
      <w:pPr>
        <w:spacing w:after="0" w:line="160" w:lineRule="exact"/>
        <w:rPr>
          <w:sz w:val="20"/>
          <w:szCs w:val="20"/>
          <w:color w:val="auto"/>
        </w:rPr>
      </w:pPr>
    </w:p>
    <w:p>
      <w:pPr>
        <w:jc w:val="both"/>
        <w:ind w:left="400"/>
        <w:spacing w:after="0" w:line="243" w:lineRule="auto"/>
        <w:rPr>
          <w:sz w:val="20"/>
          <w:szCs w:val="20"/>
          <w:color w:val="auto"/>
        </w:rPr>
      </w:pPr>
      <w:r>
        <w:rPr>
          <w:rFonts w:ascii="Arial" w:cs="Arial" w:eastAsia="Arial" w:hAnsi="Arial"/>
          <w:sz w:val="16"/>
          <w:szCs w:val="16"/>
          <w:b w:val="1"/>
          <w:bCs w:val="1"/>
          <w:i w:val="1"/>
          <w:iCs w:val="1"/>
          <w:color w:val="auto"/>
        </w:rPr>
        <w:t>Our ability to pay regular dividends on our common stock is subject to the discretion of our Board of Directors and may be limited by our structure and statutory restrictions and restrictions imposed by the New Senior Secured Credit Facility and the indentures governing the Senior Notes as well as any future agreements.</w:t>
      </w:r>
    </w:p>
    <w:p>
      <w:pPr>
        <w:spacing w:after="0" w:line="175" w:lineRule="exact"/>
        <w:rPr>
          <w:sz w:val="20"/>
          <w:szCs w:val="20"/>
          <w:color w:val="auto"/>
        </w:rPr>
      </w:pPr>
    </w:p>
    <w:p>
      <w:pPr>
        <w:ind w:firstLine="531"/>
        <w:spacing w:after="0" w:line="247" w:lineRule="auto"/>
        <w:rPr>
          <w:sz w:val="20"/>
          <w:szCs w:val="20"/>
          <w:color w:val="auto"/>
        </w:rPr>
      </w:pPr>
      <w:r>
        <w:rPr>
          <w:rFonts w:ascii="Arial" w:cs="Arial" w:eastAsia="Arial" w:hAnsi="Arial"/>
          <w:sz w:val="15"/>
          <w:szCs w:val="15"/>
          <w:color w:val="auto"/>
        </w:rPr>
        <w:t>Our Board of Directors has maintained a quarterly dividend of $0.15 per share of common stock since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New Senior Secured Credit Facility and the indentures governing the Senior Notes also effectively limit our ability to pay dividends. As a consequence of these limitations and restrictions, we may not be able to make, or may have to reduce or eliminate, the payment of dividends on our common stock. Accordingly, our stockholders may have to sell some or all of their common stock after price appreciation in order to generate cash flow from their investment. Our stockholders may not receive a gain on their investment when they sell their common stock and they may lose the entire amount of the investment. Additionally, any change in the level of our dividends or the suspension of the payment thereof could adversely affect the market price of our common stock.</w:t>
      </w:r>
    </w:p>
    <w:p>
      <w:pPr>
        <w:spacing w:after="0" w:line="158"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To service our indebtedness, we will require a significant amount of cash, and our ability to generate cash depends on many factors beyond our control.</w:t>
      </w:r>
    </w:p>
    <w:p>
      <w:pPr>
        <w:spacing w:after="0" w:line="117" w:lineRule="exact"/>
        <w:rPr>
          <w:sz w:val="20"/>
          <w:szCs w:val="20"/>
          <w:color w:val="auto"/>
        </w:rPr>
      </w:pPr>
    </w:p>
    <w:p>
      <w:pPr>
        <w:ind w:right="80" w:firstLine="531"/>
        <w:spacing w:after="0" w:line="234" w:lineRule="auto"/>
        <w:rPr>
          <w:sz w:val="20"/>
          <w:szCs w:val="20"/>
          <w:color w:val="auto"/>
        </w:rPr>
      </w:pPr>
      <w:r>
        <w:rPr>
          <w:rFonts w:ascii="Arial" w:cs="Arial" w:eastAsia="Arial" w:hAnsi="Arial"/>
          <w:sz w:val="16"/>
          <w:szCs w:val="16"/>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31" w:lineRule="exact"/>
        <w:rPr>
          <w:sz w:val="20"/>
          <w:szCs w:val="20"/>
          <w:color w:val="auto"/>
        </w:rPr>
      </w:pPr>
    </w:p>
    <w:p>
      <w:pPr>
        <w:ind w:right="200" w:firstLine="531"/>
        <w:spacing w:after="0" w:line="232" w:lineRule="auto"/>
        <w:rPr>
          <w:sz w:val="20"/>
          <w:szCs w:val="20"/>
          <w:color w:val="auto"/>
        </w:rPr>
      </w:pPr>
      <w:r>
        <w:rPr>
          <w:rFonts w:ascii="Arial" w:cs="Arial" w:eastAsia="Arial" w:hAnsi="Arial"/>
          <w:sz w:val="16"/>
          <w:szCs w:val="16"/>
          <w:color w:val="auto"/>
        </w:rPr>
        <w:t>We cannot ensure that our business will generate sufficient cash flow from operations or that future borrowings will be available to us under the New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59" w:lineRule="exact"/>
        <w:rPr>
          <w:sz w:val="20"/>
          <w:szCs w:val="20"/>
          <w:color w:val="auto"/>
        </w:rPr>
      </w:pPr>
    </w:p>
    <w:p>
      <w:pPr>
        <w:ind w:left="400"/>
        <w:spacing w:after="0" w:line="257" w:lineRule="auto"/>
        <w:rPr>
          <w:sz w:val="20"/>
          <w:szCs w:val="20"/>
          <w:color w:val="auto"/>
        </w:rPr>
      </w:pPr>
      <w:r>
        <w:rPr>
          <w:rFonts w:ascii="Arial" w:cs="Arial" w:eastAsia="Arial" w:hAnsi="Arial"/>
          <w:sz w:val="16"/>
          <w:szCs w:val="16"/>
          <w:b w:val="1"/>
          <w:bCs w:val="1"/>
          <w:i w:val="1"/>
          <w:iCs w:val="1"/>
          <w:color w:val="auto"/>
        </w:rPr>
        <w:t>If we fail to pay principal, premium, if any, and interest on our indebtedness or to otherwise comply with the covenants in the instruments governing our indebtedness, we may be forced into bankruptcy or liquidation by our lenders.</w:t>
      </w:r>
    </w:p>
    <w:p>
      <w:pPr>
        <w:spacing w:after="0" w:line="117" w:lineRule="exact"/>
        <w:rPr>
          <w:sz w:val="20"/>
          <w:szCs w:val="20"/>
          <w:color w:val="auto"/>
        </w:rPr>
      </w:pPr>
    </w:p>
    <w:p>
      <w:pPr>
        <w:ind w:right="180" w:firstLine="531"/>
        <w:spacing w:after="0" w:line="231"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New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New Senior Secured Credit Facility to avoid being in default. If we or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80"/>
        <w:spacing w:after="0" w:line="234" w:lineRule="auto"/>
        <w:rPr>
          <w:sz w:val="20"/>
          <w:szCs w:val="20"/>
          <w:color w:val="auto"/>
        </w:rPr>
      </w:pPr>
      <w:r>
        <w:rPr>
          <w:rFonts w:ascii="Arial" w:cs="Arial" w:eastAsia="Arial" w:hAnsi="Arial"/>
          <w:sz w:val="16"/>
          <w:szCs w:val="16"/>
          <w:color w:val="auto"/>
        </w:rPr>
        <w:t>any of our subsidiaries breach the covenants under the New Senior Secured Credit Facility and seek a waiver, we may not be able to obtain a waiver from the required lenders. If this occurs, we would be in default under the New Senior Secured Credit Facility, the lenders could exercise their rights, as described above, and we could be forced into bankruptcy or liquidation.</w:t>
      </w:r>
    </w:p>
    <w:p>
      <w:pPr>
        <w:spacing w:after="0" w:line="160" w:lineRule="exact"/>
        <w:rPr>
          <w:sz w:val="20"/>
          <w:szCs w:val="20"/>
          <w:color w:val="auto"/>
        </w:rPr>
      </w:pPr>
    </w:p>
    <w:p>
      <w:pPr>
        <w:ind w:left="400" w:right="20"/>
        <w:spacing w:after="0" w:line="257" w:lineRule="auto"/>
        <w:rPr>
          <w:sz w:val="20"/>
          <w:szCs w:val="20"/>
          <w:color w:val="auto"/>
        </w:rPr>
      </w:pPr>
      <w:r>
        <w:rPr>
          <w:rFonts w:ascii="Arial" w:cs="Arial" w:eastAsia="Arial" w:hAnsi="Arial"/>
          <w:sz w:val="16"/>
          <w:szCs w:val="16"/>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117" w:lineRule="exact"/>
        <w:rPr>
          <w:sz w:val="20"/>
          <w:szCs w:val="20"/>
          <w:color w:val="auto"/>
        </w:rPr>
      </w:pPr>
    </w:p>
    <w:p>
      <w:pPr>
        <w:jc w:val="both"/>
        <w:ind w:firstLine="531"/>
        <w:spacing w:after="0" w:line="233" w:lineRule="auto"/>
        <w:rPr>
          <w:sz w:val="20"/>
          <w:szCs w:val="20"/>
          <w:color w:val="auto"/>
        </w:rPr>
      </w:pPr>
      <w:r>
        <w:rPr>
          <w:rFonts w:ascii="Arial" w:cs="Arial" w:eastAsia="Arial" w:hAnsi="Arial"/>
          <w:sz w:val="16"/>
          <w:szCs w:val="16"/>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$595 million under the New Revolving Credit Facility. If new debt is added to our current debt levels and our subsidiaries’ current debt levels, the related risks that we and they now face could intensify.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53" w:lineRule="exact"/>
        <w:rPr>
          <w:sz w:val="20"/>
          <w:szCs w:val="20"/>
          <w:color w:val="auto"/>
        </w:rPr>
      </w:pPr>
    </w:p>
    <w:p>
      <w:pPr>
        <w:ind w:right="620" w:firstLine="531"/>
        <w:spacing w:after="0" w:line="237" w:lineRule="auto"/>
        <w:rPr>
          <w:sz w:val="20"/>
          <w:szCs w:val="20"/>
          <w:color w:val="auto"/>
        </w:rPr>
      </w:pPr>
      <w:r>
        <w:rPr>
          <w:rFonts w:ascii="Arial" w:cs="Arial" w:eastAsia="Arial" w:hAnsi="Arial"/>
          <w:sz w:val="16"/>
          <w:szCs w:val="16"/>
          <w:color w:val="auto"/>
        </w:rPr>
        <w:t>Our world headquarters, which we own, is located at One Allison Way, Indianapolis, Indiana 46222. As of December 31, 2019, we have a total of 20 manufacturing and certain other facilities in eight countries. The following table sets forth certain information regarding our significant facilities.</w:t>
      </w:r>
    </w:p>
    <w:p>
      <w:pPr>
        <w:spacing w:after="0" w:line="157"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3"/>
                <w:szCs w:val="13"/>
                <w:b w:val="1"/>
                <w:bCs w:val="1"/>
                <w:color w:val="auto"/>
              </w:rPr>
              <w:t>Approximate</w:t>
            </w:r>
          </w:p>
        </w:tc>
        <w:tc>
          <w:tcPr>
            <w:tcW w:w="1220" w:type="dxa"/>
            <w:vAlign w:val="bottom"/>
            <w:gridSpan w:val="2"/>
          </w:tcPr>
          <w:p>
            <w:pPr>
              <w:ind w:left="260"/>
              <w:spacing w:after="0"/>
              <w:rPr>
                <w:sz w:val="20"/>
                <w:szCs w:val="20"/>
                <w:color w:val="auto"/>
              </w:rPr>
            </w:pPr>
            <w:r>
              <w:rPr>
                <w:rFonts w:ascii="Arial" w:cs="Arial" w:eastAsia="Arial" w:hAnsi="Arial"/>
                <w:sz w:val="13"/>
                <w:szCs w:val="13"/>
                <w:b w:val="1"/>
                <w:bCs w:val="1"/>
                <w:color w:val="auto"/>
              </w:rPr>
              <w:t>Owned /</w:t>
            </w:r>
          </w:p>
        </w:tc>
        <w:tc>
          <w:tcPr>
            <w:tcW w:w="2960" w:type="dxa"/>
            <w:vAlign w:val="bottom"/>
          </w:tcPr>
          <w:p>
            <w:pPr>
              <w:spacing w:after="0"/>
              <w:rPr>
                <w:sz w:val="13"/>
                <w:szCs w:val="13"/>
                <w:color w:val="auto"/>
              </w:rPr>
            </w:pPr>
          </w:p>
        </w:tc>
      </w:tr>
      <w:tr>
        <w:trPr>
          <w:trHeight w:val="144"/>
        </w:trPr>
        <w:tc>
          <w:tcPr>
            <w:tcW w:w="320" w:type="dxa"/>
            <w:vAlign w:val="bottom"/>
            <w:tcBorders>
              <w:bottom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94"/>
              </w:rPr>
              <w:t>Plant</w:t>
            </w:r>
          </w:p>
        </w:tc>
        <w:tc>
          <w:tcPr>
            <w:tcW w:w="2380" w:type="dxa"/>
            <w:vAlign w:val="bottom"/>
            <w:tcBorders>
              <w:bottom w:val="single" w:sz="8" w:color="CFF0FC"/>
            </w:tcBorders>
          </w:tcPr>
          <w:p>
            <w:pPr>
              <w:spacing w:after="0"/>
              <w:rPr>
                <w:sz w:val="12"/>
                <w:szCs w:val="12"/>
                <w:color w:val="auto"/>
              </w:rPr>
            </w:pPr>
          </w:p>
        </w:tc>
        <w:tc>
          <w:tcPr>
            <w:tcW w:w="1840" w:type="dxa"/>
            <w:vAlign w:val="bottom"/>
            <w:tcBorders>
              <w:bottom w:val="single" w:sz="8" w:color="auto"/>
            </w:tcBorders>
          </w:tcPr>
          <w:p>
            <w:pPr>
              <w:ind w:left="660"/>
              <w:spacing w:after="0" w:line="141" w:lineRule="exact"/>
              <w:rPr>
                <w:sz w:val="20"/>
                <w:szCs w:val="20"/>
                <w:color w:val="auto"/>
              </w:rPr>
            </w:pPr>
            <w:r>
              <w:rPr>
                <w:rFonts w:ascii="Arial" w:cs="Arial" w:eastAsia="Arial" w:hAnsi="Arial"/>
                <w:sz w:val="13"/>
                <w:szCs w:val="13"/>
                <w:b w:val="1"/>
                <w:bCs w:val="1"/>
                <w:color w:val="auto"/>
              </w:rPr>
              <w:t>Location</w:t>
            </w:r>
          </w:p>
        </w:tc>
        <w:tc>
          <w:tcPr>
            <w:tcW w:w="180" w:type="dxa"/>
            <w:vAlign w:val="bottom"/>
            <w:tcBorders>
              <w:bottom w:val="single" w:sz="8" w:color="CFF0FC"/>
            </w:tcBorders>
          </w:tcPr>
          <w:p>
            <w:pPr>
              <w:spacing w:after="0"/>
              <w:rPr>
                <w:sz w:val="12"/>
                <w:szCs w:val="12"/>
                <w:color w:val="auto"/>
              </w:rPr>
            </w:pPr>
          </w:p>
        </w:tc>
        <w:tc>
          <w:tcPr>
            <w:tcW w:w="1220" w:type="dxa"/>
            <w:vAlign w:val="bottom"/>
            <w:tcBorders>
              <w:bottom w:val="single" w:sz="8" w:color="auto"/>
            </w:tcBorders>
          </w:tcPr>
          <w:p>
            <w:pPr>
              <w:jc w:val="right"/>
              <w:ind w:right="324"/>
              <w:spacing w:after="0" w:line="141" w:lineRule="exact"/>
              <w:rPr>
                <w:sz w:val="20"/>
                <w:szCs w:val="20"/>
                <w:color w:val="auto"/>
              </w:rPr>
            </w:pPr>
            <w:r>
              <w:rPr>
                <w:rFonts w:ascii="Arial" w:cs="Arial" w:eastAsia="Arial" w:hAnsi="Arial"/>
                <w:sz w:val="13"/>
                <w:szCs w:val="13"/>
                <w:b w:val="1"/>
                <w:bCs w:val="1"/>
                <w:color w:val="auto"/>
              </w:rPr>
              <w:t>Size (ft2)</w:t>
            </w:r>
          </w:p>
        </w:tc>
        <w:tc>
          <w:tcPr>
            <w:tcW w:w="18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ind w:right="244"/>
              <w:spacing w:after="0" w:line="141" w:lineRule="exact"/>
              <w:rPr>
                <w:sz w:val="20"/>
                <w:szCs w:val="20"/>
                <w:color w:val="auto"/>
              </w:rPr>
            </w:pPr>
            <w:r>
              <w:rPr>
                <w:rFonts w:ascii="Arial" w:cs="Arial" w:eastAsia="Arial" w:hAnsi="Arial"/>
                <w:sz w:val="13"/>
                <w:szCs w:val="13"/>
                <w:b w:val="1"/>
                <w:bCs w:val="1"/>
                <w:color w:val="auto"/>
              </w:rPr>
              <w:t>Leased</w:t>
            </w:r>
          </w:p>
        </w:tc>
        <w:tc>
          <w:tcPr>
            <w:tcW w:w="180" w:type="dxa"/>
            <w:vAlign w:val="bottom"/>
            <w:tcBorders>
              <w:bottom w:val="single" w:sz="8" w:color="CFF0FC"/>
            </w:tcBorders>
          </w:tcPr>
          <w:p>
            <w:pPr>
              <w:spacing w:after="0"/>
              <w:rPr>
                <w:sz w:val="12"/>
                <w:szCs w:val="12"/>
                <w:color w:val="auto"/>
              </w:rPr>
            </w:pPr>
          </w:p>
        </w:tc>
        <w:tc>
          <w:tcPr>
            <w:tcW w:w="2960" w:type="dxa"/>
            <w:vAlign w:val="bottom"/>
            <w:tcBorders>
              <w:bottom w:val="single" w:sz="8" w:color="auto"/>
            </w:tcBorders>
          </w:tcPr>
          <w:p>
            <w:pPr>
              <w:ind w:left="1120"/>
              <w:spacing w:after="0" w:line="141" w:lineRule="exact"/>
              <w:rPr>
                <w:sz w:val="20"/>
                <w:szCs w:val="20"/>
                <w:color w:val="auto"/>
              </w:rPr>
            </w:pPr>
            <w:r>
              <w:rPr>
                <w:rFonts w:ascii="Arial" w:cs="Arial" w:eastAsia="Arial" w:hAnsi="Arial"/>
                <w:sz w:val="13"/>
                <w:szCs w:val="13"/>
                <w:b w:val="1"/>
                <w:bCs w:val="1"/>
                <w:color w:val="auto"/>
              </w:rPr>
              <w:t>Description</w:t>
            </w:r>
          </w:p>
        </w:tc>
      </w:tr>
      <w:tr>
        <w:trPr>
          <w:trHeight w:val="188"/>
        </w:trPr>
        <w:tc>
          <w:tcPr>
            <w:tcW w:w="2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#3</w:t>
            </w:r>
          </w:p>
        </w:tc>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927,000</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Engineering, Operational Support</w:t>
            </w:r>
          </w:p>
        </w:tc>
      </w:tr>
      <w:tr>
        <w:trPr>
          <w:trHeight w:val="188"/>
        </w:trPr>
        <w:tc>
          <w:tcPr>
            <w:tcW w:w="2700" w:type="dxa"/>
            <w:vAlign w:val="bottom"/>
            <w:gridSpan w:val="2"/>
          </w:tcPr>
          <w:p>
            <w:pPr>
              <w:spacing w:after="0"/>
              <w:rPr>
                <w:sz w:val="20"/>
                <w:szCs w:val="20"/>
                <w:color w:val="auto"/>
              </w:rPr>
            </w:pPr>
            <w:r>
              <w:rPr>
                <w:rFonts w:ascii="Arial" w:cs="Arial" w:eastAsia="Arial" w:hAnsi="Arial"/>
                <w:sz w:val="16"/>
                <w:szCs w:val="16"/>
                <w:color w:val="auto"/>
              </w:rPr>
              <w:t>Plant #4</w:t>
            </w:r>
          </w:p>
        </w:tc>
        <w:tc>
          <w:tcPr>
            <w:tcW w:w="2020" w:type="dxa"/>
            <w:vAlign w:val="bottom"/>
            <w:gridSpan w:val="2"/>
          </w:tcPr>
          <w:p>
            <w:pPr>
              <w:spacing w:after="0"/>
              <w:rPr>
                <w:sz w:val="20"/>
                <w:szCs w:val="20"/>
                <w:color w:val="auto"/>
              </w:rPr>
            </w:pPr>
            <w:r>
              <w:rPr>
                <w:rFonts w:ascii="Arial" w:cs="Arial" w:eastAsia="Arial" w:hAnsi="Arial"/>
                <w:sz w:val="16"/>
                <w:szCs w:val="16"/>
                <w:color w:val="auto"/>
              </w:rPr>
              <w:t>Indianapolis</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425,900</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tcPr>
          <w:p>
            <w:pPr>
              <w:spacing w:after="0"/>
              <w:rPr>
                <w:sz w:val="20"/>
                <w:szCs w:val="20"/>
                <w:color w:val="auto"/>
              </w:rPr>
            </w:pPr>
            <w:r>
              <w:rPr>
                <w:rFonts w:ascii="Arial" w:cs="Arial" w:eastAsia="Arial" w:hAnsi="Arial"/>
                <w:sz w:val="16"/>
                <w:szCs w:val="16"/>
                <w:color w:val="auto"/>
              </w:rPr>
              <w:t>Manufacturing</w:t>
            </w:r>
          </w:p>
        </w:tc>
      </w:tr>
      <w:tr>
        <w:trPr>
          <w:trHeight w:val="188"/>
        </w:trPr>
        <w:tc>
          <w:tcPr>
            <w:tcW w:w="2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#6</w:t>
            </w:r>
          </w:p>
        </w:tc>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431,500</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Manufacturing</w:t>
            </w:r>
          </w:p>
        </w:tc>
      </w:tr>
      <w:tr>
        <w:trPr>
          <w:trHeight w:val="188"/>
        </w:trPr>
        <w:tc>
          <w:tcPr>
            <w:tcW w:w="2700" w:type="dxa"/>
            <w:vAlign w:val="bottom"/>
            <w:gridSpan w:val="2"/>
          </w:tcPr>
          <w:p>
            <w:pPr>
              <w:spacing w:after="0"/>
              <w:rPr>
                <w:sz w:val="20"/>
                <w:szCs w:val="20"/>
                <w:color w:val="auto"/>
              </w:rPr>
            </w:pPr>
            <w:r>
              <w:rPr>
                <w:rFonts w:ascii="Arial" w:cs="Arial" w:eastAsia="Arial" w:hAnsi="Arial"/>
                <w:sz w:val="16"/>
                <w:szCs w:val="16"/>
                <w:color w:val="auto"/>
              </w:rPr>
              <w:t>Plant #12</w:t>
            </w:r>
          </w:p>
        </w:tc>
        <w:tc>
          <w:tcPr>
            <w:tcW w:w="2020" w:type="dxa"/>
            <w:vAlign w:val="bottom"/>
            <w:gridSpan w:val="2"/>
          </w:tcPr>
          <w:p>
            <w:pPr>
              <w:spacing w:after="0"/>
              <w:rPr>
                <w:sz w:val="20"/>
                <w:szCs w:val="20"/>
                <w:color w:val="auto"/>
              </w:rPr>
            </w:pPr>
            <w:r>
              <w:rPr>
                <w:rFonts w:ascii="Arial" w:cs="Arial" w:eastAsia="Arial" w:hAnsi="Arial"/>
                <w:sz w:val="16"/>
                <w:szCs w:val="16"/>
                <w:color w:val="auto"/>
              </w:rPr>
              <w:t>Indianapolis</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534,900</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tcPr>
          <w:p>
            <w:pPr>
              <w:spacing w:after="0"/>
              <w:rPr>
                <w:sz w:val="20"/>
                <w:szCs w:val="20"/>
                <w:color w:val="auto"/>
              </w:rPr>
            </w:pPr>
            <w:r>
              <w:rPr>
                <w:rFonts w:ascii="Arial" w:cs="Arial" w:eastAsia="Arial" w:hAnsi="Arial"/>
                <w:sz w:val="16"/>
                <w:szCs w:val="16"/>
                <w:color w:val="auto"/>
              </w:rPr>
              <w:t>Manufacturing</w:t>
            </w:r>
          </w:p>
        </w:tc>
      </w:tr>
      <w:tr>
        <w:trPr>
          <w:trHeight w:val="188"/>
        </w:trPr>
        <w:tc>
          <w:tcPr>
            <w:tcW w:w="2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#14</w:t>
            </w:r>
          </w:p>
        </w:tc>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481,100</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Manufacturing</w:t>
            </w:r>
          </w:p>
        </w:tc>
      </w:tr>
      <w:tr>
        <w:trPr>
          <w:trHeight w:val="188"/>
        </w:trPr>
        <w:tc>
          <w:tcPr>
            <w:tcW w:w="2700" w:type="dxa"/>
            <w:vAlign w:val="bottom"/>
            <w:gridSpan w:val="2"/>
          </w:tcPr>
          <w:p>
            <w:pPr>
              <w:spacing w:after="0"/>
              <w:rPr>
                <w:sz w:val="20"/>
                <w:szCs w:val="20"/>
                <w:color w:val="auto"/>
              </w:rPr>
            </w:pPr>
            <w:r>
              <w:rPr>
                <w:rFonts w:ascii="Arial" w:cs="Arial" w:eastAsia="Arial" w:hAnsi="Arial"/>
                <w:sz w:val="16"/>
                <w:szCs w:val="16"/>
                <w:color w:val="auto"/>
              </w:rPr>
              <w:t>Plant #16</w:t>
            </w:r>
          </w:p>
        </w:tc>
        <w:tc>
          <w:tcPr>
            <w:tcW w:w="2020" w:type="dxa"/>
            <w:vAlign w:val="bottom"/>
            <w:gridSpan w:val="2"/>
          </w:tcPr>
          <w:p>
            <w:pPr>
              <w:spacing w:after="0"/>
              <w:rPr>
                <w:sz w:val="20"/>
                <w:szCs w:val="20"/>
                <w:color w:val="auto"/>
              </w:rPr>
            </w:pPr>
            <w:r>
              <w:rPr>
                <w:rFonts w:ascii="Arial" w:cs="Arial" w:eastAsia="Arial" w:hAnsi="Arial"/>
                <w:sz w:val="16"/>
                <w:szCs w:val="16"/>
                <w:color w:val="auto"/>
              </w:rPr>
              <w:t>Indianapolis</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391,700</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tcPr>
          <w:p>
            <w:pPr>
              <w:spacing w:after="0"/>
              <w:rPr>
                <w:sz w:val="20"/>
                <w:szCs w:val="20"/>
                <w:color w:val="auto"/>
              </w:rPr>
            </w:pPr>
            <w:r>
              <w:rPr>
                <w:rFonts w:ascii="Arial" w:cs="Arial" w:eastAsia="Arial" w:hAnsi="Arial"/>
                <w:sz w:val="16"/>
                <w:szCs w:val="16"/>
                <w:color w:val="auto"/>
              </w:rPr>
              <w:t>Manufacturing</w:t>
            </w:r>
          </w:p>
        </w:tc>
      </w:tr>
      <w:tr>
        <w:trPr>
          <w:trHeight w:val="188"/>
        </w:trPr>
        <w:tc>
          <w:tcPr>
            <w:tcW w:w="2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Plant #17</w:t>
            </w:r>
          </w:p>
        </w:tc>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Indianapolis</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389,000</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Parts Distribution Center</w:t>
            </w:r>
          </w:p>
        </w:tc>
      </w:tr>
      <w:tr>
        <w:trPr>
          <w:trHeight w:val="187"/>
        </w:trPr>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20" w:type="dxa"/>
            <w:vAlign w:val="bottom"/>
            <w:gridSpan w:val="2"/>
          </w:tcPr>
          <w:p>
            <w:pPr>
              <w:spacing w:after="0"/>
              <w:rPr>
                <w:sz w:val="20"/>
                <w:szCs w:val="20"/>
                <w:color w:val="auto"/>
              </w:rPr>
            </w:pPr>
            <w:r>
              <w:rPr>
                <w:rFonts w:ascii="Arial" w:cs="Arial" w:eastAsia="Arial" w:hAnsi="Arial"/>
                <w:sz w:val="16"/>
                <w:szCs w:val="16"/>
                <w:color w:val="auto"/>
              </w:rPr>
              <w:t>Auburn Hills, Michigan,</w:t>
            </w: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Arial" w:cs="Arial" w:eastAsia="Arial" w:hAnsi="Arial"/>
                <w:sz w:val="16"/>
                <w:szCs w:val="16"/>
                <w:color w:val="auto"/>
              </w:rPr>
              <w:t>Engineering, Operational Support,</w:t>
            </w:r>
          </w:p>
        </w:tc>
      </w:tr>
      <w:tr>
        <w:trPr>
          <w:trHeight w:val="177"/>
        </w:trPr>
        <w:tc>
          <w:tcPr>
            <w:tcW w:w="2700" w:type="dxa"/>
            <w:vAlign w:val="bottom"/>
            <w:gridSpan w:val="2"/>
          </w:tcPr>
          <w:p>
            <w:pPr>
              <w:spacing w:after="0" w:line="177" w:lineRule="exact"/>
              <w:rPr>
                <w:sz w:val="20"/>
                <w:szCs w:val="20"/>
                <w:color w:val="auto"/>
              </w:rPr>
            </w:pPr>
            <w:r>
              <w:rPr>
                <w:rFonts w:ascii="Arial" w:cs="Arial" w:eastAsia="Arial" w:hAnsi="Arial"/>
                <w:sz w:val="16"/>
                <w:szCs w:val="16"/>
                <w:color w:val="auto"/>
              </w:rPr>
              <w:t>Auburn Hills</w:t>
            </w:r>
          </w:p>
        </w:tc>
        <w:tc>
          <w:tcPr>
            <w:tcW w:w="2020" w:type="dxa"/>
            <w:vAlign w:val="bottom"/>
            <w:gridSpan w:val="2"/>
          </w:tcPr>
          <w:p>
            <w:pPr>
              <w:spacing w:after="0" w:line="177" w:lineRule="exact"/>
              <w:rPr>
                <w:sz w:val="20"/>
                <w:szCs w:val="20"/>
                <w:color w:val="auto"/>
              </w:rPr>
            </w:pPr>
            <w:r>
              <w:rPr>
                <w:rFonts w:ascii="Arial" w:cs="Arial" w:eastAsia="Arial" w:hAnsi="Arial"/>
                <w:sz w:val="16"/>
                <w:szCs w:val="16"/>
                <w:color w:val="auto"/>
              </w:rPr>
              <w:t>USA</w:t>
            </w:r>
          </w:p>
        </w:tc>
        <w:tc>
          <w:tcPr>
            <w:tcW w:w="1220" w:type="dxa"/>
            <w:vAlign w:val="bottom"/>
          </w:tcPr>
          <w:p>
            <w:pPr>
              <w:jc w:val="right"/>
              <w:ind w:right="24"/>
              <w:spacing w:after="0" w:line="177" w:lineRule="exact"/>
              <w:rPr>
                <w:sz w:val="20"/>
                <w:szCs w:val="20"/>
                <w:color w:val="auto"/>
              </w:rPr>
            </w:pPr>
            <w:r>
              <w:rPr>
                <w:rFonts w:ascii="Arial" w:cs="Arial" w:eastAsia="Arial" w:hAnsi="Arial"/>
                <w:sz w:val="16"/>
                <w:szCs w:val="16"/>
                <w:color w:val="auto"/>
              </w:rPr>
              <w:t>110,400</w:t>
            </w:r>
          </w:p>
        </w:tc>
        <w:tc>
          <w:tcPr>
            <w:tcW w:w="180" w:type="dxa"/>
            <w:vAlign w:val="bottom"/>
          </w:tcPr>
          <w:p>
            <w:pPr>
              <w:spacing w:after="0"/>
              <w:rPr>
                <w:sz w:val="15"/>
                <w:szCs w:val="15"/>
                <w:color w:val="auto"/>
              </w:rPr>
            </w:pPr>
          </w:p>
        </w:tc>
        <w:tc>
          <w:tcPr>
            <w:tcW w:w="1220" w:type="dxa"/>
            <w:vAlign w:val="bottom"/>
            <w:gridSpan w:val="2"/>
          </w:tcPr>
          <w:p>
            <w:pPr>
              <w:jc w:val="right"/>
              <w:ind w:right="180"/>
              <w:spacing w:after="0" w:line="177" w:lineRule="exact"/>
              <w:rPr>
                <w:sz w:val="20"/>
                <w:szCs w:val="20"/>
                <w:color w:val="auto"/>
              </w:rPr>
            </w:pPr>
            <w:r>
              <w:rPr>
                <w:rFonts w:ascii="Arial" w:cs="Arial" w:eastAsia="Arial" w:hAnsi="Arial"/>
                <w:sz w:val="16"/>
                <w:szCs w:val="16"/>
                <w:color w:val="auto"/>
              </w:rPr>
              <w:t>Lease</w:t>
            </w:r>
          </w:p>
        </w:tc>
        <w:tc>
          <w:tcPr>
            <w:tcW w:w="2960" w:type="dxa"/>
            <w:vAlign w:val="bottom"/>
          </w:tcPr>
          <w:p>
            <w:pPr>
              <w:spacing w:after="0" w:line="177" w:lineRule="exact"/>
              <w:rPr>
                <w:sz w:val="20"/>
                <w:szCs w:val="20"/>
                <w:color w:val="auto"/>
              </w:rPr>
            </w:pPr>
            <w:r>
              <w:rPr>
                <w:rFonts w:ascii="Arial" w:cs="Arial" w:eastAsia="Arial" w:hAnsi="Arial"/>
                <w:sz w:val="16"/>
                <w:szCs w:val="16"/>
                <w:color w:val="auto"/>
              </w:rPr>
              <w:t>Manufacturing</w:t>
            </w:r>
          </w:p>
        </w:tc>
      </w:tr>
      <w:tr>
        <w:trPr>
          <w:trHeight w:val="187"/>
        </w:trPr>
        <w:tc>
          <w:tcPr>
            <w:tcW w:w="32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Lewisburg, Tennessee,</w:t>
            </w:r>
          </w:p>
        </w:tc>
        <w:tc>
          <w:tcPr>
            <w:tcW w:w="1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960" w:type="dxa"/>
            <w:vAlign w:val="bottom"/>
            <w:shd w:val="clear" w:color="auto" w:fill="CFF0FC"/>
          </w:tcPr>
          <w:p>
            <w:pPr>
              <w:spacing w:after="0"/>
              <w:rPr>
                <w:sz w:val="16"/>
                <w:szCs w:val="16"/>
                <w:color w:val="auto"/>
              </w:rPr>
            </w:pPr>
          </w:p>
        </w:tc>
      </w:tr>
      <w:tr>
        <w:trPr>
          <w:trHeight w:val="177"/>
        </w:trPr>
        <w:tc>
          <w:tcPr>
            <w:tcW w:w="2700" w:type="dxa"/>
            <w:vAlign w:val="bottom"/>
            <w:gridSpan w:val="2"/>
            <w:shd w:val="clear" w:color="auto" w:fill="CFF0FC"/>
          </w:tcPr>
          <w:p>
            <w:pPr>
              <w:spacing w:after="0" w:line="177" w:lineRule="exact"/>
              <w:rPr>
                <w:sz w:val="20"/>
                <w:szCs w:val="20"/>
                <w:color w:val="auto"/>
              </w:rPr>
            </w:pPr>
            <w:r>
              <w:rPr>
                <w:rFonts w:ascii="Arial" w:cs="Arial" w:eastAsia="Arial" w:hAnsi="Arial"/>
                <w:sz w:val="16"/>
                <w:szCs w:val="16"/>
                <w:color w:val="auto"/>
              </w:rPr>
              <w:t>Walker Die Casting</w:t>
            </w:r>
          </w:p>
        </w:tc>
        <w:tc>
          <w:tcPr>
            <w:tcW w:w="2020" w:type="dxa"/>
            <w:vAlign w:val="bottom"/>
            <w:gridSpan w:val="2"/>
            <w:shd w:val="clear" w:color="auto" w:fill="CFF0FC"/>
          </w:tcPr>
          <w:p>
            <w:pPr>
              <w:spacing w:after="0" w:line="177" w:lineRule="exact"/>
              <w:rPr>
                <w:sz w:val="20"/>
                <w:szCs w:val="20"/>
                <w:color w:val="auto"/>
              </w:rPr>
            </w:pPr>
            <w:r>
              <w:rPr>
                <w:rFonts w:ascii="Arial" w:cs="Arial" w:eastAsia="Arial" w:hAnsi="Arial"/>
                <w:sz w:val="16"/>
                <w:szCs w:val="16"/>
                <w:color w:val="auto"/>
              </w:rPr>
              <w:t>USA</w:t>
            </w:r>
          </w:p>
        </w:tc>
        <w:tc>
          <w:tcPr>
            <w:tcW w:w="1220" w:type="dxa"/>
            <w:vAlign w:val="bottom"/>
            <w:shd w:val="clear" w:color="auto" w:fill="CFF0FC"/>
          </w:tcPr>
          <w:p>
            <w:pPr>
              <w:jc w:val="right"/>
              <w:ind w:right="24"/>
              <w:spacing w:after="0" w:line="177" w:lineRule="exact"/>
              <w:rPr>
                <w:sz w:val="20"/>
                <w:szCs w:val="20"/>
                <w:color w:val="auto"/>
              </w:rPr>
            </w:pPr>
            <w:r>
              <w:rPr>
                <w:rFonts w:ascii="Arial" w:cs="Arial" w:eastAsia="Arial" w:hAnsi="Arial"/>
                <w:sz w:val="16"/>
                <w:szCs w:val="16"/>
                <w:color w:val="auto"/>
              </w:rPr>
              <w:t>774,100</w:t>
            </w:r>
          </w:p>
        </w:tc>
        <w:tc>
          <w:tcPr>
            <w:tcW w:w="1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line="177" w:lineRule="exact"/>
              <w:rPr>
                <w:sz w:val="20"/>
                <w:szCs w:val="20"/>
                <w:color w:val="auto"/>
              </w:rPr>
            </w:pPr>
            <w:r>
              <w:rPr>
                <w:rFonts w:ascii="Arial" w:cs="Arial" w:eastAsia="Arial" w:hAnsi="Arial"/>
                <w:sz w:val="16"/>
                <w:szCs w:val="16"/>
                <w:color w:val="auto"/>
              </w:rPr>
              <w:t>Own</w:t>
            </w:r>
          </w:p>
        </w:tc>
        <w:tc>
          <w:tcPr>
            <w:tcW w:w="2960" w:type="dxa"/>
            <w:vAlign w:val="bottom"/>
            <w:shd w:val="clear" w:color="auto" w:fill="CFF0FC"/>
          </w:tcPr>
          <w:p>
            <w:pPr>
              <w:spacing w:after="0" w:line="177" w:lineRule="exact"/>
              <w:rPr>
                <w:sz w:val="20"/>
                <w:szCs w:val="20"/>
                <w:color w:val="auto"/>
              </w:rPr>
            </w:pPr>
            <w:r>
              <w:rPr>
                <w:rFonts w:ascii="Arial" w:cs="Arial" w:eastAsia="Arial" w:hAnsi="Arial"/>
                <w:sz w:val="16"/>
                <w:szCs w:val="16"/>
                <w:color w:val="auto"/>
              </w:rPr>
              <w:t>Manufacturing</w:t>
            </w:r>
          </w:p>
        </w:tc>
      </w:tr>
      <w:tr>
        <w:trPr>
          <w:trHeight w:val="188"/>
        </w:trPr>
        <w:tc>
          <w:tcPr>
            <w:tcW w:w="2700" w:type="dxa"/>
            <w:vAlign w:val="bottom"/>
            <w:gridSpan w:val="2"/>
          </w:tcPr>
          <w:p>
            <w:pPr>
              <w:spacing w:after="0"/>
              <w:rPr>
                <w:sz w:val="20"/>
                <w:szCs w:val="20"/>
                <w:color w:val="auto"/>
              </w:rPr>
            </w:pPr>
            <w:r>
              <w:rPr>
                <w:rFonts w:ascii="Arial" w:cs="Arial" w:eastAsia="Arial" w:hAnsi="Arial"/>
                <w:sz w:val="16"/>
                <w:szCs w:val="16"/>
                <w:color w:val="auto"/>
              </w:rPr>
              <w:t>Szentgotthard</w:t>
            </w:r>
          </w:p>
        </w:tc>
        <w:tc>
          <w:tcPr>
            <w:tcW w:w="2020" w:type="dxa"/>
            <w:vAlign w:val="bottom"/>
            <w:gridSpan w:val="2"/>
          </w:tcPr>
          <w:p>
            <w:pPr>
              <w:spacing w:after="0"/>
              <w:rPr>
                <w:sz w:val="20"/>
                <w:szCs w:val="20"/>
                <w:color w:val="auto"/>
              </w:rPr>
            </w:pPr>
            <w:r>
              <w:rPr>
                <w:rFonts w:ascii="Arial" w:cs="Arial" w:eastAsia="Arial" w:hAnsi="Arial"/>
                <w:sz w:val="16"/>
                <w:szCs w:val="16"/>
                <w:color w:val="auto"/>
              </w:rPr>
              <w:t>Hungary</w:t>
            </w:r>
          </w:p>
        </w:tc>
        <w:tc>
          <w:tcPr>
            <w:tcW w:w="1220" w:type="dxa"/>
            <w:vAlign w:val="bottom"/>
          </w:tcPr>
          <w:p>
            <w:pPr>
              <w:jc w:val="right"/>
              <w:ind w:right="24"/>
              <w:spacing w:after="0"/>
              <w:rPr>
                <w:sz w:val="20"/>
                <w:szCs w:val="20"/>
                <w:color w:val="auto"/>
              </w:rPr>
            </w:pPr>
            <w:r>
              <w:rPr>
                <w:rFonts w:ascii="Arial" w:cs="Arial" w:eastAsia="Arial" w:hAnsi="Arial"/>
                <w:sz w:val="16"/>
                <w:szCs w:val="16"/>
                <w:color w:val="auto"/>
              </w:rPr>
              <w:t>149,000</w:t>
            </w:r>
          </w:p>
        </w:tc>
        <w:tc>
          <w:tcPr>
            <w:tcW w:w="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tcPr>
          <w:p>
            <w:pPr>
              <w:spacing w:after="0"/>
              <w:rPr>
                <w:sz w:val="20"/>
                <w:szCs w:val="20"/>
                <w:color w:val="auto"/>
              </w:rPr>
            </w:pPr>
            <w:r>
              <w:rPr>
                <w:rFonts w:ascii="Arial" w:cs="Arial" w:eastAsia="Arial" w:hAnsi="Arial"/>
                <w:sz w:val="16"/>
                <w:szCs w:val="16"/>
                <w:color w:val="auto"/>
              </w:rPr>
              <w:t>Manufacturing &amp; Customization</w:t>
            </w:r>
          </w:p>
        </w:tc>
      </w:tr>
      <w:tr>
        <w:trPr>
          <w:trHeight w:val="188"/>
        </w:trPr>
        <w:tc>
          <w:tcPr>
            <w:tcW w:w="27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Chennai</w:t>
            </w:r>
          </w:p>
        </w:tc>
        <w:tc>
          <w:tcPr>
            <w:tcW w:w="20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India</w:t>
            </w:r>
          </w:p>
        </w:tc>
        <w:tc>
          <w:tcPr>
            <w:tcW w:w="12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258,500</w:t>
            </w:r>
          </w:p>
        </w:tc>
        <w:tc>
          <w:tcPr>
            <w:tcW w:w="1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Own</w:t>
            </w:r>
          </w:p>
        </w:tc>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Manufacturing</w:t>
            </w:r>
          </w:p>
        </w:tc>
      </w:tr>
    </w:tbl>
    <w:p>
      <w:pPr>
        <w:spacing w:after="0" w:line="175" w:lineRule="exact"/>
        <w:rPr>
          <w:sz w:val="20"/>
          <w:szCs w:val="20"/>
          <w:color w:val="auto"/>
        </w:rPr>
      </w:pPr>
    </w:p>
    <w:p>
      <w:pPr>
        <w:ind w:right="160" w:firstLine="531"/>
        <w:spacing w:after="0" w:line="237" w:lineRule="auto"/>
        <w:rPr>
          <w:sz w:val="20"/>
          <w:szCs w:val="20"/>
          <w:color w:val="auto"/>
        </w:rPr>
      </w:pPr>
      <w:r>
        <w:rPr>
          <w:rFonts w:ascii="Arial" w:cs="Arial" w:eastAsia="Arial" w:hAnsi="Arial"/>
          <w:sz w:val="16"/>
          <w:szCs w:val="16"/>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53"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 See also NOTE 18, “Commitments and Contingencies” in Part II, Item 8, of this Annual Report on Form 10-K.</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40"/>
          </w:cols>
          <w:pgMar w:left="240" w:top="140" w:right="319" w:bottom="1440" w:gutter="0" w:footer="0" w:header="0"/>
        </w:sectPr>
      </w:pPr>
    </w:p>
    <w:bookmarkStart w:id="31" w:name="page32"/>
    <w:bookmarkEnd w:id="31"/>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PART II.</w:t>
      </w:r>
    </w:p>
    <w:p>
      <w:pPr>
        <w:spacing w:after="0" w:line="180" w:lineRule="exact"/>
        <w:rPr>
          <w:sz w:val="20"/>
          <w:szCs w:val="20"/>
          <w:color w:val="auto"/>
        </w:rPr>
      </w:pPr>
    </w:p>
    <w:p>
      <w:pPr>
        <w:ind w:left="6" w:right="2560"/>
        <w:spacing w:after="0" w:line="426" w:lineRule="auto"/>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ind w:left="526"/>
        <w:spacing w:after="0"/>
        <w:rPr>
          <w:sz w:val="20"/>
          <w:szCs w:val="20"/>
          <w:color w:val="auto"/>
        </w:rPr>
      </w:pPr>
      <w:r>
        <w:rPr>
          <w:rFonts w:ascii="Arial" w:cs="Arial" w:eastAsia="Arial" w:hAnsi="Arial"/>
          <w:sz w:val="16"/>
          <w:szCs w:val="16"/>
          <w:color w:val="auto"/>
        </w:rPr>
        <w:t>Our common stock is listed on the NYSE under the symbol “ALSN.”</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Holders</w:t>
      </w:r>
    </w:p>
    <w:p>
      <w:pPr>
        <w:spacing w:after="0" w:line="153" w:lineRule="exact"/>
        <w:rPr>
          <w:sz w:val="20"/>
          <w:szCs w:val="20"/>
          <w:color w:val="auto"/>
        </w:rPr>
      </w:pPr>
    </w:p>
    <w:p>
      <w:pPr>
        <w:ind w:left="6" w:right="400" w:firstLine="531"/>
        <w:spacing w:after="0" w:line="234" w:lineRule="auto"/>
        <w:rPr>
          <w:sz w:val="20"/>
          <w:szCs w:val="20"/>
          <w:color w:val="auto"/>
        </w:rPr>
      </w:pPr>
      <w:r>
        <w:rPr>
          <w:rFonts w:ascii="Arial" w:cs="Arial" w:eastAsia="Arial" w:hAnsi="Arial"/>
          <w:sz w:val="16"/>
          <w:szCs w:val="16"/>
          <w:color w:val="auto"/>
        </w:rPr>
        <w:t>As of February 10, 2020, there were approximately 61,700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53" w:lineRule="exact"/>
        <w:rPr>
          <w:sz w:val="20"/>
          <w:szCs w:val="20"/>
          <w:color w:val="auto"/>
        </w:rPr>
      </w:pPr>
    </w:p>
    <w:p>
      <w:pPr>
        <w:ind w:left="6" w:right="120" w:firstLine="531"/>
        <w:spacing w:after="0" w:line="237" w:lineRule="auto"/>
        <w:rPr>
          <w:sz w:val="20"/>
          <w:szCs w:val="20"/>
          <w:color w:val="auto"/>
        </w:rPr>
      </w:pPr>
      <w:r>
        <w:rPr>
          <w:rFonts w:ascii="Arial" w:cs="Arial" w:eastAsia="Arial" w:hAnsi="Arial"/>
          <w:sz w:val="16"/>
          <w:szCs w:val="16"/>
          <w:color w:val="auto"/>
        </w:rPr>
        <w:t>During the period covered by this Annual Report on Form 10-K, we did not offer or sell any equity securities that were not registered under the Securities Act of 1933, as amended (the “Securities Act”).</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53" w:lineRule="exact"/>
        <w:rPr>
          <w:sz w:val="20"/>
          <w:szCs w:val="20"/>
          <w:color w:val="auto"/>
        </w:rPr>
      </w:pPr>
    </w:p>
    <w:p>
      <w:pPr>
        <w:ind w:left="6" w:right="80" w:firstLine="531"/>
        <w:spacing w:after="0" w:line="250" w:lineRule="auto"/>
        <w:rPr>
          <w:sz w:val="20"/>
          <w:szCs w:val="20"/>
          <w:color w:val="auto"/>
        </w:rPr>
      </w:pPr>
      <w:r>
        <w:rPr>
          <w:rFonts w:ascii="Arial" w:cs="Arial" w:eastAsia="Arial" w:hAnsi="Arial"/>
          <w:sz w:val="15"/>
          <w:szCs w:val="15"/>
          <w:color w:val="auto"/>
        </w:rPr>
        <w:t>On November 14, 2016, our Board of Directors authorized us to repurchase up to $1,000 million of our common stock pursuant to a stock repurchase program (“Repurchase Program”). The Board of Directors approved increases of $ 500 million, $ 500 million and $1,000 million on November 8, 2017, July 30, 2018 and May 9, 2019, respectively, bringing the authorized total repurchases under the Repurchase Program to $3,000 million. The terms of the Repurchase Program provide that we may repurchase shares of our common stock, from time to time depending on market conditions and corporate needs, in the open market or through privately negotiated transactions in accordance with Rule 10b-18 of the Exchange Act. The Repurchase Program does not have an expiration date.</w:t>
      </w:r>
    </w:p>
    <w:p>
      <w:pPr>
        <w:spacing w:after="0" w:line="122" w:lineRule="exact"/>
        <w:rPr>
          <w:sz w:val="20"/>
          <w:szCs w:val="20"/>
          <w:color w:val="auto"/>
        </w:rPr>
      </w:pPr>
    </w:p>
    <w:p>
      <w:pPr>
        <w:ind w:left="526"/>
        <w:spacing w:after="0"/>
        <w:rPr>
          <w:sz w:val="20"/>
          <w:szCs w:val="20"/>
          <w:color w:val="auto"/>
        </w:rPr>
      </w:pPr>
      <w:r>
        <w:rPr>
          <w:rFonts w:ascii="Arial" w:cs="Arial" w:eastAsia="Arial" w:hAnsi="Arial"/>
          <w:sz w:val="15"/>
          <w:szCs w:val="15"/>
          <w:color w:val="auto"/>
        </w:rPr>
        <w:t>The following table sets forth information related to our repurchase of our common stock on a monthly basis in the three months ended December 31, 2019:</w:t>
      </w:r>
    </w:p>
    <w:p>
      <w:pPr>
        <w:spacing w:after="0" w:line="171" w:lineRule="exact"/>
        <w:rPr>
          <w:sz w:val="20"/>
          <w:szCs w:val="20"/>
          <w:color w:val="auto"/>
        </w:rPr>
      </w:pPr>
    </w:p>
    <w:tbl>
      <w:tblPr>
        <w:tblLayout w:type="fixed"/>
        <w:tblInd w:w="6"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center"/>
              <w:ind w:right="32"/>
              <w:spacing w:after="0"/>
              <w:rPr>
                <w:sz w:val="20"/>
                <w:szCs w:val="20"/>
                <w:color w:val="auto"/>
              </w:rPr>
            </w:pPr>
            <w:r>
              <w:rPr>
                <w:rFonts w:ascii="Arial" w:cs="Arial" w:eastAsia="Arial" w:hAnsi="Arial"/>
                <w:sz w:val="13"/>
                <w:szCs w:val="13"/>
                <w:b w:val="1"/>
                <w:bCs w:val="1"/>
                <w:color w:val="auto"/>
                <w:w w:val="96"/>
              </w:rPr>
              <w:t>Total Number of</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41"/>
        </w:trPr>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5"/>
              </w:rPr>
              <w:t>Shares Purchased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93"/>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44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4"/>
              </w:rPr>
              <w:t>as Part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93"/>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4420" w:type="dxa"/>
            <w:vAlign w:val="bottom"/>
          </w:tcPr>
          <w:p>
            <w:pPr>
              <w:spacing w:after="0"/>
              <w:rPr>
                <w:sz w:val="12"/>
                <w:szCs w:val="12"/>
                <w:color w:val="auto"/>
              </w:rPr>
            </w:pPr>
          </w:p>
        </w:tc>
        <w:tc>
          <w:tcPr>
            <w:tcW w:w="1620" w:type="dxa"/>
            <w:vAlign w:val="bottom"/>
          </w:tcPr>
          <w:p>
            <w:pPr>
              <w:jc w:val="center"/>
              <w:ind w:right="49"/>
              <w:spacing w:after="0" w:line="141" w:lineRule="exact"/>
              <w:rPr>
                <w:sz w:val="20"/>
                <w:szCs w:val="20"/>
                <w:color w:val="auto"/>
              </w:rPr>
            </w:pPr>
            <w:r>
              <w:rPr>
                <w:rFonts w:ascii="Arial" w:cs="Arial" w:eastAsia="Arial" w:hAnsi="Arial"/>
                <w:sz w:val="13"/>
                <w:szCs w:val="13"/>
                <w:b w:val="1"/>
                <w:bCs w:val="1"/>
                <w:color w:val="auto"/>
                <w:w w:val="93"/>
              </w:rPr>
              <w:t>Total Number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6"/>
              </w:rPr>
              <w:t>Publicly</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93"/>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38"/>
        </w:trPr>
        <w:tc>
          <w:tcPr>
            <w:tcW w:w="4420" w:type="dxa"/>
            <w:vAlign w:val="bottom"/>
          </w:tcPr>
          <w:p>
            <w:pPr>
              <w:spacing w:after="0"/>
              <w:rPr>
                <w:sz w:val="12"/>
                <w:szCs w:val="12"/>
                <w:color w:val="auto"/>
              </w:rPr>
            </w:pPr>
          </w:p>
        </w:tc>
        <w:tc>
          <w:tcPr>
            <w:tcW w:w="1620" w:type="dxa"/>
            <w:vAlign w:val="bottom"/>
          </w:tcPr>
          <w:p>
            <w:pPr>
              <w:jc w:val="center"/>
              <w:ind w:right="49"/>
              <w:spacing w:after="0" w:line="139" w:lineRule="exact"/>
              <w:rPr>
                <w:sz w:val="20"/>
                <w:szCs w:val="20"/>
                <w:color w:val="auto"/>
              </w:rPr>
            </w:pPr>
            <w:r>
              <w:rPr>
                <w:rFonts w:ascii="Arial" w:cs="Arial" w:eastAsia="Arial" w:hAnsi="Arial"/>
                <w:sz w:val="13"/>
                <w:szCs w:val="13"/>
                <w:b w:val="1"/>
                <w:bCs w:val="1"/>
                <w:color w:val="auto"/>
                <w:w w:val="97"/>
              </w:rPr>
              <w:t>of Shares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8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Average Price</w:t>
            </w:r>
          </w:p>
        </w:tc>
        <w:tc>
          <w:tcPr>
            <w:tcW w:w="1620" w:type="dxa"/>
            <w:vAlign w:val="bottom"/>
          </w:tcPr>
          <w:p>
            <w:pPr>
              <w:jc w:val="center"/>
              <w:ind w:right="32"/>
              <w:spacing w:after="0" w:line="139" w:lineRule="exact"/>
              <w:rPr>
                <w:sz w:val="20"/>
                <w:szCs w:val="20"/>
                <w:color w:val="auto"/>
              </w:rPr>
            </w:pPr>
            <w:r>
              <w:rPr>
                <w:rFonts w:ascii="Arial" w:cs="Arial" w:eastAsia="Arial" w:hAnsi="Arial"/>
                <w:sz w:val="13"/>
                <w:szCs w:val="13"/>
                <w:b w:val="1"/>
                <w:bCs w:val="1"/>
                <w:color w:val="auto"/>
                <w:w w:val="95"/>
              </w:rPr>
              <w:t>Announced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jc w:val="center"/>
              <w:ind w:right="193"/>
              <w:spacing w:after="0" w:line="139" w:lineRule="exact"/>
              <w:rPr>
                <w:sz w:val="20"/>
                <w:szCs w:val="20"/>
                <w:color w:val="auto"/>
              </w:rPr>
            </w:pPr>
            <w:r>
              <w:rPr>
                <w:rFonts w:ascii="Arial" w:cs="Arial" w:eastAsia="Arial" w:hAnsi="Arial"/>
                <w:sz w:val="13"/>
                <w:szCs w:val="13"/>
                <w:b w:val="1"/>
                <w:bCs w:val="1"/>
                <w:color w:val="auto"/>
                <w:w w:val="94"/>
              </w:rPr>
              <w:t>Yet Be Purchased</w:t>
            </w:r>
          </w:p>
        </w:tc>
      </w:tr>
      <w:tr>
        <w:trPr>
          <w:trHeight w:val="155"/>
        </w:trPr>
        <w:tc>
          <w:tcPr>
            <w:tcW w:w="4420" w:type="dxa"/>
            <w:vAlign w:val="bottom"/>
            <w:tcBorders>
              <w:bottom w:val="single" w:sz="8" w:color="CFF0FC"/>
            </w:tcBorders>
          </w:tcPr>
          <w:p>
            <w:pPr>
              <w:spacing w:after="0"/>
              <w:rPr>
                <w:sz w:val="13"/>
                <w:szCs w:val="13"/>
                <w:color w:val="auto"/>
              </w:rPr>
            </w:pPr>
          </w:p>
        </w:tc>
        <w:tc>
          <w:tcPr>
            <w:tcW w:w="1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6"/>
              </w:rPr>
              <w:t>Purchased</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Paid per Share</w:t>
            </w:r>
          </w:p>
        </w:tc>
        <w:tc>
          <w:tcPr>
            <w:tcW w:w="160" w:type="dxa"/>
            <w:vAlign w:val="bottom"/>
            <w:tcBorders>
              <w:bottom w:val="single" w:sz="8" w:color="CFF0FC"/>
            </w:tcBorders>
          </w:tcPr>
          <w:p>
            <w:pPr>
              <w:spacing w:after="0"/>
              <w:rPr>
                <w:sz w:val="13"/>
                <w:szCs w:val="13"/>
                <w:color w:val="auto"/>
              </w:rPr>
            </w:pPr>
          </w:p>
        </w:tc>
        <w:tc>
          <w:tcPr>
            <w:tcW w:w="1620" w:type="dxa"/>
            <w:vAlign w:val="bottom"/>
            <w:tcBorders>
              <w:bottom w:val="single" w:sz="8" w:color="auto"/>
            </w:tcBorders>
          </w:tcPr>
          <w:p>
            <w:pPr>
              <w:jc w:val="center"/>
              <w:ind w:right="32"/>
              <w:spacing w:after="0" w:line="155" w:lineRule="exact"/>
              <w:rPr>
                <w:sz w:val="20"/>
                <w:szCs w:val="20"/>
                <w:color w:val="auto"/>
              </w:rPr>
            </w:pPr>
            <w:r>
              <w:rPr>
                <w:rFonts w:ascii="Arial" w:cs="Arial" w:eastAsia="Arial" w:hAnsi="Arial"/>
                <w:sz w:val="11"/>
                <w:szCs w:val="11"/>
                <w:b w:val="1"/>
                <w:bCs w:val="1"/>
                <w:color w:val="auto"/>
              </w:rPr>
              <w:t>Programs</w:t>
            </w:r>
            <w:r>
              <w:rPr>
                <w:rFonts w:ascii="Arial" w:cs="Arial" w:eastAsia="Arial" w:hAnsi="Arial"/>
                <w:sz w:val="17"/>
                <w:szCs w:val="17"/>
                <w:b w:val="1"/>
                <w:bCs w:val="1"/>
                <w:color w:val="auto"/>
                <w:vertAlign w:val="superscript"/>
              </w:rPr>
              <w:t>(1)</w:t>
            </w:r>
          </w:p>
        </w:tc>
        <w:tc>
          <w:tcPr>
            <w:tcW w:w="1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1"/>
                <w:szCs w:val="11"/>
                <w:b w:val="1"/>
                <w:bCs w:val="1"/>
                <w:color w:val="auto"/>
              </w:rPr>
              <w:t>Under Programs</w:t>
            </w:r>
            <w:r>
              <w:rPr>
                <w:rFonts w:ascii="Arial" w:cs="Arial" w:eastAsia="Arial" w:hAnsi="Arial"/>
                <w:sz w:val="17"/>
                <w:szCs w:val="17"/>
                <w:b w:val="1"/>
                <w:bCs w:val="1"/>
                <w:color w:val="auto"/>
                <w:vertAlign w:val="superscript"/>
              </w:rPr>
              <w:t>(1)</w:t>
            </w:r>
          </w:p>
        </w:tc>
      </w:tr>
      <w:tr>
        <w:trPr>
          <w:trHeight w:val="179"/>
        </w:trPr>
        <w:tc>
          <w:tcPr>
            <w:tcW w:w="4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October 1 – October 31, 2019</w:t>
            </w:r>
          </w:p>
        </w:tc>
        <w:tc>
          <w:tcPr>
            <w:tcW w:w="1620" w:type="dxa"/>
            <w:vAlign w:val="bottom"/>
            <w:shd w:val="clear" w:color="auto" w:fill="CFF0FC"/>
          </w:tcPr>
          <w:p>
            <w:pPr>
              <w:jc w:val="right"/>
              <w:ind w:right="49"/>
              <w:spacing w:after="0" w:line="180" w:lineRule="exact"/>
              <w:rPr>
                <w:sz w:val="20"/>
                <w:szCs w:val="20"/>
                <w:color w:val="auto"/>
              </w:rPr>
            </w:pPr>
            <w:r>
              <w:rPr>
                <w:rFonts w:ascii="Arial" w:cs="Arial" w:eastAsia="Arial" w:hAnsi="Arial"/>
                <w:sz w:val="16"/>
                <w:szCs w:val="16"/>
                <w:color w:val="auto"/>
              </w:rPr>
              <w:t>630,944</w:t>
            </w:r>
          </w:p>
        </w:tc>
        <w:tc>
          <w:tcPr>
            <w:tcW w:w="38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44.65</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630,944</w:t>
            </w:r>
          </w:p>
        </w:tc>
        <w:tc>
          <w:tcPr>
            <w:tcW w:w="320" w:type="dxa"/>
            <w:vAlign w:val="bottom"/>
            <w:gridSpan w:val="2"/>
            <w:shd w:val="clear" w:color="auto" w:fill="CFF0FC"/>
          </w:tcPr>
          <w:p>
            <w:pPr>
              <w:jc w:val="right"/>
              <w:ind w:right="40"/>
              <w:spacing w:after="0" w:line="180"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53"/>
              <w:spacing w:after="0" w:line="180" w:lineRule="exact"/>
              <w:rPr>
                <w:sz w:val="20"/>
                <w:szCs w:val="20"/>
                <w:color w:val="auto"/>
              </w:rPr>
            </w:pPr>
            <w:r>
              <w:rPr>
                <w:rFonts w:ascii="Arial" w:cs="Arial" w:eastAsia="Arial" w:hAnsi="Arial"/>
                <w:sz w:val="16"/>
                <w:szCs w:val="16"/>
                <w:color w:val="auto"/>
              </w:rPr>
              <w:t>1,085,727,511</w:t>
            </w:r>
          </w:p>
        </w:tc>
      </w:tr>
      <w:tr>
        <w:trPr>
          <w:trHeight w:val="188"/>
        </w:trPr>
        <w:tc>
          <w:tcPr>
            <w:tcW w:w="4420" w:type="dxa"/>
            <w:vAlign w:val="bottom"/>
          </w:tcPr>
          <w:p>
            <w:pPr>
              <w:spacing w:after="0"/>
              <w:rPr>
                <w:sz w:val="20"/>
                <w:szCs w:val="20"/>
                <w:color w:val="auto"/>
              </w:rPr>
            </w:pPr>
            <w:r>
              <w:rPr>
                <w:rFonts w:ascii="Arial" w:cs="Arial" w:eastAsia="Arial" w:hAnsi="Arial"/>
                <w:sz w:val="16"/>
                <w:szCs w:val="16"/>
                <w:color w:val="auto"/>
              </w:rPr>
              <w:t>November 1 – November 30, 2019</w:t>
            </w:r>
          </w:p>
        </w:tc>
        <w:tc>
          <w:tcPr>
            <w:tcW w:w="1620" w:type="dxa"/>
            <w:vAlign w:val="bottom"/>
          </w:tcPr>
          <w:p>
            <w:pPr>
              <w:jc w:val="right"/>
              <w:ind w:right="49"/>
              <w:spacing w:after="0"/>
              <w:rPr>
                <w:sz w:val="20"/>
                <w:szCs w:val="20"/>
                <w:color w:val="auto"/>
              </w:rPr>
            </w:pPr>
            <w:r>
              <w:rPr>
                <w:rFonts w:ascii="Arial" w:cs="Arial" w:eastAsia="Arial" w:hAnsi="Arial"/>
                <w:sz w:val="16"/>
                <w:szCs w:val="16"/>
                <w:color w:val="auto"/>
              </w:rPr>
              <w:t>372,674</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8"/>
              <w:spacing w:after="0"/>
              <w:rPr>
                <w:sz w:val="20"/>
                <w:szCs w:val="20"/>
                <w:color w:val="auto"/>
              </w:rPr>
            </w:pPr>
            <w:r>
              <w:rPr>
                <w:rFonts w:ascii="Arial" w:cs="Arial" w:eastAsia="Arial" w:hAnsi="Arial"/>
                <w:sz w:val="16"/>
                <w:szCs w:val="16"/>
                <w:color w:val="auto"/>
              </w:rPr>
              <w:t>46.00</w:t>
            </w:r>
          </w:p>
        </w:tc>
        <w:tc>
          <w:tcPr>
            <w:tcW w:w="160" w:type="dxa"/>
            <w:vAlign w:val="bottom"/>
          </w:tcPr>
          <w:p>
            <w:pPr>
              <w:spacing w:after="0"/>
              <w:rPr>
                <w:sz w:val="16"/>
                <w:szCs w:val="16"/>
                <w:color w:val="auto"/>
              </w:rPr>
            </w:pPr>
          </w:p>
        </w:tc>
        <w:tc>
          <w:tcPr>
            <w:tcW w:w="1620" w:type="dxa"/>
            <w:vAlign w:val="bottom"/>
          </w:tcPr>
          <w:p>
            <w:pPr>
              <w:jc w:val="right"/>
              <w:ind w:right="52"/>
              <w:spacing w:after="0"/>
              <w:rPr>
                <w:sz w:val="20"/>
                <w:szCs w:val="20"/>
                <w:color w:val="auto"/>
              </w:rPr>
            </w:pPr>
            <w:r>
              <w:rPr>
                <w:rFonts w:ascii="Arial" w:cs="Arial" w:eastAsia="Arial" w:hAnsi="Arial"/>
                <w:sz w:val="16"/>
                <w:szCs w:val="16"/>
                <w:color w:val="auto"/>
              </w:rPr>
              <w:t>372,674</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53"/>
              <w:spacing w:after="0"/>
              <w:rPr>
                <w:sz w:val="20"/>
                <w:szCs w:val="20"/>
                <w:color w:val="auto"/>
              </w:rPr>
            </w:pPr>
            <w:r>
              <w:rPr>
                <w:rFonts w:ascii="Arial" w:cs="Arial" w:eastAsia="Arial" w:hAnsi="Arial"/>
                <w:sz w:val="16"/>
                <w:szCs w:val="16"/>
                <w:color w:val="auto"/>
              </w:rPr>
              <w:t>1,068,585,310</w:t>
            </w:r>
          </w:p>
        </w:tc>
      </w:tr>
      <w:tr>
        <w:trPr>
          <w:trHeight w:val="188"/>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December 1 – December 31, 2019</w:t>
            </w:r>
          </w:p>
        </w:tc>
        <w:tc>
          <w:tcPr>
            <w:tcW w:w="162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color w:val="auto"/>
              </w:rPr>
              <w:t>342,385</w:t>
            </w:r>
          </w:p>
        </w:tc>
        <w:tc>
          <w:tcPr>
            <w:tcW w:w="3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6"/>
                <w:szCs w:val="16"/>
                <w:color w:val="auto"/>
              </w:rPr>
              <w:t>48.39</w:t>
            </w:r>
          </w:p>
        </w:tc>
        <w:tc>
          <w:tcPr>
            <w:tcW w:w="160" w:type="dxa"/>
            <w:vAlign w:val="bottom"/>
            <w:tcBorders>
              <w:bottom w:val="single" w:sz="8" w:color="CFF0FC"/>
            </w:tcBorders>
            <w:shd w:val="clear" w:color="auto" w:fill="CFF0FC"/>
          </w:tcPr>
          <w:p>
            <w:pPr>
              <w:spacing w:after="0"/>
              <w:rPr>
                <w:sz w:val="16"/>
                <w:szCs w:val="16"/>
                <w:color w:val="auto"/>
              </w:rPr>
            </w:pPr>
          </w:p>
        </w:tc>
        <w:tc>
          <w:tcPr>
            <w:tcW w:w="16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342,385</w:t>
            </w:r>
          </w:p>
        </w:tc>
        <w:tc>
          <w:tcPr>
            <w:tcW w:w="3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FF0FC"/>
            </w:tcBorders>
            <w:shd w:val="clear" w:color="auto" w:fill="CFF0FC"/>
          </w:tcPr>
          <w:p>
            <w:pPr>
              <w:jc w:val="right"/>
              <w:ind w:right="53"/>
              <w:spacing w:after="0"/>
              <w:rPr>
                <w:sz w:val="20"/>
                <w:szCs w:val="20"/>
                <w:color w:val="auto"/>
              </w:rPr>
            </w:pPr>
            <w:r>
              <w:rPr>
                <w:rFonts w:ascii="Arial" w:cs="Arial" w:eastAsia="Arial" w:hAnsi="Arial"/>
                <w:sz w:val="16"/>
                <w:szCs w:val="16"/>
                <w:color w:val="auto"/>
              </w:rPr>
              <w:t>1,052,017,008</w:t>
            </w:r>
          </w:p>
        </w:tc>
      </w:tr>
      <w:tr>
        <w:trPr>
          <w:trHeight w:val="20"/>
        </w:trPr>
        <w:tc>
          <w:tcPr>
            <w:tcW w:w="4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3"/>
        </w:trPr>
        <w:tc>
          <w:tcPr>
            <w:tcW w:w="4420" w:type="dxa"/>
            <w:vAlign w:val="bottom"/>
          </w:tcPr>
          <w:p>
            <w:pPr>
              <w:ind w:left="200"/>
              <w:spacing w:after="0" w:line="163" w:lineRule="exact"/>
              <w:rPr>
                <w:sz w:val="20"/>
                <w:szCs w:val="20"/>
                <w:color w:val="auto"/>
              </w:rPr>
            </w:pPr>
            <w:r>
              <w:rPr>
                <w:rFonts w:ascii="Arial" w:cs="Arial" w:eastAsia="Arial" w:hAnsi="Arial"/>
                <w:sz w:val="16"/>
                <w:szCs w:val="16"/>
                <w:color w:val="auto"/>
              </w:rPr>
              <w:t>Total</w:t>
            </w:r>
          </w:p>
        </w:tc>
        <w:tc>
          <w:tcPr>
            <w:tcW w:w="1620" w:type="dxa"/>
            <w:vAlign w:val="bottom"/>
            <w:tcBorders>
              <w:bottom w:val="single" w:sz="8" w:color="auto"/>
            </w:tcBorders>
          </w:tcPr>
          <w:p>
            <w:pPr>
              <w:jc w:val="right"/>
              <w:ind w:right="49"/>
              <w:spacing w:after="0" w:line="163" w:lineRule="exact"/>
              <w:rPr>
                <w:sz w:val="20"/>
                <w:szCs w:val="20"/>
                <w:color w:val="auto"/>
              </w:rPr>
            </w:pPr>
            <w:r>
              <w:rPr>
                <w:rFonts w:ascii="Arial" w:cs="Arial" w:eastAsia="Arial" w:hAnsi="Arial"/>
                <w:sz w:val="16"/>
                <w:szCs w:val="16"/>
                <w:color w:val="auto"/>
              </w:rPr>
              <w:t>1,346,003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Borders>
              <w:bottom w:val="single" w:sz="8" w:color="auto"/>
            </w:tcBorders>
          </w:tcPr>
          <w:p>
            <w:pPr>
              <w:jc w:val="right"/>
              <w:ind w:right="32"/>
              <w:spacing w:after="0" w:line="163" w:lineRule="exact"/>
              <w:rPr>
                <w:sz w:val="20"/>
                <w:szCs w:val="20"/>
                <w:color w:val="auto"/>
              </w:rPr>
            </w:pPr>
            <w:r>
              <w:rPr>
                <w:rFonts w:ascii="Arial" w:cs="Arial" w:eastAsia="Arial" w:hAnsi="Arial"/>
                <w:sz w:val="16"/>
                <w:szCs w:val="16"/>
                <w:color w:val="auto"/>
              </w:rPr>
              <w:t>1,346,003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0"/>
        </w:trPr>
        <w:tc>
          <w:tcPr>
            <w:tcW w:w="4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6" w:hanging="326"/>
        <w:spacing w:after="0"/>
        <w:tabs>
          <w:tab w:leader="none" w:pos="326" w:val="left"/>
        </w:tabs>
        <w:numPr>
          <w:ilvl w:val="0"/>
          <w:numId w:val="11"/>
        </w:numPr>
        <w:rPr>
          <w:rFonts w:ascii="Arial" w:cs="Arial" w:eastAsia="Arial" w:hAnsi="Arial"/>
          <w:sz w:val="13"/>
          <w:szCs w:val="13"/>
          <w:color w:val="auto"/>
        </w:rPr>
      </w:pPr>
      <w:r>
        <w:rPr>
          <w:rFonts w:ascii="Arial" w:cs="Arial" w:eastAsia="Arial" w:hAnsi="Arial"/>
          <w:sz w:val="16"/>
          <w:szCs w:val="16"/>
          <w:color w:val="auto"/>
        </w:rPr>
        <w:t>These values reflect repurchases made under the Repurchase Program.</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Issuances Under Equity Compensation Plans</w:t>
      </w:r>
    </w:p>
    <w:p>
      <w:pPr>
        <w:spacing w:after="0" w:line="153" w:lineRule="exact"/>
        <w:rPr>
          <w:sz w:val="20"/>
          <w:szCs w:val="20"/>
          <w:color w:val="auto"/>
        </w:rPr>
      </w:pPr>
    </w:p>
    <w:p>
      <w:pPr>
        <w:ind w:left="526"/>
        <w:spacing w:after="0"/>
        <w:rPr>
          <w:sz w:val="20"/>
          <w:szCs w:val="20"/>
          <w:color w:val="auto"/>
        </w:rPr>
      </w:pPr>
      <w:r>
        <w:rPr>
          <w:rFonts w:ascii="Arial" w:cs="Arial" w:eastAsia="Arial" w:hAnsi="Arial"/>
          <w:sz w:val="15"/>
          <w:szCs w:val="15"/>
          <w:color w:val="auto"/>
        </w:rPr>
        <w:t>For information regarding the securities authorized for issuance under our equity compensation plans, see Part III, Item 12 of this Annual Report on Form 10-</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K.</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6"/>
          </w:cols>
          <w:pgMar w:left="234" w:top="140" w:right="2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 Graph</w:t>
      </w:r>
    </w:p>
    <w:p>
      <w:pPr>
        <w:spacing w:after="0" w:line="153" w:lineRule="exact"/>
        <w:rPr>
          <w:sz w:val="20"/>
          <w:szCs w:val="20"/>
          <w:color w:val="auto"/>
        </w:rPr>
      </w:pPr>
    </w:p>
    <w:p>
      <w:pPr>
        <w:ind w:right="100" w:firstLine="531"/>
        <w:spacing w:after="0" w:line="234" w:lineRule="auto"/>
        <w:rPr>
          <w:sz w:val="20"/>
          <w:szCs w:val="20"/>
          <w:color w:val="auto"/>
        </w:rPr>
      </w:pPr>
      <w:r>
        <w:rPr>
          <w:rFonts w:ascii="Arial" w:cs="Arial" w:eastAsia="Arial" w:hAnsi="Arial"/>
          <w:sz w:val="16"/>
          <w:szCs w:val="16"/>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31" w:lineRule="exact"/>
        <w:rPr>
          <w:sz w:val="20"/>
          <w:szCs w:val="20"/>
          <w:color w:val="auto"/>
        </w:rPr>
      </w:pPr>
    </w:p>
    <w:p>
      <w:pPr>
        <w:ind w:right="200" w:firstLine="531"/>
        <w:spacing w:after="0" w:line="255" w:lineRule="auto"/>
        <w:rPr>
          <w:sz w:val="20"/>
          <w:szCs w:val="20"/>
          <w:color w:val="auto"/>
        </w:rPr>
      </w:pPr>
      <w:r>
        <w:rPr>
          <w:rFonts w:ascii="Arial" w:cs="Arial" w:eastAsia="Arial" w:hAnsi="Arial"/>
          <w:sz w:val="15"/>
          <w:szCs w:val="15"/>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PLC. The graph assumes $100 was invested on December 31, 2014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98425</wp:posOffset>
            </wp:positionV>
            <wp:extent cx="5081270" cy="24663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81270" cy="246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19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ind w:right="17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As of</w:t>
            </w:r>
          </w:p>
        </w:tc>
        <w:tc>
          <w:tcPr>
            <w:tcW w:w="140" w:type="dxa"/>
            <w:vAlign w:val="bottom"/>
          </w:tcPr>
          <w:p>
            <w:pPr>
              <w:spacing w:after="0"/>
              <w:rPr>
                <w:sz w:val="13"/>
                <w:szCs w:val="13"/>
                <w:color w:val="auto"/>
              </w:rPr>
            </w:pPr>
          </w:p>
        </w:tc>
        <w:tc>
          <w:tcPr>
            <w:tcW w:w="1180" w:type="dxa"/>
            <w:vAlign w:val="bottom"/>
          </w:tcPr>
          <w:p>
            <w:pPr>
              <w:jc w:val="center"/>
              <w:ind w:right="190"/>
              <w:spacing w:after="0"/>
              <w:rPr>
                <w:sz w:val="20"/>
                <w:szCs w:val="20"/>
                <w:color w:val="auto"/>
              </w:rPr>
            </w:pPr>
            <w:r>
              <w:rPr>
                <w:rFonts w:ascii="Arial" w:cs="Arial" w:eastAsia="Arial" w:hAnsi="Arial"/>
                <w:sz w:val="13"/>
                <w:szCs w:val="13"/>
                <w:b w:val="1"/>
                <w:bCs w:val="1"/>
                <w:color w:val="auto"/>
                <w:w w:val="98"/>
              </w:rPr>
              <w:t>As of</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8"/>
              </w:rPr>
              <w:t>As of</w:t>
            </w:r>
          </w:p>
        </w:tc>
        <w:tc>
          <w:tcPr>
            <w:tcW w:w="160" w:type="dxa"/>
            <w:vAlign w:val="bottom"/>
          </w:tcPr>
          <w:p>
            <w:pPr>
              <w:spacing w:after="0"/>
              <w:rPr>
                <w:sz w:val="13"/>
                <w:szCs w:val="13"/>
                <w:color w:val="auto"/>
              </w:rPr>
            </w:pPr>
          </w:p>
        </w:tc>
        <w:tc>
          <w:tcPr>
            <w:tcW w:w="1200" w:type="dxa"/>
            <w:vAlign w:val="bottom"/>
          </w:tcPr>
          <w:p>
            <w:pPr>
              <w:jc w:val="center"/>
              <w:ind w:right="210"/>
              <w:spacing w:after="0"/>
              <w:rPr>
                <w:sz w:val="20"/>
                <w:szCs w:val="20"/>
                <w:color w:val="auto"/>
              </w:rPr>
            </w:pPr>
            <w:r>
              <w:rPr>
                <w:rFonts w:ascii="Arial" w:cs="Arial" w:eastAsia="Arial" w:hAnsi="Arial"/>
                <w:sz w:val="13"/>
                <w:szCs w:val="13"/>
                <w:b w:val="1"/>
                <w:bCs w:val="1"/>
                <w:color w:val="auto"/>
                <w:w w:val="98"/>
              </w:rPr>
              <w:t>As of</w:t>
            </w:r>
          </w:p>
        </w:tc>
        <w:tc>
          <w:tcPr>
            <w:tcW w:w="0" w:type="dxa"/>
            <w:vAlign w:val="bottom"/>
          </w:tcPr>
          <w:p>
            <w:pPr>
              <w:spacing w:after="0"/>
              <w:rPr>
                <w:sz w:val="1"/>
                <w:szCs w:val="1"/>
                <w:color w:val="auto"/>
              </w:rPr>
            </w:pPr>
          </w:p>
        </w:tc>
      </w:tr>
      <w:tr>
        <w:trPr>
          <w:trHeight w:val="141"/>
        </w:trPr>
        <w:tc>
          <w:tcPr>
            <w:tcW w:w="2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19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7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42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180" w:type="dxa"/>
            <w:vAlign w:val="bottom"/>
          </w:tcPr>
          <w:p>
            <w:pPr>
              <w:jc w:val="center"/>
              <w:ind w:right="21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60" w:type="dxa"/>
            <w:vAlign w:val="bottom"/>
          </w:tcPr>
          <w:p>
            <w:pPr>
              <w:spacing w:after="0"/>
              <w:rPr>
                <w:sz w:val="12"/>
                <w:szCs w:val="12"/>
                <w:color w:val="auto"/>
              </w:rPr>
            </w:pPr>
          </w:p>
        </w:tc>
        <w:tc>
          <w:tcPr>
            <w:tcW w:w="1200" w:type="dxa"/>
            <w:vAlign w:val="bottom"/>
          </w:tcPr>
          <w:p>
            <w:pPr>
              <w:jc w:val="center"/>
              <w:ind w:right="21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27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70"/>
              <w:spacing w:after="0"/>
              <w:rPr>
                <w:sz w:val="20"/>
                <w:szCs w:val="20"/>
                <w:color w:val="auto"/>
              </w:rPr>
            </w:pPr>
            <w:r>
              <w:rPr>
                <w:rFonts w:ascii="Arial" w:cs="Arial" w:eastAsia="Arial" w:hAnsi="Arial"/>
                <w:sz w:val="13"/>
                <w:szCs w:val="13"/>
                <w:b w:val="1"/>
                <w:bCs w:val="1"/>
                <w:color w:val="auto"/>
                <w:w w:val="96"/>
              </w:rPr>
              <w:t>2014</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2015</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230"/>
              <w:spacing w:after="0"/>
              <w:rPr>
                <w:sz w:val="20"/>
                <w:szCs w:val="20"/>
                <w:color w:val="auto"/>
              </w:rPr>
            </w:pPr>
            <w:r>
              <w:rPr>
                <w:rFonts w:ascii="Arial" w:cs="Arial" w:eastAsia="Arial" w:hAnsi="Arial"/>
                <w:sz w:val="13"/>
                <w:szCs w:val="13"/>
                <w:b w:val="1"/>
                <w:bCs w:val="1"/>
                <w:color w:val="auto"/>
                <w:w w:val="96"/>
              </w:rPr>
              <w:t>2016</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2017</w:t>
            </w: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2019</w:t>
            </w:r>
          </w:p>
        </w:tc>
        <w:tc>
          <w:tcPr>
            <w:tcW w:w="0" w:type="dxa"/>
            <w:vAlign w:val="bottom"/>
          </w:tcPr>
          <w:p>
            <w:pPr>
              <w:spacing w:after="0"/>
              <w:rPr>
                <w:sz w:val="1"/>
                <w:szCs w:val="1"/>
                <w:color w:val="auto"/>
              </w:rPr>
            </w:pPr>
          </w:p>
        </w:tc>
      </w:tr>
      <w:tr>
        <w:trPr>
          <w:trHeight w:val="179"/>
        </w:trPr>
        <w:tc>
          <w:tcPr>
            <w:tcW w:w="2780" w:type="dxa"/>
            <w:vAlign w:val="bottom"/>
            <w:shd w:val="clear" w:color="auto" w:fill="CFF0FC"/>
          </w:tcPr>
          <w:p>
            <w:pPr>
              <w:spacing w:after="0" w:line="179" w:lineRule="exact"/>
              <w:rPr>
                <w:sz w:val="20"/>
                <w:szCs w:val="20"/>
                <w:color w:val="auto"/>
              </w:rPr>
            </w:pPr>
            <w:r>
              <w:rPr>
                <w:rFonts w:ascii="Arial" w:cs="Arial" w:eastAsia="Arial" w:hAnsi="Arial"/>
                <w:sz w:val="16"/>
                <w:szCs w:val="16"/>
                <w:color w:val="auto"/>
              </w:rPr>
              <w:t>Allison Transmission</w:t>
            </w:r>
          </w:p>
        </w:tc>
        <w:tc>
          <w:tcPr>
            <w:tcW w:w="1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vMerge w:val="restart"/>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155.26</w:t>
            </w:r>
          </w:p>
        </w:tc>
        <w:tc>
          <w:tcPr>
            <w:tcW w:w="0" w:type="dxa"/>
            <w:vAlign w:val="bottom"/>
          </w:tcPr>
          <w:p>
            <w:pPr>
              <w:spacing w:after="0"/>
              <w:rPr>
                <w:sz w:val="1"/>
                <w:szCs w:val="1"/>
                <w:color w:val="auto"/>
              </w:rPr>
            </w:pPr>
          </w:p>
        </w:tc>
      </w:tr>
      <w:tr>
        <w:trPr>
          <w:trHeight w:val="177"/>
        </w:trPr>
        <w:tc>
          <w:tcPr>
            <w:tcW w:w="2780" w:type="dxa"/>
            <w:vAlign w:val="bottom"/>
            <w:shd w:val="clear" w:color="auto" w:fill="CFF0FC"/>
          </w:tcPr>
          <w:p>
            <w:pPr>
              <w:ind w:left="120"/>
              <w:spacing w:after="0" w:line="177" w:lineRule="exact"/>
              <w:rPr>
                <w:sz w:val="20"/>
                <w:szCs w:val="20"/>
                <w:color w:val="auto"/>
              </w:rPr>
            </w:pPr>
            <w:r>
              <w:rPr>
                <w:rFonts w:ascii="Arial" w:cs="Arial" w:eastAsia="Arial" w:hAnsi="Arial"/>
                <w:sz w:val="16"/>
                <w:szCs w:val="16"/>
                <w:color w:val="auto"/>
              </w:rPr>
              <w:t>Holdings, Inc.</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30"/>
              <w:spacing w:after="0" w:line="177" w:lineRule="exact"/>
              <w:rPr>
                <w:sz w:val="20"/>
                <w:szCs w:val="20"/>
                <w:color w:val="auto"/>
              </w:rPr>
            </w:pPr>
            <w:r>
              <w:rPr>
                <w:rFonts w:ascii="Arial" w:cs="Arial" w:eastAsia="Arial" w:hAnsi="Arial"/>
                <w:sz w:val="16"/>
                <w:szCs w:val="16"/>
                <w:color w:val="auto"/>
              </w:rPr>
              <w:t>100.00</w:t>
            </w:r>
          </w:p>
        </w:tc>
        <w:tc>
          <w:tcPr>
            <w:tcW w:w="280" w:type="dxa"/>
            <w:vAlign w:val="bottom"/>
            <w:gridSpan w:val="2"/>
            <w:shd w:val="clear" w:color="auto" w:fill="CFF0FC"/>
          </w:tcPr>
          <w:p>
            <w:pPr>
              <w:jc w:val="right"/>
              <w:ind w:right="40"/>
              <w:spacing w:after="0" w:line="177"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0"/>
              <w:spacing w:after="0" w:line="177" w:lineRule="exact"/>
              <w:rPr>
                <w:sz w:val="20"/>
                <w:szCs w:val="20"/>
                <w:color w:val="auto"/>
              </w:rPr>
            </w:pPr>
            <w:r>
              <w:rPr>
                <w:rFonts w:ascii="Arial" w:cs="Arial" w:eastAsia="Arial" w:hAnsi="Arial"/>
                <w:sz w:val="16"/>
                <w:szCs w:val="16"/>
                <w:color w:val="auto"/>
              </w:rPr>
              <w:t>77.92</w:t>
            </w:r>
          </w:p>
        </w:tc>
        <w:tc>
          <w:tcPr>
            <w:tcW w:w="300" w:type="dxa"/>
            <w:vAlign w:val="bottom"/>
            <w:gridSpan w:val="2"/>
            <w:shd w:val="clear" w:color="auto" w:fill="CFF0FC"/>
          </w:tcPr>
          <w:p>
            <w:pPr>
              <w:jc w:val="right"/>
              <w:ind w:right="60"/>
              <w:spacing w:after="0" w:line="177"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0"/>
              <w:spacing w:after="0" w:line="177" w:lineRule="exact"/>
              <w:rPr>
                <w:sz w:val="20"/>
                <w:szCs w:val="20"/>
                <w:color w:val="auto"/>
              </w:rPr>
            </w:pPr>
            <w:r>
              <w:rPr>
                <w:rFonts w:ascii="Arial" w:cs="Arial" w:eastAsia="Arial" w:hAnsi="Arial"/>
                <w:sz w:val="16"/>
                <w:szCs w:val="16"/>
                <w:color w:val="auto"/>
              </w:rPr>
              <w:t>103.69</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50"/>
              <w:spacing w:after="0" w:line="177" w:lineRule="exact"/>
              <w:rPr>
                <w:sz w:val="20"/>
                <w:szCs w:val="20"/>
                <w:color w:val="auto"/>
              </w:rPr>
            </w:pPr>
            <w:r>
              <w:rPr>
                <w:rFonts w:ascii="Arial" w:cs="Arial" w:eastAsia="Arial" w:hAnsi="Arial"/>
                <w:sz w:val="16"/>
                <w:szCs w:val="16"/>
                <w:color w:val="auto"/>
              </w:rPr>
              <w:t>134.75</w:t>
            </w:r>
          </w:p>
        </w:tc>
        <w:tc>
          <w:tcPr>
            <w:tcW w:w="280" w:type="dxa"/>
            <w:vAlign w:val="bottom"/>
            <w:gridSpan w:val="2"/>
            <w:shd w:val="clear" w:color="auto" w:fill="CFF0FC"/>
          </w:tcPr>
          <w:p>
            <w:pPr>
              <w:jc w:val="right"/>
              <w:ind w:right="60"/>
              <w:spacing w:after="0" w:line="177"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0"/>
              <w:spacing w:after="0" w:line="177" w:lineRule="exact"/>
              <w:rPr>
                <w:sz w:val="20"/>
                <w:szCs w:val="20"/>
                <w:color w:val="auto"/>
              </w:rPr>
            </w:pPr>
            <w:r>
              <w:rPr>
                <w:rFonts w:ascii="Arial" w:cs="Arial" w:eastAsia="Arial" w:hAnsi="Arial"/>
                <w:sz w:val="16"/>
                <w:szCs w:val="16"/>
                <w:color w:val="auto"/>
              </w:rPr>
              <w:t>139.25</w:t>
            </w:r>
          </w:p>
        </w:tc>
        <w:tc>
          <w:tcPr>
            <w:tcW w:w="140" w:type="dxa"/>
            <w:vAlign w:val="bottom"/>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120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780" w:type="dxa"/>
            <w:vAlign w:val="bottom"/>
          </w:tcPr>
          <w:p>
            <w:pPr>
              <w:spacing w:after="0"/>
              <w:rPr>
                <w:sz w:val="20"/>
                <w:szCs w:val="20"/>
                <w:color w:val="auto"/>
              </w:rPr>
            </w:pPr>
            <w:r>
              <w:rPr>
                <w:rFonts w:ascii="Arial" w:cs="Arial" w:eastAsia="Arial" w:hAnsi="Arial"/>
                <w:sz w:val="16"/>
                <w:szCs w:val="16"/>
                <w:color w:val="auto"/>
              </w:rPr>
              <w:t>S&amp;P 500 Index</w:t>
            </w:r>
          </w:p>
        </w:tc>
        <w:tc>
          <w:tcPr>
            <w:tcW w:w="140" w:type="dxa"/>
            <w:vAlign w:val="bottom"/>
          </w:tcPr>
          <w:p>
            <w:pPr>
              <w:spacing w:after="0"/>
              <w:rPr>
                <w:sz w:val="16"/>
                <w:szCs w:val="16"/>
                <w:color w:val="auto"/>
              </w:rPr>
            </w:pPr>
          </w:p>
        </w:tc>
        <w:tc>
          <w:tcPr>
            <w:tcW w:w="1160" w:type="dxa"/>
            <w:vAlign w:val="bottom"/>
          </w:tcPr>
          <w:p>
            <w:pPr>
              <w:jc w:val="right"/>
              <w:ind w:right="30"/>
              <w:spacing w:after="0"/>
              <w:rPr>
                <w:sz w:val="20"/>
                <w:szCs w:val="20"/>
                <w:color w:val="auto"/>
              </w:rPr>
            </w:pPr>
            <w:r>
              <w:rPr>
                <w:rFonts w:ascii="Arial" w:cs="Arial" w:eastAsia="Arial" w:hAnsi="Arial"/>
                <w:sz w:val="16"/>
                <w:szCs w:val="16"/>
                <w:color w:val="auto"/>
              </w:rPr>
              <w:t>100.00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color w:val="auto"/>
              </w:rPr>
              <w:t>101.38</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color w:val="auto"/>
              </w:rPr>
              <w:t>113.51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color w:val="auto"/>
              </w:rPr>
              <w:t>138.29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ind w:right="50"/>
              <w:spacing w:after="0"/>
              <w:rPr>
                <w:sz w:val="20"/>
                <w:szCs w:val="20"/>
                <w:color w:val="auto"/>
              </w:rPr>
            </w:pPr>
            <w:r>
              <w:rPr>
                <w:rFonts w:ascii="Arial" w:cs="Arial" w:eastAsia="Arial" w:hAnsi="Arial"/>
                <w:sz w:val="16"/>
                <w:szCs w:val="16"/>
                <w:color w:val="auto"/>
              </w:rPr>
              <w:t>132.23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6"/>
                <w:szCs w:val="16"/>
                <w:b w:val="1"/>
                <w:bCs w:val="1"/>
                <w:color w:val="auto"/>
              </w:rPr>
              <w:t>173.86</w:t>
            </w:r>
          </w:p>
        </w:tc>
        <w:tc>
          <w:tcPr>
            <w:tcW w:w="0" w:type="dxa"/>
            <w:vAlign w:val="bottom"/>
          </w:tcPr>
          <w:p>
            <w:pPr>
              <w:spacing w:after="0"/>
              <w:rPr>
                <w:sz w:val="1"/>
                <w:szCs w:val="1"/>
                <w:color w:val="auto"/>
              </w:rPr>
            </w:pPr>
          </w:p>
        </w:tc>
      </w:tr>
      <w:tr>
        <w:trPr>
          <w:trHeight w:val="188"/>
        </w:trPr>
        <w:tc>
          <w:tcPr>
            <w:tcW w:w="2780" w:type="dxa"/>
            <w:vAlign w:val="bottom"/>
            <w:shd w:val="clear" w:color="auto" w:fill="CFF0FC"/>
          </w:tcPr>
          <w:p>
            <w:pPr>
              <w:spacing w:after="0"/>
              <w:rPr>
                <w:sz w:val="20"/>
                <w:szCs w:val="20"/>
                <w:color w:val="auto"/>
              </w:rPr>
            </w:pPr>
            <w:r>
              <w:rPr>
                <w:rFonts w:ascii="Arial" w:cs="Arial" w:eastAsia="Arial" w:hAnsi="Arial"/>
                <w:sz w:val="16"/>
                <w:szCs w:val="16"/>
                <w:color w:val="auto"/>
              </w:rPr>
              <w:t>Peer Group</w:t>
            </w:r>
          </w:p>
        </w:tc>
        <w:tc>
          <w:tcPr>
            <w:tcW w:w="14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6"/>
                <w:szCs w:val="16"/>
                <w:color w:val="auto"/>
              </w:rPr>
              <w:t>100.00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98.95</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111.23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154.89</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141.83</w:t>
            </w:r>
          </w:p>
        </w:tc>
        <w:tc>
          <w:tcPr>
            <w:tcW w:w="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189.12</w:t>
            </w:r>
          </w:p>
        </w:tc>
        <w:tc>
          <w:tcPr>
            <w:tcW w:w="0" w:type="dxa"/>
            <w:vAlign w:val="bottom"/>
          </w:tcPr>
          <w:p>
            <w:pPr>
              <w:spacing w:after="0"/>
              <w:rPr>
                <w:sz w:val="1"/>
                <w:szCs w:val="1"/>
                <w:color w:val="auto"/>
              </w:rPr>
            </w:pPr>
          </w:p>
        </w:tc>
      </w:tr>
      <w:tr>
        <w:trPr>
          <w:trHeight w:val="551"/>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32</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7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Selected Financial Data</w:t>
      </w:r>
    </w:p>
    <w:p>
      <w:pPr>
        <w:spacing w:after="0" w:line="153" w:lineRule="exact"/>
        <w:rPr>
          <w:sz w:val="20"/>
          <w:szCs w:val="20"/>
          <w:color w:val="auto"/>
        </w:rPr>
      </w:pPr>
    </w:p>
    <w:p>
      <w:pPr>
        <w:ind w:right="20" w:firstLine="531"/>
        <w:spacing w:after="0" w:line="234" w:lineRule="auto"/>
        <w:rPr>
          <w:sz w:val="20"/>
          <w:szCs w:val="20"/>
          <w:color w:val="auto"/>
        </w:rPr>
      </w:pPr>
      <w:r>
        <w:rPr>
          <w:rFonts w:ascii="Arial" w:cs="Arial" w:eastAsia="Arial" w:hAnsi="Arial"/>
          <w:sz w:val="16"/>
          <w:szCs w:val="16"/>
          <w:color w:val="auto"/>
        </w:rPr>
        <w:t>The following table sets forth certain financial information for the most recent five years.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203"/>
              <w:spacing w:after="0"/>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3"/>
                <w:szCs w:val="13"/>
                <w:color w:val="auto"/>
              </w:rPr>
            </w:pPr>
          </w:p>
        </w:tc>
        <w:tc>
          <w:tcPr>
            <w:tcW w:w="1160" w:type="dxa"/>
            <w:vAlign w:val="bottom"/>
          </w:tcPr>
          <w:p>
            <w:pPr>
              <w:jc w:val="right"/>
              <w:ind w:right="223"/>
              <w:spacing w:after="0"/>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223"/>
              <w:spacing w:after="0"/>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243"/>
              <w:spacing w:after="0"/>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454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(in millions, except per share data)</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3"/>
              <w:spacing w:after="0"/>
              <w:rPr>
                <w:sz w:val="20"/>
                <w:szCs w:val="20"/>
                <w:color w:val="auto"/>
              </w:rPr>
            </w:pPr>
            <w:r>
              <w:rPr>
                <w:rFonts w:ascii="Arial" w:cs="Arial" w:eastAsia="Arial" w:hAnsi="Arial"/>
                <w:sz w:val="13"/>
                <w:szCs w:val="13"/>
                <w:b w:val="1"/>
                <w:bCs w:val="1"/>
                <w:color w:val="auto"/>
              </w:rPr>
              <w:t>2015</w:t>
            </w:r>
          </w:p>
        </w:tc>
        <w:tc>
          <w:tcPr>
            <w:tcW w:w="0" w:type="dxa"/>
            <w:vAlign w:val="bottom"/>
          </w:tcPr>
          <w:p>
            <w:pPr>
              <w:spacing w:after="0"/>
              <w:rPr>
                <w:sz w:val="1"/>
                <w:szCs w:val="1"/>
                <w:color w:val="auto"/>
              </w:rPr>
            </w:pPr>
          </w:p>
        </w:tc>
      </w:tr>
      <w:tr>
        <w:trPr>
          <w:trHeight w:val="179"/>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Consolidated Statements of Operations:</w:t>
            </w: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Net sales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2,698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2,713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2,262</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1,840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1,986</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1,394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1,422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864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Operating expenses: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354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88"/>
        </w:trPr>
        <w:tc>
          <w:tcPr>
            <w:tcW w:w="4540" w:type="dxa"/>
            <w:vAlign w:val="bottom"/>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7"/>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associated with impairment of</w:t>
            </w:r>
          </w:p>
        </w:tc>
        <w:tc>
          <w:tcPr>
            <w:tcW w:w="140" w:type="dxa"/>
            <w:vAlign w:val="bottom"/>
            <w:shd w:val="clear" w:color="auto" w:fill="CFF0FC"/>
          </w:tcPr>
          <w:p>
            <w:pPr>
              <w:spacing w:after="0"/>
              <w:rPr>
                <w:sz w:val="16"/>
                <w:szCs w:val="16"/>
                <w:color w:val="auto"/>
              </w:rPr>
            </w:pPr>
          </w:p>
        </w:tc>
        <w:tc>
          <w:tcPr>
            <w:tcW w:w="1140" w:type="dxa"/>
            <w:vAlign w:val="bottom"/>
            <w:vMerge w:val="restart"/>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4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long-lived assets</w:t>
            </w:r>
          </w:p>
        </w:tc>
        <w:tc>
          <w:tcPr>
            <w:tcW w:w="140" w:type="dxa"/>
            <w:vAlign w:val="bottom"/>
            <w:shd w:val="clear" w:color="auto" w:fill="CFF0FC"/>
          </w:tcPr>
          <w:p>
            <w:pPr>
              <w:spacing w:after="0"/>
              <w:rPr>
                <w:sz w:val="15"/>
                <w:szCs w:val="15"/>
                <w:color w:val="auto"/>
              </w:rPr>
            </w:pPr>
          </w:p>
        </w:tc>
        <w:tc>
          <w:tcPr>
            <w:tcW w:w="11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3"/>
              <w:spacing w:after="0" w:line="177" w:lineRule="exact"/>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77" w:lineRule="exact"/>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77"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3"/>
              <w:spacing w:after="0" w:line="17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540" w:type="dxa"/>
            <w:vAlign w:val="bottom"/>
          </w:tcPr>
          <w:p>
            <w:pPr>
              <w:ind w:left="200"/>
              <w:spacing w:after="0"/>
              <w:rPr>
                <w:sz w:val="20"/>
                <w:szCs w:val="20"/>
                <w:color w:val="auto"/>
              </w:rPr>
            </w:pPr>
            <w:r>
              <w:rPr>
                <w:rFonts w:ascii="Arial" w:cs="Arial" w:eastAsia="Arial" w:hAnsi="Arial"/>
                <w:sz w:val="16"/>
                <w:szCs w:val="16"/>
                <w:color w:val="auto"/>
              </w:rPr>
              <w:t>Trade name impairment</w:t>
            </w: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Environmental remediation</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8"/>
        </w:trPr>
        <w:tc>
          <w:tcPr>
            <w:tcW w:w="45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502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892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652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187"/>
        </w:trPr>
        <w:tc>
          <w:tcPr>
            <w:tcW w:w="4540" w:type="dxa"/>
            <w:vAlign w:val="bottom"/>
          </w:tcPr>
          <w:p>
            <w:pPr>
              <w:ind w:left="200"/>
              <w:spacing w:after="0"/>
              <w:rPr>
                <w:sz w:val="20"/>
                <w:szCs w:val="20"/>
                <w:color w:val="auto"/>
              </w:rPr>
            </w:pPr>
            <w:r>
              <w:rPr>
                <w:rFonts w:ascii="Arial" w:cs="Arial" w:eastAsia="Arial" w:hAnsi="Arial"/>
                <w:sz w:val="16"/>
                <w:szCs w:val="16"/>
                <w:color w:val="auto"/>
              </w:rPr>
              <w:t>Expenses related to long-term debt</w:t>
            </w: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540" w:type="dxa"/>
            <w:vAlign w:val="bottom"/>
          </w:tcPr>
          <w:p>
            <w:pPr>
              <w:ind w:left="340"/>
              <w:spacing w:after="0" w:line="177" w:lineRule="exact"/>
              <w:rPr>
                <w:sz w:val="20"/>
                <w:szCs w:val="20"/>
                <w:color w:val="auto"/>
              </w:rPr>
            </w:pPr>
            <w:r>
              <w:rPr>
                <w:rFonts w:ascii="Arial" w:cs="Arial" w:eastAsia="Arial" w:hAnsi="Arial"/>
                <w:sz w:val="16"/>
                <w:szCs w:val="16"/>
                <w:color w:val="auto"/>
              </w:rPr>
              <w:t>refinancing</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24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160" w:type="dxa"/>
            <w:vAlign w:val="bottom"/>
          </w:tcPr>
          <w:p>
            <w:pPr>
              <w:jc w:val="right"/>
              <w:ind w:right="43"/>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3"/>
              <w:spacing w:after="0" w:line="177"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(expense), net</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540" w:type="dxa"/>
            <w:vAlign w:val="bottom"/>
          </w:tcPr>
          <w:p>
            <w:pPr>
              <w:ind w:left="420"/>
              <w:spacing w:after="0"/>
              <w:rPr>
                <w:sz w:val="20"/>
                <w:szCs w:val="20"/>
                <w:color w:val="auto"/>
              </w:rPr>
            </w:pPr>
            <w:r>
              <w:rPr>
                <w:rFonts w:ascii="Arial" w:cs="Arial" w:eastAsia="Arial" w:hAnsi="Arial"/>
                <w:sz w:val="16"/>
                <w:szCs w:val="16"/>
                <w:color w:val="auto"/>
              </w:rPr>
              <w:t>Total other expense, net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768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Income tax expense</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604</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639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504</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215</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Earnings Per Share Data:</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4.95</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3.38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1.28</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Diluted earnings per share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4.91</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3.36</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1.27</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Diluted weighted-average shares outstanding</w:t>
            </w: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Dividends declared per common share</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0.60</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0.60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0.60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0.60</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Consolidated Balance Sheet Data:</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192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231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199</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205</w:t>
            </w: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6"/>
                <w:szCs w:val="16"/>
                <w:color w:val="auto"/>
              </w:rPr>
              <w:t>Total assets</w:t>
            </w: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4,450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4,237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4,205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4,219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4,408</w:t>
            </w:r>
          </w:p>
        </w:tc>
        <w:tc>
          <w:tcPr>
            <w:tcW w:w="0" w:type="dxa"/>
            <w:vAlign w:val="bottom"/>
          </w:tcPr>
          <w:p>
            <w:pPr>
              <w:spacing w:after="0"/>
              <w:rPr>
                <w:sz w:val="1"/>
                <w:szCs w:val="1"/>
                <w:color w:val="auto"/>
              </w:rPr>
            </w:pPr>
          </w:p>
        </w:tc>
      </w:tr>
      <w:tr>
        <w:trPr>
          <w:trHeight w:val="188"/>
        </w:trPr>
        <w:tc>
          <w:tcPr>
            <w:tcW w:w="4540" w:type="dxa"/>
            <w:vAlign w:val="bottom"/>
            <w:shd w:val="clear" w:color="auto" w:fill="CFF0FC"/>
          </w:tcPr>
          <w:p>
            <w:pPr>
              <w:spacing w:after="0"/>
              <w:rPr>
                <w:sz w:val="20"/>
                <w:szCs w:val="20"/>
                <w:color w:val="auto"/>
              </w:rPr>
            </w:pPr>
            <w:r>
              <w:rPr>
                <w:rFonts w:ascii="Arial" w:cs="Arial" w:eastAsia="Arial" w:hAnsi="Arial"/>
                <w:sz w:val="16"/>
                <w:szCs w:val="16"/>
                <w:color w:val="auto"/>
              </w:rPr>
              <w:t>Total debt</w:t>
            </w: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2,518</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2,523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2,546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2,159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2,377</w:t>
            </w:r>
          </w:p>
        </w:tc>
        <w:tc>
          <w:tcPr>
            <w:tcW w:w="0" w:type="dxa"/>
            <w:vAlign w:val="bottom"/>
          </w:tcPr>
          <w:p>
            <w:pPr>
              <w:spacing w:after="0"/>
              <w:rPr>
                <w:sz w:val="1"/>
                <w:szCs w:val="1"/>
                <w:color w:val="auto"/>
              </w:rPr>
            </w:pPr>
          </w:p>
        </w:tc>
      </w:tr>
      <w:tr>
        <w:trPr>
          <w:trHeight w:val="208"/>
        </w:trPr>
        <w:tc>
          <w:tcPr>
            <w:tcW w:w="454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781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689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63"/>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531"/>
        </w:trPr>
        <w:tc>
          <w:tcPr>
            <w:tcW w:w="4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7" w:lineRule="exact"/>
        <w:rPr>
          <w:sz w:val="20"/>
          <w:szCs w:val="20"/>
          <w:color w:val="auto"/>
        </w:rPr>
      </w:pPr>
    </w:p>
    <w:p>
      <w:pPr>
        <w:ind w:right="180" w:firstLine="531"/>
        <w:spacing w:after="0" w:line="235" w:lineRule="auto"/>
        <w:rPr>
          <w:sz w:val="20"/>
          <w:szCs w:val="20"/>
          <w:color w:val="auto"/>
        </w:rPr>
      </w:pPr>
      <w:r>
        <w:rPr>
          <w:rFonts w:ascii="Arial" w:cs="Arial" w:eastAsia="Arial" w:hAnsi="Arial"/>
          <w:sz w:val="16"/>
          <w:szCs w:val="16"/>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53" w:lineRule="exact"/>
        <w:rPr>
          <w:sz w:val="20"/>
          <w:szCs w:val="20"/>
          <w:color w:val="auto"/>
        </w:rPr>
      </w:pPr>
    </w:p>
    <w:p>
      <w:pPr>
        <w:ind w:right="140" w:firstLine="531"/>
        <w:spacing w:after="0" w:line="233" w:lineRule="auto"/>
        <w:rPr>
          <w:sz w:val="20"/>
          <w:szCs w:val="20"/>
          <w:color w:val="auto"/>
        </w:rPr>
      </w:pPr>
      <w:r>
        <w:rPr>
          <w:rFonts w:ascii="Arial" w:cs="Arial" w:eastAsia="Arial" w:hAnsi="Arial"/>
          <w:sz w:val="16"/>
          <w:szCs w:val="16"/>
          <w:color w:val="auto"/>
        </w:rPr>
        <w:t>We design and manufacture vehicle propulsion solutions, including commercial-duty on-highway, off-highway and defense fully-automatic transmissions and electric-hybrid and fully-electric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30" w:lineRule="exact"/>
        <w:rPr>
          <w:sz w:val="20"/>
          <w:szCs w:val="20"/>
          <w:color w:val="auto"/>
        </w:rPr>
      </w:pPr>
    </w:p>
    <w:p>
      <w:pPr>
        <w:ind w:right="60" w:firstLine="531"/>
        <w:spacing w:after="0" w:line="234" w:lineRule="auto"/>
        <w:rPr>
          <w:sz w:val="20"/>
          <w:szCs w:val="20"/>
          <w:color w:val="auto"/>
        </w:rPr>
      </w:pPr>
      <w:r>
        <w:rPr>
          <w:rFonts w:ascii="Arial" w:cs="Arial" w:eastAsia="Arial" w:hAnsi="Arial"/>
          <w:sz w:val="16"/>
          <w:szCs w:val="16"/>
          <w:color w:val="auto"/>
        </w:rPr>
        <w:t>We have approximately 3,700 employees. Although approximately 77% of revenues were generated in North America in 2019, we have a global presence by serving customers in Europe, Asia, South America and Africa. We serve customers through an independent network of approximately 1,500 independent distributor and dealer locations worldwide.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53" w:lineRule="exact"/>
        <w:rPr>
          <w:sz w:val="20"/>
          <w:szCs w:val="20"/>
          <w:color w:val="auto"/>
        </w:rPr>
      </w:pPr>
    </w:p>
    <w:p>
      <w:pPr>
        <w:jc w:val="both"/>
        <w:ind w:right="180" w:firstLine="531"/>
        <w:spacing w:after="0" w:line="234"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During 2020, we expect lower demand in the Global On-Highway and Global Off-Highway end markets partially offset by increased demand in the Service Parts, Support Equipment &amp; Other and Defense end markets and price increases on certain products.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Full Year 2019 and 2018 Net Sales by End Market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right"/>
              <w:ind w:right="565"/>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65"/>
              <w:spacing w:after="0"/>
              <w:rPr>
                <w:sz w:val="20"/>
                <w:szCs w:val="20"/>
                <w:color w:val="auto"/>
              </w:rPr>
            </w:pPr>
            <w:r>
              <w:rPr>
                <w:rFonts w:ascii="Arial" w:cs="Arial" w:eastAsia="Arial" w:hAnsi="Arial"/>
                <w:sz w:val="13"/>
                <w:szCs w:val="13"/>
                <w:b w:val="1"/>
                <w:bCs w:val="1"/>
                <w:color w:val="auto"/>
              </w:rPr>
              <w:t>2018</w:t>
            </w: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3"/>
        </w:trPr>
        <w:tc>
          <w:tcPr>
            <w:tcW w:w="65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25"/>
              <w:spacing w:after="0"/>
              <w:rPr>
                <w:sz w:val="20"/>
                <w:szCs w:val="20"/>
                <w:color w:val="auto"/>
              </w:rPr>
            </w:pPr>
            <w:r>
              <w:rPr>
                <w:rFonts w:ascii="Arial" w:cs="Arial" w:eastAsia="Arial" w:hAnsi="Arial"/>
                <w:sz w:val="13"/>
                <w:szCs w:val="13"/>
                <w:b w:val="1"/>
                <w:bCs w:val="1"/>
                <w:color w:val="auto"/>
              </w:rPr>
              <w:t>Net Sales</w:t>
            </w: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Net Sales</w:t>
            </w:r>
          </w:p>
        </w:tc>
        <w:tc>
          <w:tcPr>
            <w:tcW w:w="1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 Variance</w:t>
            </w:r>
          </w:p>
        </w:tc>
      </w:tr>
      <w:tr>
        <w:trPr>
          <w:trHeight w:val="179"/>
        </w:trPr>
        <w:tc>
          <w:tcPr>
            <w:tcW w:w="6720" w:type="dxa"/>
            <w:vAlign w:val="bottom"/>
            <w:gridSpan w:val="2"/>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24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1,474</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1,317</w:t>
            </w:r>
          </w:p>
        </w:tc>
        <w:tc>
          <w:tcPr>
            <w:tcW w:w="1700" w:type="dxa"/>
            <w:vAlign w:val="bottom"/>
            <w:gridSpan w:val="2"/>
            <w:shd w:val="clear" w:color="auto" w:fill="CFF0FC"/>
          </w:tcPr>
          <w:p>
            <w:pPr>
              <w:jc w:val="right"/>
              <w:ind w:right="17"/>
              <w:spacing w:after="0" w:line="180" w:lineRule="exact"/>
              <w:rPr>
                <w:sz w:val="20"/>
                <w:szCs w:val="20"/>
                <w:color w:val="auto"/>
              </w:rPr>
            </w:pPr>
            <w:r>
              <w:rPr>
                <w:rFonts w:ascii="Arial" w:cs="Arial" w:eastAsia="Arial" w:hAnsi="Arial"/>
                <w:sz w:val="16"/>
                <w:szCs w:val="16"/>
                <w:color w:val="auto"/>
              </w:rPr>
              <w:t>12%</w:t>
            </w:r>
          </w:p>
        </w:tc>
      </w:tr>
      <w:tr>
        <w:trPr>
          <w:trHeight w:val="188"/>
        </w:trPr>
        <w:tc>
          <w:tcPr>
            <w:tcW w:w="6720" w:type="dxa"/>
            <w:vAlign w:val="bottom"/>
            <w:gridSpan w:val="2"/>
          </w:tcPr>
          <w:p>
            <w:pPr>
              <w:spacing w:after="0"/>
              <w:rPr>
                <w:sz w:val="20"/>
                <w:szCs w:val="20"/>
                <w:color w:val="auto"/>
              </w:rPr>
            </w:pPr>
            <w:r>
              <w:rPr>
                <w:rFonts w:ascii="Arial" w:cs="Arial" w:eastAsia="Arial" w:hAnsi="Arial"/>
                <w:sz w:val="16"/>
                <w:szCs w:val="16"/>
                <w:color w:val="auto"/>
              </w:rPr>
              <w:t>North America Off-Highway</w:t>
            </w:r>
          </w:p>
        </w:tc>
        <w:tc>
          <w:tcPr>
            <w:tcW w:w="24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b w:val="1"/>
                <w:bCs w:val="1"/>
                <w:color w:val="auto"/>
              </w:rPr>
              <w:t>30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93</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(68)%</w:t>
            </w:r>
          </w:p>
        </w:tc>
      </w:tr>
      <w:tr>
        <w:trPr>
          <w:trHeight w:val="188"/>
        </w:trPr>
        <w:tc>
          <w:tcPr>
            <w:tcW w:w="6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Defense</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151</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158</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w:t>
            </w:r>
          </w:p>
        </w:tc>
      </w:tr>
      <w:tr>
        <w:trPr>
          <w:trHeight w:val="188"/>
        </w:trPr>
        <w:tc>
          <w:tcPr>
            <w:tcW w:w="6720" w:type="dxa"/>
            <w:vAlign w:val="bottom"/>
            <w:gridSpan w:val="2"/>
          </w:tcPr>
          <w:p>
            <w:pPr>
              <w:spacing w:after="0"/>
              <w:rPr>
                <w:sz w:val="20"/>
                <w:szCs w:val="20"/>
                <w:color w:val="auto"/>
              </w:rPr>
            </w:pPr>
            <w:r>
              <w:rPr>
                <w:rFonts w:ascii="Arial" w:cs="Arial" w:eastAsia="Arial" w:hAnsi="Arial"/>
                <w:sz w:val="16"/>
                <w:szCs w:val="16"/>
                <w:color w:val="auto"/>
              </w:rPr>
              <w:t>Outside North America On-Highway</w:t>
            </w:r>
          </w:p>
        </w:tc>
        <w:tc>
          <w:tcPr>
            <w:tcW w:w="24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b w:val="1"/>
                <w:bCs w:val="1"/>
                <w:color w:val="auto"/>
              </w:rPr>
              <w:t>390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383</w:t>
            </w:r>
          </w:p>
        </w:tc>
        <w:tc>
          <w:tcPr>
            <w:tcW w:w="1700" w:type="dxa"/>
            <w:vAlign w:val="bottom"/>
            <w:gridSpan w:val="2"/>
          </w:tcPr>
          <w:p>
            <w:pPr>
              <w:jc w:val="right"/>
              <w:ind w:right="17"/>
              <w:spacing w:after="0"/>
              <w:rPr>
                <w:sz w:val="20"/>
                <w:szCs w:val="20"/>
                <w:color w:val="auto"/>
              </w:rPr>
            </w:pPr>
            <w:r>
              <w:rPr>
                <w:rFonts w:ascii="Arial" w:cs="Arial" w:eastAsia="Arial" w:hAnsi="Arial"/>
                <w:sz w:val="16"/>
                <w:szCs w:val="16"/>
                <w:color w:val="auto"/>
              </w:rPr>
              <w:t>2%</w:t>
            </w:r>
          </w:p>
        </w:tc>
      </w:tr>
      <w:tr>
        <w:trPr>
          <w:trHeight w:val="188"/>
        </w:trPr>
        <w:tc>
          <w:tcPr>
            <w:tcW w:w="67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109</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129</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w:t>
            </w:r>
          </w:p>
        </w:tc>
      </w:tr>
      <w:tr>
        <w:trPr>
          <w:trHeight w:val="188"/>
        </w:trPr>
        <w:tc>
          <w:tcPr>
            <w:tcW w:w="672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Service Parts, Support Equipment and Other</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544</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633</w:t>
            </w:r>
          </w:p>
        </w:tc>
        <w:tc>
          <w:tcPr>
            <w:tcW w:w="17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(14)%</w:t>
            </w:r>
          </w:p>
        </w:tc>
      </w:tr>
      <w:tr>
        <w:trPr>
          <w:trHeight w:val="179"/>
        </w:trPr>
        <w:tc>
          <w:tcPr>
            <w:tcW w:w="6720" w:type="dxa"/>
            <w:vAlign w:val="bottom"/>
            <w:tcBorders>
              <w:bottom w:val="single" w:sz="8" w:color="CFF0FC"/>
            </w:tcBorders>
            <w:gridSpan w:val="2"/>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240" w:type="dxa"/>
            <w:vAlign w:val="bottom"/>
            <w:tcBorders>
              <w:bottom w:val="single" w:sz="8" w:color="auto"/>
            </w:tcBorders>
            <w:shd w:val="clear" w:color="auto" w:fill="CFF0FC"/>
          </w:tcPr>
          <w:p>
            <w:pPr>
              <w:jc w:val="right"/>
              <w:ind w:right="62"/>
              <w:spacing w:after="0" w:line="180" w:lineRule="exact"/>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2,698</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2,713</w:t>
            </w:r>
          </w:p>
        </w:tc>
        <w:tc>
          <w:tcPr>
            <w:tcW w:w="170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(1)%</w:t>
            </w:r>
          </w:p>
        </w:tc>
      </w:tr>
      <w:tr>
        <w:trPr>
          <w:trHeight w:val="20"/>
        </w:trPr>
        <w:tc>
          <w:tcPr>
            <w:tcW w:w="6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40" w:lineRule="exact"/>
        <w:rPr>
          <w:sz w:val="20"/>
          <w:szCs w:val="20"/>
          <w:color w:val="auto"/>
        </w:rPr>
      </w:pPr>
    </w:p>
    <w:p>
      <w:pPr>
        <w:ind w:right="240" w:firstLine="531"/>
        <w:spacing w:after="0" w:line="234" w:lineRule="auto"/>
        <w:rPr>
          <w:sz w:val="20"/>
          <w:szCs w:val="20"/>
          <w:color w:val="auto"/>
        </w:rPr>
      </w:pPr>
      <w:r>
        <w:rPr>
          <w:rFonts w:ascii="Arial" w:cs="Arial" w:eastAsia="Arial" w:hAnsi="Arial"/>
          <w:sz w:val="16"/>
          <w:szCs w:val="16"/>
          <w:color w:val="auto"/>
        </w:rPr>
        <w:t>North America On-Highway end market net sales were up 12% for the year ended December 31, 2019 compared to the year ended December 31, 2018, principally driven by higher demand for Rugged Duty Series and Highway Series models, led by the continued execution of our growth initiatives and market share gains in Class 4/5 truck.</w:t>
      </w:r>
    </w:p>
    <w:p>
      <w:pPr>
        <w:spacing w:after="0" w:line="131" w:lineRule="exact"/>
        <w:rPr>
          <w:sz w:val="20"/>
          <w:szCs w:val="20"/>
          <w:color w:val="auto"/>
        </w:rPr>
      </w:pPr>
    </w:p>
    <w:p>
      <w:pPr>
        <w:ind w:right="180" w:firstLine="531"/>
        <w:spacing w:after="0" w:line="237" w:lineRule="auto"/>
        <w:rPr>
          <w:sz w:val="20"/>
          <w:szCs w:val="20"/>
          <w:color w:val="auto"/>
        </w:rPr>
      </w:pPr>
      <w:r>
        <w:rPr>
          <w:rFonts w:ascii="Arial" w:cs="Arial" w:eastAsia="Arial" w:hAnsi="Arial"/>
          <w:sz w:val="16"/>
          <w:szCs w:val="16"/>
          <w:color w:val="auto"/>
        </w:rPr>
        <w:t>North America Off-Highway end market net sales were down $63 million for the year ended December 31, 2019 compared to the year ended December 31, 2018, principally driven by lower demand from hydraulic fracturing applications.</w:t>
      </w:r>
    </w:p>
    <w:p>
      <w:pPr>
        <w:spacing w:after="0" w:line="129" w:lineRule="exact"/>
        <w:rPr>
          <w:sz w:val="20"/>
          <w:szCs w:val="20"/>
          <w:color w:val="auto"/>
        </w:rPr>
      </w:pPr>
    </w:p>
    <w:p>
      <w:pPr>
        <w:ind w:right="160" w:firstLine="531"/>
        <w:spacing w:after="0" w:line="237" w:lineRule="auto"/>
        <w:rPr>
          <w:sz w:val="20"/>
          <w:szCs w:val="20"/>
          <w:color w:val="auto"/>
        </w:rPr>
      </w:pPr>
      <w:r>
        <w:rPr>
          <w:rFonts w:ascii="Arial" w:cs="Arial" w:eastAsia="Arial" w:hAnsi="Arial"/>
          <w:sz w:val="16"/>
          <w:szCs w:val="16"/>
          <w:color w:val="auto"/>
        </w:rPr>
        <w:t>Defense end market net sales were down 4% for the year ended December 31, 2019 compared to the year ended December 31, 2018, principally driven by lower Tracked and Wheeled vehicle demand.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300" w:firstLine="531"/>
        <w:spacing w:after="0" w:line="237" w:lineRule="auto"/>
        <w:rPr>
          <w:sz w:val="20"/>
          <w:szCs w:val="20"/>
          <w:color w:val="auto"/>
        </w:rPr>
      </w:pPr>
      <w:r>
        <w:rPr>
          <w:rFonts w:ascii="Arial" w:cs="Arial" w:eastAsia="Arial" w:hAnsi="Arial"/>
          <w:sz w:val="16"/>
          <w:szCs w:val="16"/>
          <w:color w:val="auto"/>
        </w:rPr>
        <w:t>Outside North America On-Highway end market net sales were up 2% for the year ended December 31, 2019 compared to the year ended December 31, 2018, principally driven by higher demand in South America and Europe, partially offset by lower demand in Asia.</w:t>
      </w:r>
    </w:p>
    <w:p>
      <w:pPr>
        <w:spacing w:after="0" w:line="129"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Outside North America Off-Highway end market net sales were down 16% for the year ended December 31, 2019 compared to the year ended December 31, 2018, principally driven by lower demand in the mining and construction sectors, partially offset by higher demand in the energy sector.</w:t>
      </w:r>
    </w:p>
    <w:p>
      <w:pPr>
        <w:spacing w:after="0" w:line="129" w:lineRule="exact"/>
        <w:rPr>
          <w:sz w:val="20"/>
          <w:szCs w:val="20"/>
          <w:color w:val="auto"/>
        </w:rPr>
      </w:pPr>
    </w:p>
    <w:p>
      <w:pPr>
        <w:ind w:right="420" w:firstLine="531"/>
        <w:spacing w:after="0" w:line="237" w:lineRule="auto"/>
        <w:rPr>
          <w:sz w:val="20"/>
          <w:szCs w:val="20"/>
          <w:color w:val="auto"/>
        </w:rPr>
      </w:pPr>
      <w:r>
        <w:rPr>
          <w:rFonts w:ascii="Arial" w:cs="Arial" w:eastAsia="Arial" w:hAnsi="Arial"/>
          <w:sz w:val="16"/>
          <w:szCs w:val="16"/>
          <w:color w:val="auto"/>
        </w:rPr>
        <w:t>Service Parts, Support Equipment and Other end market net sales were down 14% for the year ended December 31, 2019 compared to the year ended December 31, 2018, principally driven by lower demand for North America parts.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Net sales</w:t>
      </w:r>
    </w:p>
    <w:p>
      <w:pPr>
        <w:spacing w:after="0" w:line="151" w:lineRule="exact"/>
        <w:rPr>
          <w:sz w:val="20"/>
          <w:szCs w:val="20"/>
          <w:color w:val="auto"/>
        </w:rPr>
      </w:pPr>
    </w:p>
    <w:p>
      <w:pPr>
        <w:ind w:right="40" w:firstLine="531"/>
        <w:spacing w:after="0" w:line="251" w:lineRule="auto"/>
        <w:rPr>
          <w:sz w:val="20"/>
          <w:szCs w:val="20"/>
          <w:color w:val="auto"/>
        </w:rPr>
      </w:pPr>
      <w:r>
        <w:rPr>
          <w:rFonts w:ascii="Arial" w:cs="Arial" w:eastAsia="Arial" w:hAnsi="Arial"/>
          <w:sz w:val="15"/>
          <w:szCs w:val="15"/>
          <w:color w:val="auto"/>
        </w:rPr>
        <w:t>We generate our net sales primarily from the sale of vehicle propulsion solutions, service and component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Cost of sales</w:t>
      </w:r>
    </w:p>
    <w:p>
      <w:pPr>
        <w:spacing w:after="0" w:line="151"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vehicle propulsion solutions and parts. For the year ended December 31, 2019, direct material costs were approximately 69%, overhead costs were approximately 24% and direct labor costs were approximately 7% of total cost of sales. We are subject to changes in our cost of sales caused by movements in underlying commodity prices. We seek to hedge against this risk by using long-term agreements ("LTAs"). See Part II, Item 7A, “Quantitative and Qualitative Disclosures about Market Risk—Commodity Price Risk” included in this Annual Report on Form 10-K.</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51" w:lineRule="exact"/>
        <w:rPr>
          <w:sz w:val="20"/>
          <w:szCs w:val="20"/>
          <w:color w:val="auto"/>
        </w:rPr>
      </w:pPr>
    </w:p>
    <w:p>
      <w:pPr>
        <w:ind w:right="140" w:firstLine="531"/>
        <w:spacing w:after="0" w:line="237"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51" w:lineRule="exact"/>
        <w:rPr>
          <w:sz w:val="20"/>
          <w:szCs w:val="20"/>
          <w:color w:val="auto"/>
        </w:rPr>
      </w:pPr>
    </w:p>
    <w:p>
      <w:pPr>
        <w:ind w:right="520" w:firstLine="531"/>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51"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Second Amended and Restated Credit Agreement dated as of March 29, 2019 (the “Credit Agreement”) governing Allison Transmission, Inc.’s (“ATI”), our wholly-owned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6" w:name="page37"/>
    <w:bookmarkEnd w:id="36"/>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6" w:right="480"/>
        <w:spacing w:after="0" w:line="237" w:lineRule="auto"/>
        <w:rPr>
          <w:sz w:val="20"/>
          <w:szCs w:val="20"/>
          <w:color w:val="auto"/>
        </w:rPr>
      </w:pPr>
      <w:r>
        <w:rPr>
          <w:rFonts w:ascii="Arial" w:cs="Arial" w:eastAsia="Arial" w:hAnsi="Arial"/>
          <w:sz w:val="16"/>
          <w:szCs w:val="16"/>
          <w:color w:val="auto"/>
        </w:rPr>
        <w:t>subsidiary, new term loan facility in the amount of $644 million due March 2026 (“New Term Loan”). Adjusted EBITDA as a percent of net sales is calculated as Adjusted EBITDA divided by net sales.</w:t>
      </w:r>
    </w:p>
    <w:p>
      <w:pPr>
        <w:spacing w:after="0" w:line="129" w:lineRule="exact"/>
        <w:rPr>
          <w:sz w:val="20"/>
          <w:szCs w:val="20"/>
          <w:color w:val="auto"/>
        </w:rPr>
      </w:pPr>
    </w:p>
    <w:p>
      <w:pPr>
        <w:ind w:left="6" w:right="60" w:firstLine="531"/>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30" w:lineRule="exact"/>
        <w:rPr>
          <w:sz w:val="20"/>
          <w:szCs w:val="20"/>
          <w:color w:val="auto"/>
        </w:rPr>
      </w:pPr>
    </w:p>
    <w:p>
      <w:pPr>
        <w:ind w:left="6" w:right="120" w:firstLine="531"/>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212"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6700" w:type="dxa"/>
            <w:vAlign w:val="bottom"/>
            <w:vMerge w:val="restart"/>
          </w:tcPr>
          <w:p>
            <w:pPr>
              <w:spacing w:after="0"/>
              <w:rPr>
                <w:sz w:val="20"/>
                <w:szCs w:val="20"/>
                <w:color w:val="auto"/>
              </w:rPr>
            </w:pPr>
            <w:r>
              <w:rPr>
                <w:rFonts w:ascii="Arial" w:cs="Arial" w:eastAsia="Arial" w:hAnsi="Arial"/>
                <w:sz w:val="13"/>
                <w:szCs w:val="13"/>
                <w:b w:val="1"/>
                <w:bCs w:val="1"/>
                <w:color w:val="auto"/>
              </w:rPr>
              <w:t>(unaudited, in millions)</w:t>
            </w:r>
          </w:p>
        </w:tc>
        <w:tc>
          <w:tcPr>
            <w:tcW w:w="300" w:type="dxa"/>
            <w:vAlign w:val="bottom"/>
            <w:tcBorders>
              <w:bottom w:val="single" w:sz="8" w:color="auto"/>
            </w:tcBorders>
          </w:tcPr>
          <w:p>
            <w:pPr>
              <w:spacing w:after="0"/>
              <w:rPr>
                <w:sz w:val="13"/>
                <w:szCs w:val="13"/>
                <w:color w:val="auto"/>
              </w:rPr>
            </w:pPr>
          </w:p>
        </w:tc>
        <w:tc>
          <w:tcPr>
            <w:tcW w:w="3260" w:type="dxa"/>
            <w:vAlign w:val="bottom"/>
            <w:tcBorders>
              <w:bottom w:val="single" w:sz="8" w:color="auto"/>
            </w:tcBorders>
            <w:gridSpan w:val="6"/>
          </w:tcPr>
          <w:p>
            <w:pPr>
              <w:jc w:val="right"/>
              <w:ind w:right="187"/>
              <w:spacing w:after="0"/>
              <w:rPr>
                <w:sz w:val="20"/>
                <w:szCs w:val="20"/>
                <w:color w:val="auto"/>
              </w:rPr>
            </w:pPr>
            <w:r>
              <w:rPr>
                <w:rFonts w:ascii="Arial" w:cs="Arial" w:eastAsia="Arial" w:hAnsi="Arial"/>
                <w:sz w:val="13"/>
                <w:szCs w:val="13"/>
                <w:b w:val="1"/>
                <w:bCs w:val="1"/>
                <w:color w:val="auto"/>
              </w:rPr>
              <w:t>For the years ended December 31,</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700" w:type="dxa"/>
            <w:vAlign w:val="bottom"/>
            <w:tcBorders>
              <w:bottom w:val="single" w:sz="8" w:color="CFF0FC"/>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23"/>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2"/>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02"/>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67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b w:val="1"/>
                <w:bCs w:val="1"/>
                <w:color w:val="auto"/>
              </w:rPr>
              <w:t>604</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rPr>
              <w:t>639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Arial" w:cs="Arial" w:eastAsia="Arial" w:hAnsi="Arial"/>
                <w:sz w:val="16"/>
                <w:szCs w:val="16"/>
                <w:color w:val="auto"/>
              </w:rPr>
              <w:t>plus:</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164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b w:val="1"/>
                <w:bCs w:val="1"/>
                <w:color w:val="auto"/>
              </w:rPr>
              <w:t>134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121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86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30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b w:val="1"/>
                <w:bCs w:val="1"/>
                <w:color w:val="auto"/>
              </w:rPr>
              <w:t>81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Environmental remediation (b)</w:t>
            </w:r>
          </w:p>
        </w:tc>
        <w:tc>
          <w:tcPr>
            <w:tcW w:w="300" w:type="dxa"/>
            <w:vAlign w:val="bottom"/>
          </w:tcPr>
          <w:p>
            <w:pPr>
              <w:spacing w:after="0"/>
              <w:rPr>
                <w:sz w:val="16"/>
                <w:szCs w:val="16"/>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UAW Local 933 retirement incentive (c)</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Loss associated with impairment of long-lived assets (d)</w:t>
            </w:r>
          </w:p>
        </w:tc>
        <w:tc>
          <w:tcPr>
            <w:tcW w:w="30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 (e)</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Acquisition-related earnouts (f)</w:t>
            </w:r>
          </w:p>
        </w:tc>
        <w:tc>
          <w:tcPr>
            <w:tcW w:w="300" w:type="dxa"/>
            <w:vAlign w:val="bottom"/>
          </w:tcPr>
          <w:p>
            <w:pPr>
              <w:spacing w:after="0"/>
              <w:rPr>
                <w:sz w:val="16"/>
                <w:szCs w:val="16"/>
                <w:color w:val="auto"/>
              </w:rPr>
            </w:pPr>
          </w:p>
        </w:tc>
        <w:tc>
          <w:tcPr>
            <w:tcW w:w="1180" w:type="dxa"/>
            <w:vAlign w:val="bottom"/>
          </w:tcPr>
          <w:p>
            <w:pPr>
              <w:jc w:val="right"/>
              <w:ind w:right="103"/>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Technology-related investment expense (g)</w:t>
            </w: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Unrealized loss on foreign exchange (h)</w:t>
            </w:r>
          </w:p>
        </w:tc>
        <w:tc>
          <w:tcPr>
            <w:tcW w:w="3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UAW Local 933 contract signing bonus (i)</w:t>
            </w:r>
          </w:p>
        </w:tc>
        <w:tc>
          <w:tcPr>
            <w:tcW w:w="30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spacing w:after="0"/>
              <w:rPr>
                <w:sz w:val="16"/>
                <w:szCs w:val="16"/>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6700" w:type="dxa"/>
            <w:vAlign w:val="bottom"/>
          </w:tcPr>
          <w:p>
            <w:pPr>
              <w:ind w:left="200"/>
              <w:spacing w:after="0"/>
              <w:rPr>
                <w:sz w:val="20"/>
                <w:szCs w:val="20"/>
                <w:color w:val="auto"/>
              </w:rPr>
            </w:pPr>
            <w:r>
              <w:rPr>
                <w:rFonts w:ascii="Arial" w:cs="Arial" w:eastAsia="Arial" w:hAnsi="Arial"/>
                <w:sz w:val="16"/>
                <w:szCs w:val="16"/>
                <w:color w:val="auto"/>
              </w:rPr>
              <w:t>Dual power inverter module units extended coverage (j)</w:t>
            </w:r>
          </w:p>
        </w:tc>
        <w:tc>
          <w:tcPr>
            <w:tcW w:w="300" w:type="dxa"/>
            <w:vAlign w:val="bottom"/>
          </w:tcPr>
          <w:p>
            <w:pPr>
              <w:spacing w:after="0"/>
              <w:rPr>
                <w:sz w:val="16"/>
                <w:szCs w:val="16"/>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9"/>
        </w:trPr>
        <w:tc>
          <w:tcPr>
            <w:tcW w:w="670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b w:val="1"/>
                <w:bCs w:val="1"/>
                <w:color w:val="auto"/>
              </w:rPr>
              <w:t>1,083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rPr>
              <w:t>1,128</w:t>
            </w:r>
          </w:p>
        </w:tc>
        <w:tc>
          <w:tcPr>
            <w:tcW w:w="16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ind w:right="102"/>
              <w:spacing w:after="0" w:line="180" w:lineRule="exact"/>
              <w:rPr>
                <w:sz w:val="20"/>
                <w:szCs w:val="20"/>
                <w:color w:val="auto"/>
              </w:rPr>
            </w:pPr>
            <w:r>
              <w:rPr>
                <w:rFonts w:ascii="Arial" w:cs="Arial" w:eastAsia="Arial" w:hAnsi="Arial"/>
                <w:sz w:val="16"/>
                <w:szCs w:val="16"/>
                <w:color w:val="auto"/>
              </w:rPr>
              <w:t>868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Arial" w:cs="Arial" w:eastAsia="Arial" w:hAnsi="Arial"/>
                <w:sz w:val="16"/>
                <w:szCs w:val="16"/>
                <w:b w:val="1"/>
                <w:bCs w:val="1"/>
                <w:color w:val="auto"/>
              </w:rPr>
              <w:t>Net sales (GAAP)</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700" w:type="dxa"/>
            <w:vAlign w:val="bottom"/>
            <w:vMerge w:val="continue"/>
          </w:tcPr>
          <w:p>
            <w:pPr>
              <w:spacing w:after="0"/>
              <w:rPr>
                <w:sz w:val="14"/>
                <w:szCs w:val="14"/>
                <w:color w:val="auto"/>
              </w:rPr>
            </w:pPr>
          </w:p>
        </w:tc>
        <w:tc>
          <w:tcPr>
            <w:tcW w:w="300" w:type="dxa"/>
            <w:vAlign w:val="bottom"/>
          </w:tcPr>
          <w:p>
            <w:pPr>
              <w:jc w:val="right"/>
              <w:ind w:right="147"/>
              <w:spacing w:after="0" w:line="163" w:lineRule="exact"/>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ind w:right="103"/>
              <w:spacing w:after="0" w:line="163" w:lineRule="exact"/>
              <w:rPr>
                <w:sz w:val="20"/>
                <w:szCs w:val="20"/>
                <w:color w:val="auto"/>
              </w:rPr>
            </w:pPr>
            <w:r>
              <w:rPr>
                <w:rFonts w:ascii="Arial" w:cs="Arial" w:eastAsia="Arial" w:hAnsi="Arial"/>
                <w:sz w:val="16"/>
                <w:szCs w:val="16"/>
                <w:b w:val="1"/>
                <w:bCs w:val="1"/>
                <w:color w:val="auto"/>
              </w:rPr>
              <w:t>2,698</w:t>
            </w:r>
          </w:p>
        </w:tc>
        <w:tc>
          <w:tcPr>
            <w:tcW w:w="140" w:type="dxa"/>
            <w:vAlign w:val="bottom"/>
          </w:tcPr>
          <w:p>
            <w:pPr>
              <w:spacing w:after="0"/>
              <w:rPr>
                <w:sz w:val="14"/>
                <w:szCs w:val="14"/>
                <w:color w:val="auto"/>
              </w:rPr>
            </w:pPr>
          </w:p>
        </w:tc>
        <w:tc>
          <w:tcPr>
            <w:tcW w:w="300" w:type="dxa"/>
            <w:vAlign w:val="bottom"/>
          </w:tcPr>
          <w:p>
            <w:pPr>
              <w:jc w:val="right"/>
              <w:ind w:right="122"/>
              <w:spacing w:after="0" w:line="163" w:lineRule="exact"/>
              <w:rPr>
                <w:sz w:val="20"/>
                <w:szCs w:val="20"/>
                <w:color w:val="auto"/>
              </w:rPr>
            </w:pPr>
            <w:r>
              <w:rPr>
                <w:rFonts w:ascii="Arial" w:cs="Arial" w:eastAsia="Arial" w:hAnsi="Arial"/>
                <w:sz w:val="16"/>
                <w:szCs w:val="16"/>
                <w:color w:val="auto"/>
                <w:w w:val="89"/>
              </w:rPr>
              <w:t>$</w:t>
            </w:r>
          </w:p>
        </w:tc>
        <w:tc>
          <w:tcPr>
            <w:tcW w:w="1180" w:type="dxa"/>
            <w:vAlign w:val="bottom"/>
          </w:tcPr>
          <w:p>
            <w:pPr>
              <w:jc w:val="right"/>
              <w:ind w:right="82"/>
              <w:spacing w:after="0" w:line="163" w:lineRule="exact"/>
              <w:rPr>
                <w:sz w:val="20"/>
                <w:szCs w:val="20"/>
                <w:color w:val="auto"/>
              </w:rPr>
            </w:pPr>
            <w:r>
              <w:rPr>
                <w:rFonts w:ascii="Arial" w:cs="Arial" w:eastAsia="Arial" w:hAnsi="Arial"/>
                <w:sz w:val="16"/>
                <w:szCs w:val="16"/>
                <w:color w:val="auto"/>
              </w:rPr>
              <w:t>2,713</w:t>
            </w:r>
          </w:p>
        </w:tc>
        <w:tc>
          <w:tcPr>
            <w:tcW w:w="160" w:type="dxa"/>
            <w:vAlign w:val="bottom"/>
          </w:tcPr>
          <w:p>
            <w:pPr>
              <w:spacing w:after="0"/>
              <w:rPr>
                <w:sz w:val="14"/>
                <w:szCs w:val="14"/>
                <w:color w:val="auto"/>
              </w:rPr>
            </w:pPr>
          </w:p>
        </w:tc>
        <w:tc>
          <w:tcPr>
            <w:tcW w:w="300" w:type="dxa"/>
            <w:vAlign w:val="bottom"/>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80" w:type="dxa"/>
            <w:vAlign w:val="bottom"/>
          </w:tcPr>
          <w:p>
            <w:pPr>
              <w:jc w:val="right"/>
              <w:ind w:right="82"/>
              <w:spacing w:after="0" w:line="163" w:lineRule="exact"/>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shd w:val="clear" w:color="auto" w:fill="CFF0FC"/>
          </w:tcPr>
          <w:p>
            <w:pPr>
              <w:jc w:val="right"/>
              <w:ind w:right="103"/>
              <w:spacing w:after="0"/>
              <w:rPr>
                <w:sz w:val="20"/>
                <w:szCs w:val="20"/>
                <w:color w:val="auto"/>
              </w:rPr>
            </w:pPr>
            <w:r>
              <w:rPr>
                <w:rFonts w:ascii="Arial" w:cs="Arial" w:eastAsia="Arial" w:hAnsi="Arial"/>
                <w:sz w:val="16"/>
                <w:szCs w:val="16"/>
                <w:b w:val="1"/>
                <w:bCs w:val="1"/>
                <w:color w:val="auto"/>
              </w:rPr>
              <w:t>847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837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88"/>
        </w:trPr>
        <w:tc>
          <w:tcPr>
            <w:tcW w:w="6700" w:type="dxa"/>
            <w:vAlign w:val="bottom"/>
          </w:tcPr>
          <w:p>
            <w:pPr>
              <w:spacing w:after="0"/>
              <w:rPr>
                <w:sz w:val="20"/>
                <w:szCs w:val="20"/>
                <w:color w:val="auto"/>
              </w:rPr>
            </w:pPr>
            <w:r>
              <w:rPr>
                <w:rFonts w:ascii="Arial" w:cs="Arial" w:eastAsia="Arial" w:hAnsi="Arial"/>
                <w:sz w:val="16"/>
                <w:szCs w:val="16"/>
                <w:color w:val="auto"/>
              </w:rPr>
              <w:t>(Deductions) or additions to reconcile to Adjusted free cash flow:</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Additions of long-lived assets</w:t>
            </w:r>
          </w:p>
        </w:tc>
        <w:tc>
          <w:tcPr>
            <w:tcW w:w="3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(172)</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79"/>
        </w:trPr>
        <w:tc>
          <w:tcPr>
            <w:tcW w:w="6700" w:type="dxa"/>
            <w:vAlign w:val="bottom"/>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ind w:right="103"/>
              <w:spacing w:after="0" w:line="180" w:lineRule="exact"/>
              <w:rPr>
                <w:sz w:val="20"/>
                <w:szCs w:val="20"/>
                <w:color w:val="auto"/>
              </w:rPr>
            </w:pPr>
            <w:r>
              <w:rPr>
                <w:rFonts w:ascii="Arial" w:cs="Arial" w:eastAsia="Arial" w:hAnsi="Arial"/>
                <w:sz w:val="16"/>
                <w:szCs w:val="16"/>
                <w:b w:val="1"/>
                <w:bCs w:val="1"/>
                <w:color w:val="auto"/>
              </w:rPr>
              <w:t>675</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82"/>
              <w:spacing w:after="0" w:line="180" w:lineRule="exact"/>
              <w:rPr>
                <w:sz w:val="20"/>
                <w:szCs w:val="20"/>
                <w:color w:val="auto"/>
              </w:rPr>
            </w:pPr>
            <w:r>
              <w:rPr>
                <w:rFonts w:ascii="Arial" w:cs="Arial" w:eastAsia="Arial" w:hAnsi="Arial"/>
                <w:sz w:val="16"/>
                <w:szCs w:val="16"/>
                <w:color w:val="auto"/>
              </w:rPr>
              <w:t>737</w:t>
            </w:r>
          </w:p>
        </w:tc>
        <w:tc>
          <w:tcPr>
            <w:tcW w:w="160" w:type="dxa"/>
            <w:vAlign w:val="bottom"/>
          </w:tcPr>
          <w:p>
            <w:pPr>
              <w:spacing w:after="0"/>
              <w:rPr>
                <w:sz w:val="15"/>
                <w:szCs w:val="15"/>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02"/>
              <w:spacing w:after="0" w:line="180" w:lineRule="exact"/>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86" w:right="800"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ind w:left="686" w:right="820"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an environmental remediation benefit (recorded in Selling, general and administrative) related to reduction of the liability for ongoing environmental remediation operating, monitoring and maintenance activities at our Indianapolis, Indiana manufacturing facilities.</w:t>
      </w:r>
    </w:p>
    <w:p>
      <w:pPr>
        <w:ind w:left="686" w:right="260" w:hanging="686"/>
        <w:spacing w:after="0" w:line="229"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charges (recorded in Cost of sales) related to a retirement incentive program for certain employees represented by the International Union, United Automobile, Aerospace and Agricultural Implement Workers of America (“UAW”) pursuant to the UAW Local 933 collective bargaining agreement effective through November 2023.</w:t>
      </w:r>
    </w:p>
    <w:p>
      <w:pPr>
        <w:spacing w:after="0" w:line="1" w:lineRule="exact"/>
        <w:rPr>
          <w:rFonts w:ascii="Arial" w:cs="Arial" w:eastAsia="Arial" w:hAnsi="Arial"/>
          <w:sz w:val="16"/>
          <w:szCs w:val="16"/>
          <w:color w:val="auto"/>
        </w:rPr>
      </w:pPr>
    </w:p>
    <w:p>
      <w:pPr>
        <w:ind w:left="686" w:right="260" w:hanging="686"/>
        <w:spacing w:after="0" w:line="237" w:lineRule="auto"/>
        <w:tabs>
          <w:tab w:leader="none" w:pos="686"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charges (recorded in Selling, general and administrative) associated with the impairment of long-lived assets related to the production of the TC10 transmission.</w:t>
      </w:r>
    </w:p>
    <w:p>
      <w:pPr>
        <w:spacing w:after="0" w:line="17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6"/>
          </w:cols>
          <w:pgMar w:left="234" w:top="140" w:right="219" w:bottom="1440" w:gutter="0" w:footer="0" w:header="0"/>
        </w:sectPr>
      </w:pPr>
    </w:p>
    <w:bookmarkStart w:id="37" w:name="page38"/>
    <w:bookmarkEnd w:id="37"/>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686" w:right="60" w:hanging="686"/>
        <w:spacing w:after="0" w:line="229" w:lineRule="auto"/>
        <w:tabs>
          <w:tab w:leader="none" w:pos="6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expenses (recorded in Other income (expense), net) related to the refinancing of the prior term loan due 2022 (“Prior Term Loan”) and prior revolving credit facility due 2021 (together with the Prior Term Loan, the "Prior Senior Secured Credit Facility") in the first quarter of 2019 and the repricing of the New Term Loan in the fourth quarter of 2019.</w:t>
      </w:r>
    </w:p>
    <w:p>
      <w:pPr>
        <w:spacing w:after="0" w:line="1" w:lineRule="exact"/>
        <w:rPr>
          <w:rFonts w:ascii="Arial" w:cs="Arial" w:eastAsia="Arial" w:hAnsi="Arial"/>
          <w:sz w:val="16"/>
          <w:szCs w:val="16"/>
          <w:color w:val="auto"/>
        </w:rPr>
      </w:pPr>
    </w:p>
    <w:p>
      <w:pPr>
        <w:ind w:left="686" w:hanging="686"/>
        <w:spacing w:after="0" w:line="229" w:lineRule="auto"/>
        <w:tabs>
          <w:tab w:leader="none" w:pos="6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expenses (recorded in Selling, general and administrative and Engineering - research and development) for earnouts related to our acquisition of Vantage Power Limited.</w:t>
      </w:r>
    </w:p>
    <w:p>
      <w:pPr>
        <w:ind w:left="686" w:right="300" w:hanging="686"/>
        <w:spacing w:after="0" w:line="229" w:lineRule="auto"/>
        <w:tabs>
          <w:tab w:leader="none" w:pos="6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 charge (recorded in Other income (expense), net) for investments in co-development agreements to expand our position in transmission technologies.</w:t>
      </w:r>
    </w:p>
    <w:p>
      <w:pPr>
        <w:ind w:left="686" w:right="180" w:hanging="686"/>
        <w:spacing w:after="0" w:line="229" w:lineRule="auto"/>
        <w:tabs>
          <w:tab w:leader="none" w:pos="6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losses (recorded in Other income (expense), net) on intercompany financing transactions related to investments in plant assets for our India facility.</w:t>
      </w:r>
    </w:p>
    <w:p>
      <w:pPr>
        <w:jc w:val="both"/>
        <w:ind w:left="686" w:right="160" w:hanging="686"/>
        <w:spacing w:after="0" w:line="229" w:lineRule="auto"/>
        <w:tabs>
          <w:tab w:leader="none" w:pos="6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 bonus (recorded in Cost of sales, Selling, general and administrative, and Engineering – research and development) to eligible employees recorded in the fourth quarter of 2017 as a result of UAW Local 933 represented employees ratifying a six-year collective bargaining agreement effective through November 2023.</w:t>
      </w:r>
    </w:p>
    <w:p>
      <w:pPr>
        <w:spacing w:after="0" w:line="1" w:lineRule="exact"/>
        <w:rPr>
          <w:rFonts w:ascii="Arial" w:cs="Arial" w:eastAsia="Arial" w:hAnsi="Arial"/>
          <w:sz w:val="16"/>
          <w:szCs w:val="16"/>
          <w:color w:val="auto"/>
        </w:rPr>
      </w:pPr>
    </w:p>
    <w:p>
      <w:pPr>
        <w:ind w:left="686" w:right="120" w:hanging="686"/>
        <w:spacing w:after="0" w:line="234" w:lineRule="auto"/>
        <w:tabs>
          <w:tab w:leader="none" w:pos="686"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an adjustment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178" w:lineRule="exact"/>
        <w:rPr>
          <w:sz w:val="20"/>
          <w:szCs w:val="20"/>
          <w:color w:val="auto"/>
        </w:rPr>
      </w:pPr>
    </w:p>
    <w:p>
      <w:pPr>
        <w:jc w:val="center"/>
        <w:ind w:right="-65"/>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66"/>
          </w:cols>
          <w:pgMar w:left="234" w:top="140" w:right="29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53" w:lineRule="exact"/>
        <w:rPr>
          <w:sz w:val="20"/>
          <w:szCs w:val="20"/>
          <w:color w:val="auto"/>
        </w:rPr>
      </w:pPr>
    </w:p>
    <w:p>
      <w:pPr>
        <w:jc w:val="both"/>
        <w:ind w:right="40" w:firstLine="531"/>
        <w:spacing w:after="0" w:line="234" w:lineRule="auto"/>
        <w:rPr>
          <w:sz w:val="20"/>
          <w:szCs w:val="20"/>
          <w:color w:val="auto"/>
        </w:rPr>
      </w:pPr>
      <w:r>
        <w:rPr>
          <w:rFonts w:ascii="Arial" w:cs="Arial" w:eastAsia="Arial" w:hAnsi="Arial"/>
          <w:sz w:val="16"/>
          <w:szCs w:val="16"/>
          <w:color w:val="auto"/>
        </w:rPr>
        <w:t>The following tables set forth certain financial information for the years ended December 31, 2019 and 2018 and for the years ended December 31, 2018 and 2017. The following tables and discussion should be read in conjunction with the information contained in our consolidated financial statements and the notes thereto included in Part II, Item 8 of this Annual Report on Form 10-K.</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Comparison of years ended December 31, 2019 and 2018</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Years ended December 31,</w:t>
            </w:r>
          </w:p>
        </w:tc>
        <w:tc>
          <w:tcPr>
            <w:tcW w:w="1340" w:type="dxa"/>
            <w:vAlign w:val="bottom"/>
            <w:tcBorders>
              <w:bottom w:val="single" w:sz="8" w:color="auto"/>
            </w:tcBorders>
          </w:tcPr>
          <w:p>
            <w:pPr>
              <w:spacing w:after="0"/>
              <w:rPr>
                <w:sz w:val="13"/>
                <w:szCs w:val="13"/>
                <w:color w:val="auto"/>
              </w:rPr>
            </w:pPr>
          </w:p>
        </w:tc>
      </w:tr>
      <w:tr>
        <w:trPr>
          <w:trHeight w:val="132"/>
        </w:trPr>
        <w:tc>
          <w:tcPr>
            <w:tcW w:w="4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jc w:val="right"/>
              <w:ind w:right="62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88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(dollars in millions)</w:t>
            </w: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of net sales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of net sales</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2,698</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2,713</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0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1,304</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48</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1,394</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52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1,422</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52</w:t>
            </w: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Operating expenses: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8"/>
        </w:trPr>
        <w:tc>
          <w:tcPr>
            <w:tcW w:w="4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354</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13</w:t>
            </w:r>
          </w:p>
        </w:tc>
      </w:tr>
      <w:tr>
        <w:trPr>
          <w:trHeight w:val="188"/>
        </w:trPr>
        <w:tc>
          <w:tcPr>
            <w:tcW w:w="4880" w:type="dxa"/>
            <w:vAlign w:val="bottom"/>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154</w:t>
            </w:r>
          </w:p>
        </w:tc>
        <w:tc>
          <w:tcPr>
            <w:tcW w:w="140" w:type="dxa"/>
            <w:vAlign w:val="bottom"/>
          </w:tcPr>
          <w:p>
            <w:pPr>
              <w:spacing w:after="0"/>
              <w:rPr>
                <w:sz w:val="16"/>
                <w:szCs w:val="16"/>
                <w:color w:val="auto"/>
              </w:rPr>
            </w:pPr>
          </w:p>
        </w:tc>
        <w:tc>
          <w:tcPr>
            <w:tcW w:w="1300" w:type="dxa"/>
            <w:vAlign w:val="bottom"/>
          </w:tcPr>
          <w:p>
            <w:pPr>
              <w:jc w:val="right"/>
              <w:ind w:right="84"/>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16"/>
                <w:szCs w:val="16"/>
                <w:color w:val="auto"/>
              </w:rPr>
            </w:pPr>
          </w:p>
        </w:tc>
        <w:tc>
          <w:tcPr>
            <w:tcW w:w="1340" w:type="dxa"/>
            <w:vAlign w:val="bottom"/>
          </w:tcPr>
          <w:p>
            <w:pPr>
              <w:jc w:val="right"/>
              <w:ind w:right="104"/>
              <w:spacing w:after="0"/>
              <w:rPr>
                <w:sz w:val="20"/>
                <w:szCs w:val="20"/>
                <w:color w:val="auto"/>
              </w:rPr>
            </w:pPr>
            <w:r>
              <w:rPr>
                <w:rFonts w:ascii="Arial" w:cs="Arial" w:eastAsia="Arial" w:hAnsi="Arial"/>
                <w:sz w:val="16"/>
                <w:szCs w:val="16"/>
                <w:color w:val="auto"/>
              </w:rPr>
              <w:t>5</w:t>
            </w:r>
          </w:p>
        </w:tc>
      </w:tr>
      <w:tr>
        <w:trPr>
          <w:trHeight w:val="188"/>
        </w:trPr>
        <w:tc>
          <w:tcPr>
            <w:tcW w:w="4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Environmental remediation</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r>
      <w:tr>
        <w:trPr>
          <w:trHeight w:val="188"/>
        </w:trPr>
        <w:tc>
          <w:tcPr>
            <w:tcW w:w="4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Loss associated with impairment of long-lived assets</w:t>
            </w:r>
          </w:p>
        </w:tc>
        <w:tc>
          <w:tcPr>
            <w:tcW w:w="10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79"/>
        </w:trPr>
        <w:tc>
          <w:tcPr>
            <w:tcW w:w="488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0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502</w:t>
            </w:r>
          </w:p>
        </w:tc>
        <w:tc>
          <w:tcPr>
            <w:tcW w:w="14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499</w:t>
            </w:r>
          </w:p>
        </w:tc>
        <w:tc>
          <w:tcPr>
            <w:tcW w:w="120" w:type="dxa"/>
            <w:vAlign w:val="bottom"/>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18</w:t>
            </w:r>
          </w:p>
        </w:tc>
      </w:tr>
      <w:tr>
        <w:trPr>
          <w:trHeight w:val="179"/>
        </w:trPr>
        <w:tc>
          <w:tcPr>
            <w:tcW w:w="488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892</w:t>
            </w:r>
          </w:p>
        </w:tc>
        <w:tc>
          <w:tcPr>
            <w:tcW w:w="140" w:type="dxa"/>
            <w:vAlign w:val="bottom"/>
          </w:tcPr>
          <w:p>
            <w:pPr>
              <w:spacing w:after="0"/>
              <w:rPr>
                <w:sz w:val="15"/>
                <w:szCs w:val="15"/>
                <w:color w:val="auto"/>
              </w:rPr>
            </w:pPr>
          </w:p>
        </w:tc>
        <w:tc>
          <w:tcPr>
            <w:tcW w:w="1300" w:type="dxa"/>
            <w:vAlign w:val="bottom"/>
          </w:tcPr>
          <w:p>
            <w:pPr>
              <w:jc w:val="right"/>
              <w:ind w:right="84"/>
              <w:spacing w:after="0" w:line="180" w:lineRule="exact"/>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color w:val="auto"/>
              </w:rPr>
              <w:t>923</w:t>
            </w:r>
          </w:p>
        </w:tc>
        <w:tc>
          <w:tcPr>
            <w:tcW w:w="120" w:type="dxa"/>
            <w:vAlign w:val="bottom"/>
          </w:tcPr>
          <w:p>
            <w:pPr>
              <w:spacing w:after="0"/>
              <w:rPr>
                <w:sz w:val="15"/>
                <w:szCs w:val="15"/>
                <w:color w:val="auto"/>
              </w:rPr>
            </w:pPr>
          </w:p>
        </w:tc>
        <w:tc>
          <w:tcPr>
            <w:tcW w:w="1340" w:type="dxa"/>
            <w:vAlign w:val="bottom"/>
          </w:tcPr>
          <w:p>
            <w:pPr>
              <w:jc w:val="right"/>
              <w:ind w:right="104"/>
              <w:spacing w:after="0" w:line="180" w:lineRule="exact"/>
              <w:rPr>
                <w:sz w:val="20"/>
                <w:szCs w:val="20"/>
                <w:color w:val="auto"/>
              </w:rPr>
            </w:pPr>
            <w:r>
              <w:rPr>
                <w:rFonts w:ascii="Arial" w:cs="Arial" w:eastAsia="Arial" w:hAnsi="Arial"/>
                <w:sz w:val="16"/>
                <w:szCs w:val="16"/>
                <w:color w:val="auto"/>
              </w:rPr>
              <w:t>34</w:t>
            </w:r>
          </w:p>
        </w:tc>
      </w:tr>
      <w:tr>
        <w:trPr>
          <w:trHeight w:val="188"/>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r>
      <w:tr>
        <w:trPr>
          <w:trHeight w:val="188"/>
        </w:trPr>
        <w:tc>
          <w:tcPr>
            <w:tcW w:w="48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(134)</w:t>
            </w:r>
          </w:p>
        </w:tc>
        <w:tc>
          <w:tcPr>
            <w:tcW w:w="140" w:type="dxa"/>
            <w:vAlign w:val="bottom"/>
          </w:tcPr>
          <w:p>
            <w:pPr>
              <w:spacing w:after="0"/>
              <w:rPr>
                <w:sz w:val="16"/>
                <w:szCs w:val="16"/>
                <w:color w:val="auto"/>
              </w:rPr>
            </w:pPr>
          </w:p>
        </w:tc>
        <w:tc>
          <w:tcPr>
            <w:tcW w:w="1300" w:type="dxa"/>
            <w:vAlign w:val="bottom"/>
          </w:tcPr>
          <w:p>
            <w:pPr>
              <w:jc w:val="right"/>
              <w:ind w:right="24"/>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16"/>
                <w:szCs w:val="16"/>
                <w:color w:val="auto"/>
              </w:rPr>
            </w:pPr>
          </w:p>
        </w:tc>
        <w:tc>
          <w:tcPr>
            <w:tcW w:w="1340" w:type="dxa"/>
            <w:vAlign w:val="bottom"/>
          </w:tcPr>
          <w:p>
            <w:pPr>
              <w:jc w:val="right"/>
              <w:ind w:right="44"/>
              <w:spacing w:after="0"/>
              <w:rPr>
                <w:sz w:val="20"/>
                <w:szCs w:val="20"/>
                <w:color w:val="auto"/>
              </w:rPr>
            </w:pPr>
            <w:r>
              <w:rPr>
                <w:rFonts w:ascii="Arial" w:cs="Arial" w:eastAsia="Arial" w:hAnsi="Arial"/>
                <w:sz w:val="16"/>
                <w:szCs w:val="16"/>
                <w:color w:val="auto"/>
              </w:rPr>
              <w:t>(4)</w:t>
            </w:r>
          </w:p>
        </w:tc>
      </w:tr>
      <w:tr>
        <w:trPr>
          <w:trHeight w:val="188"/>
        </w:trPr>
        <w:tc>
          <w:tcPr>
            <w:tcW w:w="4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net</w:t>
            </w:r>
          </w:p>
        </w:tc>
        <w:tc>
          <w:tcPr>
            <w:tcW w:w="10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6"/>
                <w:szCs w:val="16"/>
                <w:color w:val="auto"/>
              </w:rPr>
              <w:t>—</w:t>
            </w:r>
          </w:p>
        </w:tc>
      </w:tr>
      <w:tr>
        <w:trPr>
          <w:trHeight w:val="179"/>
        </w:trPr>
        <w:tc>
          <w:tcPr>
            <w:tcW w:w="4880" w:type="dxa"/>
            <w:vAlign w:val="bottom"/>
            <w:tcBorders>
              <w:bottom w:val="single" w:sz="8" w:color="CFF0FC"/>
            </w:tcBorders>
          </w:tcPr>
          <w:p>
            <w:pPr>
              <w:ind w:left="420"/>
              <w:spacing w:after="0" w:line="180" w:lineRule="exact"/>
              <w:rPr>
                <w:sz w:val="20"/>
                <w:szCs w:val="20"/>
                <w:color w:val="auto"/>
              </w:rPr>
            </w:pPr>
            <w:r>
              <w:rPr>
                <w:rFonts w:ascii="Arial" w:cs="Arial" w:eastAsia="Arial" w:hAnsi="Arial"/>
                <w:sz w:val="16"/>
                <w:szCs w:val="16"/>
                <w:color w:val="auto"/>
              </w:rPr>
              <w:t>Total other expense, net</w:t>
            </w:r>
          </w:p>
        </w:tc>
        <w:tc>
          <w:tcPr>
            <w:tcW w:w="10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(124)</w:t>
            </w:r>
          </w:p>
        </w:tc>
        <w:tc>
          <w:tcPr>
            <w:tcW w:w="1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24"/>
              <w:spacing w:after="0" w:line="180" w:lineRule="exact"/>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(118)</w:t>
            </w:r>
          </w:p>
        </w:tc>
        <w:tc>
          <w:tcPr>
            <w:tcW w:w="12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(4)</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768</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805</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4"/>
              <w:spacing w:after="0" w:line="180" w:lineRule="exact"/>
              <w:rPr>
                <w:sz w:val="20"/>
                <w:szCs w:val="20"/>
                <w:color w:val="auto"/>
              </w:rPr>
            </w:pPr>
            <w:r>
              <w:rPr>
                <w:rFonts w:ascii="Arial" w:cs="Arial" w:eastAsia="Arial" w:hAnsi="Arial"/>
                <w:sz w:val="16"/>
                <w:szCs w:val="16"/>
                <w:color w:val="auto"/>
              </w:rPr>
              <w:t>30</w:t>
            </w:r>
          </w:p>
        </w:tc>
      </w:tr>
      <w:tr>
        <w:trPr>
          <w:trHeight w:val="188"/>
        </w:trPr>
        <w:tc>
          <w:tcPr>
            <w:tcW w:w="4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FF0FC"/>
            </w:tcBorders>
          </w:tcPr>
          <w:p>
            <w:pPr>
              <w:spacing w:after="0"/>
              <w:rPr>
                <w:sz w:val="16"/>
                <w:szCs w:val="16"/>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604</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22%</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639</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24%</w:t>
            </w: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Net sales</w:t>
      </w:r>
    </w:p>
    <w:p>
      <w:pPr>
        <w:spacing w:after="0" w:line="151" w:lineRule="exact"/>
        <w:rPr>
          <w:sz w:val="20"/>
          <w:szCs w:val="20"/>
          <w:color w:val="auto"/>
        </w:rPr>
      </w:pPr>
    </w:p>
    <w:p>
      <w:pPr>
        <w:ind w:right="120" w:firstLine="531"/>
        <w:spacing w:after="0" w:line="231" w:lineRule="auto"/>
        <w:rPr>
          <w:sz w:val="20"/>
          <w:szCs w:val="20"/>
          <w:color w:val="auto"/>
        </w:rPr>
      </w:pPr>
      <w:r>
        <w:rPr>
          <w:rFonts w:ascii="Arial" w:cs="Arial" w:eastAsia="Arial" w:hAnsi="Arial"/>
          <w:sz w:val="16"/>
          <w:szCs w:val="16"/>
          <w:color w:val="auto"/>
        </w:rPr>
        <w:t>Net sales for the year ended December 31, 2019 were $2,698 million compared to $2,713 million for the year ended December 31, 2018, a decrease of 1%. The decrease was principally driven by an $89 million, or 14%, decrease in net sales in the Service Parts, Support Equipment and Other end market principally driven by lower demand for North America parts, a $ 63 million, or 68%, decrease in net sales in the North America Off-Highway end market principally driven by lower demand from hydraulic fracturing applications, a $20 million, or 16%, decrease in net sales in the Outside North America Off-Highway end market principally driven by lower demand in the mining and construction sectors, partially offset by higher demand in the energy sector, and a $ 7 million, or 4%, decrease in net sales in the Defense end market principally driven by lower Tracked and Wheeled vehicle demand; partially offset by a $157 million, or 12%, increase in net sales in the North America On-Highway end market principally driven by higher demand for Rugged Duty Series and Highway Series models, led by the continued execution of our growth initiatives and market share gains in Class 4/5 truck, and a $7 million, or 2%, increase in net sales in the Outside North America On-Highway end market principally driven by higher demand in South America and Europe, partially offset by lower demand in Asia. See “Trends Impacting Our Business” above for additional information on net sales by end market.</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Cost of sales</w:t>
      </w:r>
    </w:p>
    <w:p>
      <w:pPr>
        <w:spacing w:after="0" w:line="151" w:lineRule="exact"/>
        <w:rPr>
          <w:sz w:val="20"/>
          <w:szCs w:val="20"/>
          <w:color w:val="auto"/>
        </w:rPr>
      </w:pPr>
    </w:p>
    <w:p>
      <w:pPr>
        <w:ind w:right="240" w:firstLine="531"/>
        <w:spacing w:after="0" w:line="234" w:lineRule="auto"/>
        <w:rPr>
          <w:sz w:val="20"/>
          <w:szCs w:val="20"/>
          <w:color w:val="auto"/>
        </w:rPr>
      </w:pPr>
      <w:r>
        <w:rPr>
          <w:rFonts w:ascii="Arial" w:cs="Arial" w:eastAsia="Arial" w:hAnsi="Arial"/>
          <w:sz w:val="16"/>
          <w:szCs w:val="16"/>
          <w:color w:val="auto"/>
        </w:rPr>
        <w:t>Cost of sales for the year ended December 31, 2019 was $1,304 million compared to $1,291 million for the year ended December 31, 2018, an increase of 1%. The increase was principally driven by higher manufacturing expenses commensurate with increased on-highway volume, partially offset by a $10 million reduction in expenses related to a retirement incentive program for certain UAW Local 933 employees and favorable material costs.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Gross profit</w:t>
      </w:r>
    </w:p>
    <w:p>
      <w:pPr>
        <w:spacing w:after="0" w:line="151"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Gross profit for the year ended December 31, 2019 was $1,394 million compared to $1,422 million for the year ended December 31, 2018, a decrease of 2%. The decrease was principally driven by lower net sales and higher manufacturing expenses commensurate with increased On-Highway volume, partially offset by $18 million of price increases on certain products and a $10 million reduction in expenses related to a retirement incentive program for certain UAW Local 933 employees. Gross profit as a percent of net sales for the year ended December 31, 2019 decreased 70 basis points compared to the same period in 2018 principally driven by decreased net sales and increased manufacturing expenses, partially offset by price increases on certain products, a reduction in expenses related to the retirement incentive program and favorable material costs.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51" w:lineRule="exact"/>
        <w:rPr>
          <w:sz w:val="20"/>
          <w:szCs w:val="20"/>
          <w:color w:val="auto"/>
        </w:rPr>
      </w:pPr>
    </w:p>
    <w:p>
      <w:pPr>
        <w:ind w:right="240" w:firstLine="531"/>
        <w:spacing w:after="0" w:line="233" w:lineRule="auto"/>
        <w:rPr>
          <w:sz w:val="20"/>
          <w:szCs w:val="20"/>
          <w:color w:val="auto"/>
        </w:rPr>
      </w:pPr>
      <w:r>
        <w:rPr>
          <w:rFonts w:ascii="Arial" w:cs="Arial" w:eastAsia="Arial" w:hAnsi="Arial"/>
          <w:sz w:val="16"/>
          <w:szCs w:val="16"/>
          <w:color w:val="auto"/>
        </w:rPr>
        <w:t>Selling, general and administrative expenses for the year ended December 31, 2019 were $ 354 million compared to $364 million for the year ended December 31, 2018, a decrease of 3%. The decrease was principally driven by $17 million of lower 2019 product warranty expense, $9 million of favorable 2019 product warranty adjustments and $5 million of unfavorable 2018 product warranty adjustments that did not recur in 2019, partially offset by increased commercial activities spending.</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51" w:lineRule="exact"/>
        <w:rPr>
          <w:sz w:val="20"/>
          <w:szCs w:val="20"/>
          <w:color w:val="auto"/>
        </w:rPr>
      </w:pPr>
    </w:p>
    <w:p>
      <w:pPr>
        <w:ind w:right="560" w:firstLine="531"/>
        <w:spacing w:after="0" w:line="237" w:lineRule="auto"/>
        <w:rPr>
          <w:sz w:val="20"/>
          <w:szCs w:val="20"/>
          <w:color w:val="auto"/>
        </w:rPr>
      </w:pPr>
      <w:r>
        <w:rPr>
          <w:rFonts w:ascii="Arial" w:cs="Arial" w:eastAsia="Arial" w:hAnsi="Arial"/>
          <w:sz w:val="16"/>
          <w:szCs w:val="16"/>
          <w:color w:val="auto"/>
        </w:rPr>
        <w:t>Engineering expenses for the year ended December 31, 2019 were $154 million compared to $131 million for the year ended December 31, 2018, an increase of 18%. The increase was principally driven by increased product initiatives spending.</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Loss associated with impairment of long-lived assets</w:t>
      </w:r>
    </w:p>
    <w:p>
      <w:pPr>
        <w:spacing w:after="0" w:line="151" w:lineRule="exact"/>
        <w:rPr>
          <w:sz w:val="20"/>
          <w:szCs w:val="20"/>
          <w:color w:val="auto"/>
        </w:rPr>
      </w:pPr>
    </w:p>
    <w:p>
      <w:pPr>
        <w:ind w:right="260" w:firstLine="531"/>
        <w:spacing w:after="0" w:line="234" w:lineRule="auto"/>
        <w:rPr>
          <w:sz w:val="20"/>
          <w:szCs w:val="20"/>
          <w:color w:val="auto"/>
        </w:rPr>
      </w:pPr>
      <w:r>
        <w:rPr>
          <w:rFonts w:ascii="Arial" w:cs="Arial" w:eastAsia="Arial" w:hAnsi="Arial"/>
          <w:sz w:val="16"/>
          <w:szCs w:val="16"/>
          <w:color w:val="auto"/>
        </w:rPr>
        <w:t>During the fourth quarter of 2019 and 2018, we recorded approximately $2 million and $4 million, respectively, of losses associated with the impairment of certain of our long-lived assets related to the production of the TC10 transmission. See NOTE 2 “Summary of Significant Accounting Policies” of Notes to Consolidated Financial Statements included in Part II, Item 8 of this Annual Report on Form 10-K for additional details.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Environmental remediation</w:t>
      </w:r>
    </w:p>
    <w:p>
      <w:pPr>
        <w:spacing w:after="0" w:line="151" w:lineRule="exact"/>
        <w:rPr>
          <w:sz w:val="20"/>
          <w:szCs w:val="20"/>
          <w:color w:val="auto"/>
        </w:rPr>
      </w:pPr>
    </w:p>
    <w:p>
      <w:pPr>
        <w:ind w:right="400" w:firstLine="531"/>
        <w:spacing w:after="0" w:line="234" w:lineRule="auto"/>
        <w:rPr>
          <w:sz w:val="20"/>
          <w:szCs w:val="20"/>
          <w:color w:val="auto"/>
        </w:rPr>
      </w:pPr>
      <w:r>
        <w:rPr>
          <w:rFonts w:ascii="Arial" w:cs="Arial" w:eastAsia="Arial" w:hAnsi="Arial"/>
          <w:sz w:val="16"/>
          <w:szCs w:val="16"/>
          <w:color w:val="auto"/>
        </w:rPr>
        <w:t>During the fourth quarter of 2019, the EPA accepted a proposal to reduce our responsibilities for operating, monitoring and maintaining the ongoing environmental remediation activities at our Indianapolis, Indiana manufacturing facilities which resulted in us recording an $8 million favorable adjustment to our associated liability.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51"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Interest expense, net for the year ended December 31, 2019 was $ 134 million compared to $121 million for the year ended December 31, 2018, an increase of 11%. The increase was principally driven by higher interest rates related to long-term debt refinancing that extended maturities at fixed interest rates, including $22 million of interest expense for ATI's 5.875% Senior Notes issued in the first quarter of 2019 and $5 million of expenses related to refinancing the Prior Term Loan, partially offset by $12 million of lower interest expense on ATI’s New Term Loan due primarily to the repayment of $500 million of principal in the first quarter of 2019 in connection with entering into the New Senior Secured Credit Facility.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51" w:lineRule="exact"/>
        <w:rPr>
          <w:sz w:val="20"/>
          <w:szCs w:val="20"/>
          <w:color w:val="auto"/>
        </w:rPr>
      </w:pPr>
    </w:p>
    <w:p>
      <w:pPr>
        <w:ind w:firstLine="531"/>
        <w:spacing w:after="0" w:line="234" w:lineRule="auto"/>
        <w:rPr>
          <w:sz w:val="20"/>
          <w:szCs w:val="20"/>
          <w:color w:val="auto"/>
        </w:rPr>
      </w:pPr>
      <w:r>
        <w:rPr>
          <w:rFonts w:ascii="Arial" w:cs="Arial" w:eastAsia="Arial" w:hAnsi="Arial"/>
          <w:sz w:val="16"/>
          <w:szCs w:val="16"/>
          <w:color w:val="auto"/>
        </w:rPr>
        <w:t>Other income, net for the year ended December 31, 2019 was $10 million compared to $3 million for the year ended December 31, 2018. The change was principally driven by $4 million of 2018 unfavorable vendor settlements and $3 million of 2018 technology-related investments expense, each of which did not recur in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51" w:lineRule="exact"/>
        <w:rPr>
          <w:sz w:val="20"/>
          <w:szCs w:val="20"/>
          <w:color w:val="auto"/>
        </w:rPr>
      </w:pPr>
    </w:p>
    <w:p>
      <w:pPr>
        <w:ind w:right="40" w:firstLine="531"/>
        <w:spacing w:after="0" w:line="234" w:lineRule="auto"/>
        <w:rPr>
          <w:sz w:val="20"/>
          <w:szCs w:val="20"/>
          <w:color w:val="auto"/>
        </w:rPr>
      </w:pPr>
      <w:r>
        <w:rPr>
          <w:rFonts w:ascii="Arial" w:cs="Arial" w:eastAsia="Arial" w:hAnsi="Arial"/>
          <w:sz w:val="16"/>
          <w:szCs w:val="16"/>
          <w:color w:val="auto"/>
        </w:rPr>
        <w:t>Income tax expense for the year ended December 31, 2019 was $164 million resulting in an effective tax rate of 21%, compared to $166 million of income tax expense and an effective tax rate of 21% for the year ended December 31, 2018. The decrease in income tax expense was principally driven by decreased taxable income.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Comparison of years ended December 31, 2018 and 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ind w:left="500"/>
              <w:spacing w:after="0"/>
              <w:rPr>
                <w:sz w:val="20"/>
                <w:szCs w:val="20"/>
                <w:color w:val="auto"/>
              </w:rPr>
            </w:pPr>
            <w:r>
              <w:rPr>
                <w:rFonts w:ascii="Arial" w:cs="Arial" w:eastAsia="Arial" w:hAnsi="Arial"/>
                <w:sz w:val="13"/>
                <w:szCs w:val="13"/>
                <w:b w:val="1"/>
                <w:bCs w:val="1"/>
                <w:color w:val="auto"/>
              </w:rPr>
              <w:t>Years ended December 31,</w:t>
            </w:r>
          </w:p>
        </w:tc>
        <w:tc>
          <w:tcPr>
            <w:tcW w:w="1320" w:type="dxa"/>
            <w:vAlign w:val="bottom"/>
            <w:tcBorders>
              <w:bottom w:val="single" w:sz="8" w:color="auto"/>
            </w:tcBorders>
          </w:tcPr>
          <w:p>
            <w:pPr>
              <w:spacing w:after="0"/>
              <w:rPr>
                <w:sz w:val="13"/>
                <w:szCs w:val="13"/>
                <w:color w:val="auto"/>
              </w:rPr>
            </w:pPr>
          </w:p>
        </w:tc>
      </w:tr>
      <w:tr>
        <w:trPr>
          <w:trHeight w:val="132"/>
        </w:trPr>
        <w:tc>
          <w:tcPr>
            <w:tcW w:w="4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88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(dollars in millions)</w:t>
            </w:r>
          </w:p>
        </w:tc>
        <w:tc>
          <w:tcPr>
            <w:tcW w:w="10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of net sales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of net sales</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2,713</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2,262</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0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1,291</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1,131</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50</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1,422</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52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1,131</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50</w:t>
            </w: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Operating expenses:</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364</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342</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15</w:t>
            </w:r>
          </w:p>
        </w:tc>
      </w:tr>
      <w:tr>
        <w:trPr>
          <w:trHeight w:val="188"/>
        </w:trPr>
        <w:tc>
          <w:tcPr>
            <w:tcW w:w="4880" w:type="dxa"/>
            <w:vAlign w:val="bottom"/>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b w:val="1"/>
                <w:bCs w:val="1"/>
                <w:color w:val="auto"/>
              </w:rPr>
              <w:t>131</w:t>
            </w:r>
          </w:p>
        </w:tc>
        <w:tc>
          <w:tcPr>
            <w:tcW w:w="140" w:type="dxa"/>
            <w:vAlign w:val="bottom"/>
          </w:tcPr>
          <w:p>
            <w:pPr>
              <w:spacing w:after="0"/>
              <w:rPr>
                <w:sz w:val="16"/>
                <w:szCs w:val="16"/>
                <w:color w:val="auto"/>
              </w:rPr>
            </w:pPr>
          </w:p>
        </w:tc>
        <w:tc>
          <w:tcPr>
            <w:tcW w:w="1300" w:type="dxa"/>
            <w:vAlign w:val="bottom"/>
          </w:tcPr>
          <w:p>
            <w:pPr>
              <w:jc w:val="right"/>
              <w:ind w:right="85"/>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6"/>
                <w:szCs w:val="16"/>
                <w:color w:val="auto"/>
              </w:rPr>
            </w:pPr>
          </w:p>
        </w:tc>
        <w:tc>
          <w:tcPr>
            <w:tcW w:w="1320" w:type="dxa"/>
            <w:vAlign w:val="bottom"/>
          </w:tcPr>
          <w:p>
            <w:pPr>
              <w:jc w:val="right"/>
              <w:ind w:right="84"/>
              <w:spacing w:after="0"/>
              <w:rPr>
                <w:sz w:val="20"/>
                <w:szCs w:val="20"/>
                <w:color w:val="auto"/>
              </w:rPr>
            </w:pPr>
            <w:r>
              <w:rPr>
                <w:rFonts w:ascii="Arial" w:cs="Arial" w:eastAsia="Arial" w:hAnsi="Arial"/>
                <w:sz w:val="16"/>
                <w:szCs w:val="16"/>
                <w:color w:val="auto"/>
              </w:rPr>
              <w:t>5</w:t>
            </w:r>
          </w:p>
        </w:tc>
      </w:tr>
      <w:tr>
        <w:trPr>
          <w:trHeight w:val="188"/>
        </w:trPr>
        <w:tc>
          <w:tcPr>
            <w:tcW w:w="4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associated with impairment of long-lived assets</w:t>
            </w:r>
          </w:p>
        </w:tc>
        <w:tc>
          <w:tcPr>
            <w:tcW w:w="10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4</w:t>
            </w:r>
          </w:p>
        </w:tc>
        <w:tc>
          <w:tcPr>
            <w:tcW w:w="140" w:type="dxa"/>
            <w:vAlign w:val="bottom"/>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6"/>
                <w:szCs w:val="16"/>
                <w:color w:val="auto"/>
              </w:rPr>
              <w:t>1</w:t>
            </w:r>
          </w:p>
        </w:tc>
      </w:tr>
      <w:tr>
        <w:trPr>
          <w:trHeight w:val="179"/>
        </w:trPr>
        <w:tc>
          <w:tcPr>
            <w:tcW w:w="4880" w:type="dxa"/>
            <w:vAlign w:val="bottom"/>
            <w:tcBorders>
              <w:bottom w:val="single" w:sz="8" w:color="CFF0FC"/>
            </w:tcBorders>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0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499</w:t>
            </w:r>
          </w:p>
        </w:tc>
        <w:tc>
          <w:tcPr>
            <w:tcW w:w="140" w:type="dxa"/>
            <w:vAlign w:val="bottom"/>
            <w:tcBorders>
              <w:bottom w:val="single" w:sz="8" w:color="CFF0FC"/>
            </w:tcBorders>
          </w:tcPr>
          <w:p>
            <w:pPr>
              <w:spacing w:after="0"/>
              <w:rPr>
                <w:sz w:val="15"/>
                <w:szCs w:val="15"/>
                <w:color w:val="auto"/>
              </w:rPr>
            </w:pPr>
          </w:p>
        </w:tc>
        <w:tc>
          <w:tcPr>
            <w:tcW w:w="1300" w:type="dxa"/>
            <w:vAlign w:val="bottom"/>
            <w:tcBorders>
              <w:bottom w:val="single" w:sz="8" w:color="auto"/>
            </w:tcBorders>
          </w:tcPr>
          <w:p>
            <w:pPr>
              <w:jc w:val="right"/>
              <w:ind w:right="85"/>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479</w:t>
            </w:r>
          </w:p>
        </w:tc>
        <w:tc>
          <w:tcPr>
            <w:tcW w:w="12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ind w:right="84"/>
              <w:spacing w:after="0" w:line="180" w:lineRule="exact"/>
              <w:rPr>
                <w:sz w:val="20"/>
                <w:szCs w:val="20"/>
                <w:color w:val="auto"/>
              </w:rPr>
            </w:pPr>
            <w:r>
              <w:rPr>
                <w:rFonts w:ascii="Arial" w:cs="Arial" w:eastAsia="Arial" w:hAnsi="Arial"/>
                <w:sz w:val="16"/>
                <w:szCs w:val="16"/>
                <w:color w:val="auto"/>
              </w:rPr>
              <w:t>21</w:t>
            </w:r>
          </w:p>
        </w:tc>
      </w:tr>
      <w:tr>
        <w:trPr>
          <w:trHeight w:val="179"/>
        </w:trPr>
        <w:tc>
          <w:tcPr>
            <w:tcW w:w="48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Operating income</w:t>
            </w: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923</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34</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652</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29</w:t>
            </w:r>
          </w:p>
        </w:tc>
      </w:tr>
      <w:tr>
        <w:trPr>
          <w:trHeight w:val="188"/>
        </w:trPr>
        <w:tc>
          <w:tcPr>
            <w:tcW w:w="4880" w:type="dxa"/>
            <w:vAlign w:val="bottom"/>
          </w:tcPr>
          <w:p>
            <w:pPr>
              <w:spacing w:after="0"/>
              <w:rPr>
                <w:sz w:val="20"/>
                <w:szCs w:val="20"/>
                <w:color w:val="auto"/>
              </w:rPr>
            </w:pPr>
            <w:r>
              <w:rPr>
                <w:rFonts w:ascii="Arial" w:cs="Arial" w:eastAsia="Arial" w:hAnsi="Arial"/>
                <w:sz w:val="16"/>
                <w:szCs w:val="16"/>
                <w:color w:val="auto"/>
              </w:rPr>
              <w:t>Other expense, net:</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8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expense, net</w:t>
            </w: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(5)</w:t>
            </w:r>
          </w:p>
        </w:tc>
      </w:tr>
      <w:tr>
        <w:trPr>
          <w:trHeight w:val="188"/>
        </w:trPr>
        <w:tc>
          <w:tcPr>
            <w:tcW w:w="48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(1)</w:t>
            </w:r>
          </w:p>
        </w:tc>
      </w:tr>
      <w:tr>
        <w:trPr>
          <w:trHeight w:val="179"/>
        </w:trPr>
        <w:tc>
          <w:tcPr>
            <w:tcW w:w="488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other expense, net</w:t>
            </w:r>
          </w:p>
        </w:tc>
        <w:tc>
          <w:tcPr>
            <w:tcW w:w="10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(118)</w:t>
            </w:r>
          </w:p>
        </w:tc>
        <w:tc>
          <w:tcPr>
            <w:tcW w:w="14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25"/>
              <w:spacing w:after="0" w:line="180" w:lineRule="exact"/>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24"/>
              <w:spacing w:after="0" w:line="180" w:lineRule="exact"/>
              <w:rPr>
                <w:sz w:val="20"/>
                <w:szCs w:val="20"/>
                <w:color w:val="auto"/>
              </w:rPr>
            </w:pPr>
            <w:r>
              <w:rPr>
                <w:rFonts w:ascii="Arial" w:cs="Arial" w:eastAsia="Arial" w:hAnsi="Arial"/>
                <w:sz w:val="16"/>
                <w:szCs w:val="16"/>
                <w:color w:val="auto"/>
              </w:rPr>
              <w:t>(6)</w:t>
            </w:r>
          </w:p>
        </w:tc>
      </w:tr>
      <w:tr>
        <w:trPr>
          <w:trHeight w:val="179"/>
        </w:trPr>
        <w:tc>
          <w:tcPr>
            <w:tcW w:w="4880" w:type="dxa"/>
            <w:vAlign w:val="bottom"/>
          </w:tcPr>
          <w:p>
            <w:pPr>
              <w:spacing w:after="0" w:line="180" w:lineRule="exact"/>
              <w:rPr>
                <w:sz w:val="20"/>
                <w:szCs w:val="20"/>
                <w:color w:val="auto"/>
              </w:rPr>
            </w:pPr>
            <w:r>
              <w:rPr>
                <w:rFonts w:ascii="Arial" w:cs="Arial" w:eastAsia="Arial" w:hAnsi="Arial"/>
                <w:sz w:val="16"/>
                <w:szCs w:val="16"/>
                <w:color w:val="auto"/>
              </w:rPr>
              <w:t>Income before income taxes</w:t>
            </w: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805</w:t>
            </w:r>
          </w:p>
        </w:tc>
        <w:tc>
          <w:tcPr>
            <w:tcW w:w="14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527</w:t>
            </w:r>
          </w:p>
        </w:tc>
        <w:tc>
          <w:tcPr>
            <w:tcW w:w="120" w:type="dxa"/>
            <w:vAlign w:val="bottom"/>
          </w:tcPr>
          <w:p>
            <w:pPr>
              <w:spacing w:after="0"/>
              <w:rPr>
                <w:sz w:val="15"/>
                <w:szCs w:val="15"/>
                <w:color w:val="auto"/>
              </w:rPr>
            </w:pPr>
          </w:p>
        </w:tc>
        <w:tc>
          <w:tcPr>
            <w:tcW w:w="1320" w:type="dxa"/>
            <w:vAlign w:val="bottom"/>
          </w:tcPr>
          <w:p>
            <w:pPr>
              <w:jc w:val="right"/>
              <w:ind w:right="84"/>
              <w:spacing w:after="0" w:line="180" w:lineRule="exact"/>
              <w:rPr>
                <w:sz w:val="20"/>
                <w:szCs w:val="20"/>
                <w:color w:val="auto"/>
              </w:rPr>
            </w:pPr>
            <w:r>
              <w:rPr>
                <w:rFonts w:ascii="Arial" w:cs="Arial" w:eastAsia="Arial" w:hAnsi="Arial"/>
                <w:sz w:val="16"/>
                <w:szCs w:val="16"/>
                <w:color w:val="auto"/>
              </w:rPr>
              <w:t>23</w:t>
            </w:r>
          </w:p>
        </w:tc>
      </w:tr>
      <w:tr>
        <w:trPr>
          <w:trHeight w:val="188"/>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0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(166)</w:t>
            </w:r>
          </w:p>
        </w:tc>
        <w:tc>
          <w:tcPr>
            <w:tcW w:w="140" w:type="dxa"/>
            <w:vAlign w:val="bottom"/>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(1)</w:t>
            </w:r>
          </w:p>
        </w:tc>
      </w:tr>
      <w:tr>
        <w:trPr>
          <w:trHeight w:val="179"/>
        </w:trPr>
        <w:tc>
          <w:tcPr>
            <w:tcW w:w="4880" w:type="dxa"/>
            <w:vAlign w:val="bottom"/>
          </w:tcPr>
          <w:p>
            <w:pPr>
              <w:spacing w:after="0" w:line="180" w:lineRule="exact"/>
              <w:rPr>
                <w:sz w:val="20"/>
                <w:szCs w:val="20"/>
                <w:color w:val="auto"/>
              </w:rPr>
            </w:pPr>
            <w:r>
              <w:rPr>
                <w:rFonts w:ascii="Arial" w:cs="Arial" w:eastAsia="Arial" w:hAnsi="Arial"/>
                <w:sz w:val="16"/>
                <w:szCs w:val="16"/>
                <w:color w:val="auto"/>
              </w:rPr>
              <w:t>Net income</w:t>
            </w:r>
          </w:p>
        </w:tc>
        <w:tc>
          <w:tcPr>
            <w:tcW w:w="1020" w:type="dxa"/>
            <w:vAlign w:val="bottom"/>
          </w:tcPr>
          <w:p>
            <w:pPr>
              <w:spacing w:after="0"/>
              <w:rPr>
                <w:sz w:val="15"/>
                <w:szCs w:val="15"/>
                <w:color w:val="auto"/>
              </w:rPr>
            </w:pPr>
          </w:p>
        </w:tc>
        <w:tc>
          <w:tcPr>
            <w:tcW w:w="260" w:type="dxa"/>
            <w:vAlign w:val="bottom"/>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639</w:t>
            </w:r>
          </w:p>
        </w:tc>
        <w:tc>
          <w:tcPr>
            <w:tcW w:w="140" w:type="dxa"/>
            <w:vAlign w:val="bottom"/>
          </w:tcPr>
          <w:p>
            <w:pPr>
              <w:spacing w:after="0"/>
              <w:rPr>
                <w:sz w:val="15"/>
                <w:szCs w:val="15"/>
                <w:color w:val="auto"/>
              </w:rPr>
            </w:pPr>
          </w:p>
        </w:tc>
        <w:tc>
          <w:tcPr>
            <w:tcW w:w="13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24%</w:t>
            </w:r>
          </w:p>
        </w:tc>
        <w:tc>
          <w:tcPr>
            <w:tcW w:w="380" w:type="dxa"/>
            <w:vAlign w:val="bottom"/>
            <w:gridSpan w:val="2"/>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504</w:t>
            </w:r>
          </w:p>
        </w:tc>
        <w:tc>
          <w:tcPr>
            <w:tcW w:w="12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22%</w:t>
            </w:r>
          </w:p>
        </w:tc>
      </w:tr>
      <w:tr>
        <w:trPr>
          <w:trHeight w:val="20"/>
        </w:trPr>
        <w:tc>
          <w:tcPr>
            <w:tcW w:w="4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Net sales</w:t>
      </w:r>
    </w:p>
    <w:p>
      <w:pPr>
        <w:spacing w:after="0" w:line="151"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Net sales for the year ended December 31, 2018 were $2,713 million compared to $2,262 million for the year ended December 31, 2017, an increase of 20%. The increase was principally driven by a $140 million, or 12%, increase in net sales in the North America On-Highway end market principally driven by higher demand for Rugged Duty Series and Highway Series models, a $101 million, or 19%, increase in net sales in the Service Parts, Support Equipment and Other end market principally driven by higher demand for global service parts and support equipment, an $ 88 million increase in net sales in the Outside North America Off-Highway end market principally driven by higher demand in the energy, mining and construction sectors, a $42 million increase in net sales in the North America Off-Highway end market principally driven by higher demand from hydraulic fracturing applications, a $41 million, or 35%, increase in net sales in the Defense end market principally driven by higher Tracked and Wheeled demand, and a $39 million, or 11%, increase in net sales in the Outside North America On-Highway end market principally driven by higher demand in Asia and Europe.</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Cost of sales</w:t>
      </w:r>
    </w:p>
    <w:p>
      <w:pPr>
        <w:spacing w:after="0" w:line="151" w:lineRule="exact"/>
        <w:rPr>
          <w:sz w:val="20"/>
          <w:szCs w:val="20"/>
          <w:color w:val="auto"/>
        </w:rPr>
      </w:pPr>
    </w:p>
    <w:p>
      <w:pPr>
        <w:ind w:right="100" w:firstLine="531"/>
        <w:spacing w:after="0" w:line="233" w:lineRule="auto"/>
        <w:rPr>
          <w:sz w:val="20"/>
          <w:szCs w:val="20"/>
          <w:color w:val="auto"/>
        </w:rPr>
      </w:pPr>
      <w:r>
        <w:rPr>
          <w:rFonts w:ascii="Arial" w:cs="Arial" w:eastAsia="Arial" w:hAnsi="Arial"/>
          <w:sz w:val="16"/>
          <w:szCs w:val="16"/>
          <w:color w:val="auto"/>
        </w:rPr>
        <w:t>Cost of sales for the year ended December 31, 2018 was $1,291 million compared to $1,131 million for the year ended December 31, 2017, an increase of 14%. The increase was principally driven by increased direct material and manufacturing expenses commensurate with increased net sales, $ 15 million of expenses related to a retirement incentive program for certain UAW Local 933 employees and unfavorable material costs, partially offset by expenses of $9 million associated with the ratification of a new collective bargaining agreement with UAW Local 933 in 2017 that did not recur in 2018.</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Gross profit</w:t>
      </w:r>
    </w:p>
    <w:p>
      <w:pPr>
        <w:spacing w:after="0" w:line="151"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Gross profit for the year ended December 31, 2018 was $1,422 million compared to $1,131 million for the year ended December 31, 2017, an increase of 26%. The increase was principally driven by $282 million related to increased net sales, $32 million of price increases on certain products and expenses of $ 9 million associated with the ratification of a new collective bargaining agreement with UAW Local 933 in 2017 that did not recur in 2018, partially offset by $16 million of higher manufacturing expenses commensurate with increased net sales, $15 million of expenses related to a retirement incentive program for certain UAW Local 933 employees and $2 million of unfavorable material costs. Gross profit as a percent of net sales for the year ended December 31, 2018 increased 240 basis points compared to the same period in 2017 principally driven by increased net sales, price increases on certain products and expenses associated with the ratification of the new collective bargaining agreement in 2017 that did not recur in 2018, partially offset by expenses related to the retirement incentive program and unfavorable material costs.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51" w:lineRule="exact"/>
        <w:rPr>
          <w:sz w:val="20"/>
          <w:szCs w:val="20"/>
          <w:color w:val="auto"/>
        </w:rPr>
      </w:pPr>
    </w:p>
    <w:p>
      <w:pPr>
        <w:ind w:right="340" w:firstLine="531"/>
        <w:spacing w:after="0" w:line="234" w:lineRule="auto"/>
        <w:rPr>
          <w:sz w:val="20"/>
          <w:szCs w:val="20"/>
          <w:color w:val="auto"/>
        </w:rPr>
      </w:pPr>
      <w:r>
        <w:rPr>
          <w:rFonts w:ascii="Arial" w:cs="Arial" w:eastAsia="Arial" w:hAnsi="Arial"/>
          <w:sz w:val="16"/>
          <w:szCs w:val="16"/>
          <w:color w:val="auto"/>
        </w:rPr>
        <w:t>Selling, general and administrative expenses for the year ended December 31, 2018 were $364 million compared to $342 million for the year ended December 31, 2017, an increase of 6%. The increase was principally driven by $20 million of higher product warranty expense commensurate with increased net sales and increased commercial activities spending.</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51" w:lineRule="exact"/>
        <w:rPr>
          <w:sz w:val="20"/>
          <w:szCs w:val="20"/>
          <w:color w:val="auto"/>
        </w:rPr>
      </w:pPr>
    </w:p>
    <w:p>
      <w:pPr>
        <w:ind w:right="600" w:firstLine="531"/>
        <w:spacing w:after="0" w:line="237" w:lineRule="auto"/>
        <w:rPr>
          <w:sz w:val="20"/>
          <w:szCs w:val="20"/>
          <w:color w:val="auto"/>
        </w:rPr>
      </w:pPr>
      <w:r>
        <w:rPr>
          <w:rFonts w:ascii="Arial" w:cs="Arial" w:eastAsia="Arial" w:hAnsi="Arial"/>
          <w:sz w:val="16"/>
          <w:szCs w:val="16"/>
          <w:color w:val="auto"/>
        </w:rPr>
        <w:t>Engineering expenses for the year ended December 31, 2018 were $131 million compared to $105 million for the year ended December 31, 2017, an increase of 25%. The increase was principally driven by increased product initiatives spending.</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Loss associated with impairment of long-lived assets</w:t>
      </w:r>
    </w:p>
    <w:p>
      <w:pPr>
        <w:spacing w:after="0" w:line="151" w:lineRule="exact"/>
        <w:rPr>
          <w:sz w:val="20"/>
          <w:szCs w:val="20"/>
          <w:color w:val="auto"/>
        </w:rPr>
      </w:pPr>
    </w:p>
    <w:p>
      <w:pPr>
        <w:ind w:right="220" w:firstLine="531"/>
        <w:spacing w:after="0" w:line="234" w:lineRule="auto"/>
        <w:rPr>
          <w:sz w:val="20"/>
          <w:szCs w:val="20"/>
          <w:color w:val="auto"/>
        </w:rPr>
      </w:pPr>
      <w:r>
        <w:rPr>
          <w:rFonts w:ascii="Arial" w:cs="Arial" w:eastAsia="Arial" w:hAnsi="Arial"/>
          <w:sz w:val="16"/>
          <w:szCs w:val="16"/>
          <w:color w:val="auto"/>
        </w:rPr>
        <w:t>During the fourth quarter of 2018 and 2017, we recorded approximately $4 million and $32 million, respectively, of losses associated with the impairment of certain of our long-lived assets related to the production of the TC10 transmission. See NOTE 2 “Summary of Significant Accounting Policies” of Notes to Consolidated Financial Statements included in Part II, Item 8 of this Annual Report on Form 10-K for additional details.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51" w:lineRule="exact"/>
        <w:rPr>
          <w:sz w:val="20"/>
          <w:szCs w:val="20"/>
          <w:color w:val="auto"/>
        </w:rPr>
      </w:pPr>
    </w:p>
    <w:p>
      <w:pPr>
        <w:ind w:right="40" w:firstLine="531"/>
        <w:spacing w:after="0" w:line="233" w:lineRule="auto"/>
        <w:rPr>
          <w:sz w:val="20"/>
          <w:szCs w:val="20"/>
          <w:color w:val="auto"/>
        </w:rPr>
      </w:pPr>
      <w:r>
        <w:rPr>
          <w:rFonts w:ascii="Arial" w:cs="Arial" w:eastAsia="Arial" w:hAnsi="Arial"/>
          <w:sz w:val="16"/>
          <w:szCs w:val="16"/>
          <w:color w:val="auto"/>
        </w:rPr>
        <w:t>Interest expense, net for the year ended December 31, 2018 was $121 million compared to $ 103 million for the year ended December 31, 2017, an increase of 17%. The increase was principally driven by $14 million of higher interest expense for ATI's 4.75% Senior Notes issued in September 2017 (“4.75% Senior Notes”) and $6 million of higher interest expense on ATI's Prior Term Loan principally driven by higher interest rates, partially offset by interest expense on revolving loan balances in 2017 that did not recur in 2018.</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51" w:lineRule="exact"/>
        <w:rPr>
          <w:sz w:val="20"/>
          <w:szCs w:val="20"/>
          <w:color w:val="auto"/>
        </w:rPr>
      </w:pPr>
    </w:p>
    <w:p>
      <w:pPr>
        <w:ind w:firstLine="531"/>
        <w:spacing w:after="0" w:line="233" w:lineRule="auto"/>
        <w:rPr>
          <w:sz w:val="20"/>
          <w:szCs w:val="20"/>
          <w:color w:val="auto"/>
        </w:rPr>
      </w:pPr>
      <w:r>
        <w:rPr>
          <w:rFonts w:ascii="Arial" w:cs="Arial" w:eastAsia="Arial" w:hAnsi="Arial"/>
          <w:sz w:val="16"/>
          <w:szCs w:val="16"/>
          <w:color w:val="auto"/>
        </w:rPr>
        <w:t>Other income (expense), net for the year ended December 31, 2018 was $3 million compared to $(22) million for the year ended December 31, 2017. The change was principally driven by $13 million of lower technology-related investments expense for investments in co-development agreements to expand our position in transmission technologies, $12 million of credits related to post-retirement benefit plan amendments and $4 million of favorable foreign exchange, partially offset by a $3 million decrease in foreign exchange losses on intercompany financing.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51" w:lineRule="exact"/>
        <w:rPr>
          <w:sz w:val="20"/>
          <w:szCs w:val="20"/>
          <w:color w:val="auto"/>
        </w:rPr>
      </w:pPr>
    </w:p>
    <w:p>
      <w:pPr>
        <w:jc w:val="both"/>
        <w:ind w:right="140" w:firstLine="531"/>
        <w:spacing w:after="0" w:line="251" w:lineRule="auto"/>
        <w:rPr>
          <w:sz w:val="20"/>
          <w:szCs w:val="20"/>
          <w:color w:val="auto"/>
        </w:rPr>
      </w:pPr>
      <w:r>
        <w:rPr>
          <w:rFonts w:ascii="Arial" w:cs="Arial" w:eastAsia="Arial" w:hAnsi="Arial"/>
          <w:sz w:val="15"/>
          <w:szCs w:val="15"/>
          <w:color w:val="auto"/>
        </w:rPr>
        <w:t>Income tax expense for the year ended December 31, 2018 was $ 166 million resulting in an effective tax rate of 21%, compared to $ 23 million of income tax expense and an effective tax rate of 4% for the year ended December 31, 2017. The change in the effective tax rate was a result of the U.S. Tax Cuts and Jobs Act enacted into law in 2017 and was principally driven by a one time $157 million tax benefit resulting from a decrease in deferred tax liabilities in 2017, partially offset by $5 million of tax expense related to the deemed repatriation of accumulated foreign earnings and profits in 2017 as a result of the U.S. Tax Cuts and Jobs Act.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3" w:lineRule="exact"/>
        <w:rPr>
          <w:sz w:val="20"/>
          <w:szCs w:val="20"/>
          <w:color w:val="auto"/>
        </w:rPr>
      </w:pPr>
    </w:p>
    <w:p>
      <w:pPr>
        <w:ind w:right="140" w:firstLine="531"/>
        <w:spacing w:after="0" w:line="232" w:lineRule="auto"/>
        <w:rPr>
          <w:sz w:val="20"/>
          <w:szCs w:val="20"/>
          <w:color w:val="auto"/>
        </w:rPr>
      </w:pPr>
      <w:r>
        <w:rPr>
          <w:rFonts w:ascii="Arial" w:cs="Arial" w:eastAsia="Arial" w:hAnsi="Arial"/>
          <w:sz w:val="16"/>
          <w:szCs w:val="16"/>
          <w:color w:val="auto"/>
        </w:rPr>
        <w:t>We generate cash primarily from operations to fund our operating, investing and financing activities. Our principal uses of cash are operating expenses, working capital needs, strategic growth initiatives, including acquisitions, capital expenditures, stock repurchases, debt service and dividends on common stock. We had total available cash and cash equivalents of $ 192 million and $231 million as of December 31, 2019 and 2018, respectively. Of the available cash and cash equivalents, approximately $122 million and $120 million were deposited in operating accounts while approximately $70 million and $111 million were invested in U.S. government backed securities as of December 31, 2019 and 2018, respectively.</w:t>
      </w:r>
    </w:p>
    <w:p>
      <w:pPr>
        <w:spacing w:after="0" w:line="132" w:lineRule="exact"/>
        <w:rPr>
          <w:sz w:val="20"/>
          <w:szCs w:val="20"/>
          <w:color w:val="auto"/>
        </w:rPr>
      </w:pPr>
    </w:p>
    <w:p>
      <w:pPr>
        <w:ind w:right="80" w:firstLine="531"/>
        <w:spacing w:after="0" w:line="233" w:lineRule="auto"/>
        <w:rPr>
          <w:sz w:val="20"/>
          <w:szCs w:val="20"/>
          <w:color w:val="auto"/>
        </w:rPr>
      </w:pPr>
      <w:r>
        <w:rPr>
          <w:rFonts w:ascii="Arial" w:cs="Arial" w:eastAsia="Arial" w:hAnsi="Arial"/>
          <w:sz w:val="16"/>
          <w:szCs w:val="16"/>
          <w:color w:val="auto"/>
        </w:rPr>
        <w:t>As of December 31, 2019, the total of cash and cash equivalents held by foreign subsidiaries was $79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expectations or operating needs with local resources.</w:t>
      </w:r>
    </w:p>
    <w:p>
      <w:pPr>
        <w:spacing w:after="0" w:line="130"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133" w:lineRule="exact"/>
        <w:rPr>
          <w:sz w:val="20"/>
          <w:szCs w:val="20"/>
          <w:color w:val="auto"/>
        </w:rPr>
      </w:pPr>
    </w:p>
    <w:p>
      <w:pPr>
        <w:ind w:right="320" w:firstLine="531"/>
        <w:spacing w:after="0" w:line="232" w:lineRule="auto"/>
        <w:rPr>
          <w:sz w:val="20"/>
          <w:szCs w:val="20"/>
          <w:color w:val="auto"/>
        </w:rPr>
      </w:pPr>
      <w:r>
        <w:rPr>
          <w:rFonts w:ascii="Arial" w:cs="Arial" w:eastAsia="Arial" w:hAnsi="Arial"/>
          <w:sz w:val="16"/>
          <w:szCs w:val="16"/>
          <w:color w:val="auto"/>
        </w:rPr>
        <w:t>Our liquidity requirements are significant, primarily due to our debt service requirements. As of December 31, 2019, we had $ 644 million of indebtedness associated with ATI’s New Term Loan, $1,000 million of indebtedness associated with ATI’s 5.0% Senior Notes due September 2024 (“5.0% Senior Notes”), $400 million of indebtedness associated with ATI’s 4.75% Senior Notes and $500 million of indebtedness associated with ATI’s 5.875% Senior Notes. The minimum required quarterly principal payment on ATI’s New Term Loan through its maturity date of March 2026 is $2 million. There are no required quarterly principal payments on ATI’s Senior Notes.</w:t>
      </w:r>
    </w:p>
    <w:p>
      <w:pPr>
        <w:spacing w:after="0" w:line="132" w:lineRule="exact"/>
        <w:rPr>
          <w:sz w:val="20"/>
          <w:szCs w:val="20"/>
          <w:color w:val="auto"/>
        </w:rPr>
      </w:pPr>
    </w:p>
    <w:p>
      <w:pPr>
        <w:ind w:right="140" w:firstLine="531"/>
        <w:spacing w:after="0" w:line="233" w:lineRule="auto"/>
        <w:rPr>
          <w:sz w:val="20"/>
          <w:szCs w:val="20"/>
          <w:color w:val="auto"/>
        </w:rPr>
      </w:pPr>
      <w:r>
        <w:rPr>
          <w:rFonts w:ascii="Arial" w:cs="Arial" w:eastAsia="Arial" w:hAnsi="Arial"/>
          <w:sz w:val="16"/>
          <w:szCs w:val="16"/>
          <w:color w:val="auto"/>
        </w:rPr>
        <w:t>Our ability to make payments on and refinance our indebtedness and to fund planned capital expenditures and growth initiatives will depend on our ability to generate cash in the future. This is subject to general economic, financial, competitive, legislative, regulatory and other factors that may be beyond our control. We made $3 million of principal payments on the New Term Loan during the year ended December 31, 2019. We made $28 million of principal payments on the Prior Term Loan during the year December 31,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firstLine="531"/>
        <w:spacing w:after="0" w:line="230" w:lineRule="auto"/>
        <w:rPr>
          <w:sz w:val="20"/>
          <w:szCs w:val="20"/>
          <w:color w:val="auto"/>
        </w:rPr>
      </w:pPr>
      <w:r>
        <w:rPr>
          <w:rFonts w:ascii="Arial" w:cs="Arial" w:eastAsia="Arial" w:hAnsi="Arial"/>
          <w:sz w:val="16"/>
          <w:szCs w:val="16"/>
          <w:color w:val="auto"/>
        </w:rPr>
        <w:t>The New Senior Secured Credit Facility provides for a $600 million New Revolving Credit Facility, net of an allowance for up to $75 million in outstanding letters of credit commitments. Throughout the year ended December 31, 2019, we made periodic withdrawals and payments on the New Revolving Credit Facility as part of our debt management plans. The maximum amount outstanding at any time during the year ended December 31, 2019 was $ 90 million. As of December 31, 2019, we had $595 million available under the New Revolving Credit Facility, net of $5 million in letters of credit. As of December 31, 2019, we had no amounts outstanding under the New Revolving Credit Facility.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December 31, 2019, our first lien net leverage ratio was 0.42x.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137" w:lineRule="exact"/>
        <w:rPr>
          <w:sz w:val="20"/>
          <w:szCs w:val="20"/>
          <w:color w:val="auto"/>
        </w:rPr>
      </w:pPr>
    </w:p>
    <w:p>
      <w:pPr>
        <w:ind w:firstLine="531"/>
        <w:spacing w:after="0" w:line="249" w:lineRule="auto"/>
        <w:rPr>
          <w:sz w:val="20"/>
          <w:szCs w:val="20"/>
          <w:color w:val="auto"/>
        </w:rPr>
      </w:pPr>
      <w:r>
        <w:rPr>
          <w:rFonts w:ascii="Arial" w:cs="Arial" w:eastAsia="Arial" w:hAnsi="Arial"/>
          <w:sz w:val="15"/>
          <w:szCs w:val="15"/>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December 31, 2019, we are in compliance with all covenants under the New Senior Secured Credit Facility and indentures governing the Senior Notes.</w:t>
      </w:r>
    </w:p>
    <w:p>
      <w:pPr>
        <w:spacing w:after="0" w:line="123" w:lineRule="exact"/>
        <w:rPr>
          <w:sz w:val="20"/>
          <w:szCs w:val="20"/>
          <w:color w:val="auto"/>
        </w:rPr>
      </w:pPr>
    </w:p>
    <w:p>
      <w:pPr>
        <w:jc w:val="both"/>
        <w:ind w:right="120" w:firstLine="531"/>
        <w:spacing w:after="0" w:line="234"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131" w:lineRule="exact"/>
        <w:rPr>
          <w:sz w:val="20"/>
          <w:szCs w:val="20"/>
          <w:color w:val="auto"/>
        </w:rPr>
      </w:pPr>
    </w:p>
    <w:p>
      <w:pPr>
        <w:ind w:right="200" w:firstLine="531"/>
        <w:spacing w:after="0" w:line="232" w:lineRule="auto"/>
        <w:rPr>
          <w:sz w:val="20"/>
          <w:szCs w:val="20"/>
          <w:color w:val="auto"/>
        </w:rPr>
      </w:pPr>
      <w:r>
        <w:rPr>
          <w:rFonts w:ascii="Arial" w:cs="Arial" w:eastAsia="Arial" w:hAnsi="Arial"/>
          <w:sz w:val="16"/>
          <w:szCs w:val="16"/>
          <w:color w:val="auto"/>
        </w:rPr>
        <w:t>On November 14, 2016, our Board of Directors authorized us to repurchase up to $1,000 million of our common stock pursuant to a stock repurchase program (the "Repurchase Program"). On November 8, 2017, July 30, 2018 and May 9, 2019 our Board of Directors increased the authorization by $ 500 million, $500 million and $1,000 million, respectively, bringing the total amount authorized under the Repurchase Program to $3,000 million. During 2019, we repurchased approximately $393 million of our common stock under the Repurchase Program. All of the repurchase transactions during 2019 were settled in cash during the same period. As of December 31, 2019, we had approximately $1,052 million available under the Repurchase Program.</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sources and uses of funds for the years ended December 31, 2019, 2018 and 2017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4"/>
        </w:trPr>
        <w:tc>
          <w:tcPr>
            <w:tcW w:w="486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i w:val="1"/>
                <w:iCs w:val="1"/>
                <w:color w:val="auto"/>
              </w:rPr>
              <w:t>Statement of Cash Flows Data</w:t>
            </w:r>
          </w:p>
        </w:tc>
        <w:tc>
          <w:tcPr>
            <w:tcW w:w="19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6"/>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6"/>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6"/>
              <w:spacing w:after="0" w:line="144" w:lineRule="exact"/>
              <w:rPr>
                <w:sz w:val="20"/>
                <w:szCs w:val="20"/>
                <w:color w:val="auto"/>
              </w:rPr>
            </w:pPr>
            <w:r>
              <w:rPr>
                <w:rFonts w:ascii="Arial" w:cs="Arial" w:eastAsia="Arial" w:hAnsi="Arial"/>
                <w:sz w:val="13"/>
                <w:szCs w:val="13"/>
                <w:b w:val="1"/>
                <w:bCs w:val="1"/>
                <w:color w:val="auto"/>
              </w:rPr>
              <w:t>2017</w:t>
            </w:r>
          </w:p>
        </w:tc>
      </w:tr>
      <w:tr>
        <w:trPr>
          <w:trHeight w:val="179"/>
        </w:trPr>
        <w:tc>
          <w:tcPr>
            <w:tcW w:w="48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192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42"/>
              <w:spacing w:after="0" w:line="180" w:lineRule="exact"/>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847</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837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658</w:t>
            </w:r>
          </w:p>
        </w:tc>
      </w:tr>
      <w:tr>
        <w:trPr>
          <w:trHeight w:val="188"/>
        </w:trPr>
        <w:tc>
          <w:tcPr>
            <w:tcW w:w="486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1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(405)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188"/>
        </w:trPr>
        <w:tc>
          <w:tcPr>
            <w:tcW w:w="486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19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(480)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w:t>
            </w:r>
          </w:p>
        </w:tc>
      </w:tr>
    </w:tbl>
    <w:p>
      <w:pPr>
        <w:spacing w:after="0" w:line="175" w:lineRule="exact"/>
        <w:rPr>
          <w:sz w:val="20"/>
          <w:szCs w:val="20"/>
          <w:color w:val="auto"/>
        </w:rPr>
      </w:pPr>
    </w:p>
    <w:p>
      <w:pPr>
        <w:ind w:right="200" w:firstLine="531"/>
        <w:spacing w:after="0" w:line="233" w:lineRule="auto"/>
        <w:rPr>
          <w:sz w:val="20"/>
          <w:szCs w:val="20"/>
          <w:color w:val="auto"/>
        </w:rPr>
      </w:pPr>
      <w:r>
        <w:rPr>
          <w:rFonts w:ascii="Arial" w:cs="Arial" w:eastAsia="Arial" w:hAnsi="Arial"/>
          <w:sz w:val="16"/>
          <w:szCs w:val="16"/>
          <w:color w:val="auto"/>
        </w:rPr>
        <w:t>Generally, cash provided by operating activities has been adequate to fund our operations. Due to fluctuations in our cash flows and the growth in our operations, it may be necessary from time to time in the future to borrow under the New Senior Secured Credit Facility to meet cash demands. We anticipate cash provided by operating activities, cash and cash equivalents and borrowing capacity under the New Senior Secured Credit Facility will be sufficient to meet our cash requirements for the next twelve months.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51" w:lineRule="exact"/>
        <w:rPr>
          <w:sz w:val="20"/>
          <w:szCs w:val="20"/>
          <w:color w:val="auto"/>
        </w:rPr>
      </w:pPr>
    </w:p>
    <w:p>
      <w:pPr>
        <w:jc w:val="both"/>
        <w:ind w:right="80" w:firstLine="531"/>
        <w:spacing w:after="0" w:line="234" w:lineRule="auto"/>
        <w:rPr>
          <w:sz w:val="20"/>
          <w:szCs w:val="20"/>
          <w:color w:val="auto"/>
        </w:rPr>
      </w:pPr>
      <w:r>
        <w:rPr>
          <w:rFonts w:ascii="Arial" w:cs="Arial" w:eastAsia="Arial" w:hAnsi="Arial"/>
          <w:sz w:val="16"/>
          <w:szCs w:val="16"/>
          <w:color w:val="auto"/>
        </w:rPr>
        <w:t>Operating activities for the year ended December 31, 2019 generated $847 million of cash compared to $ 837 million for the year ended December 31, 2018. The increase was principally driven by lower operating working capital requirements and decreased cash income taxes, partially offset by decreased gross profit and increased cash interest expense.</w:t>
      </w:r>
    </w:p>
    <w:p>
      <w:pPr>
        <w:spacing w:after="0" w:line="131" w:lineRule="exact"/>
        <w:rPr>
          <w:sz w:val="20"/>
          <w:szCs w:val="20"/>
          <w:color w:val="auto"/>
        </w:rPr>
      </w:pPr>
    </w:p>
    <w:p>
      <w:pPr>
        <w:ind w:right="120" w:firstLine="531"/>
        <w:spacing w:after="0" w:line="233" w:lineRule="auto"/>
        <w:rPr>
          <w:sz w:val="20"/>
          <w:szCs w:val="20"/>
          <w:color w:val="auto"/>
        </w:rPr>
      </w:pPr>
      <w:r>
        <w:rPr>
          <w:rFonts w:ascii="Arial" w:cs="Arial" w:eastAsia="Arial" w:hAnsi="Arial"/>
          <w:sz w:val="16"/>
          <w:szCs w:val="16"/>
          <w:color w:val="auto"/>
        </w:rPr>
        <w:t>Operating activities for the year ended December 31, 2018 generated $837 million of cash compared to $658 million for the year ended December 31, 2017. The increase was principally driven by increased gross profit, decreased defined benefit pension plans funding payments and decreased cash interest expense, partially offset by higher operating working capital requirements, increased product initiatives spending, increased incentive compensation payments and increased cash income taxes.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51" w:lineRule="exact"/>
        <w:rPr>
          <w:sz w:val="20"/>
          <w:szCs w:val="20"/>
          <w:color w:val="auto"/>
        </w:rPr>
      </w:pPr>
    </w:p>
    <w:p>
      <w:pPr>
        <w:ind w:right="40" w:firstLine="531"/>
        <w:spacing w:after="0" w:line="233" w:lineRule="auto"/>
        <w:rPr>
          <w:sz w:val="20"/>
          <w:szCs w:val="20"/>
          <w:color w:val="auto"/>
        </w:rPr>
      </w:pPr>
      <w:r>
        <w:rPr>
          <w:rFonts w:ascii="Arial" w:cs="Arial" w:eastAsia="Arial" w:hAnsi="Arial"/>
          <w:sz w:val="16"/>
          <w:szCs w:val="16"/>
          <w:color w:val="auto"/>
        </w:rPr>
        <w:t>Investing activities for the year ended December 31, 2019 used $405 million of cash compared to $103 million for the year ended December 31, 2018. The increase was principally driven by $232 million in cash paid for business acquisitions in 2019 compared to zero in 2018 and a $72 million increase in capital expenditures. The increase in capital expenditures was principally driven by increased spending related to investments in productivity and replacement programs and engineering and testing capabilities.</w:t>
      </w:r>
    </w:p>
    <w:p>
      <w:pPr>
        <w:spacing w:after="0" w:line="130" w:lineRule="exact"/>
        <w:rPr>
          <w:sz w:val="20"/>
          <w:szCs w:val="20"/>
          <w:color w:val="auto"/>
        </w:rPr>
      </w:pPr>
    </w:p>
    <w:p>
      <w:pPr>
        <w:ind w:right="220" w:firstLine="531"/>
        <w:spacing w:after="0" w:line="234" w:lineRule="auto"/>
        <w:rPr>
          <w:sz w:val="20"/>
          <w:szCs w:val="20"/>
          <w:color w:val="auto"/>
        </w:rPr>
      </w:pPr>
      <w:r>
        <w:rPr>
          <w:rFonts w:ascii="Arial" w:cs="Arial" w:eastAsia="Arial" w:hAnsi="Arial"/>
          <w:sz w:val="16"/>
          <w:szCs w:val="16"/>
          <w:color w:val="auto"/>
        </w:rPr>
        <w:t>Investing activities for the year ended December 31, 2018 used $103 million of cash compared to $94 million for the year ended December 31, 2017. The increase was principally driven by an increase of $9 million in capital expenditures primarily due to spending related to investments in productivity and replacement programs.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51" w:lineRule="exact"/>
        <w:rPr>
          <w:sz w:val="20"/>
          <w:szCs w:val="20"/>
          <w:color w:val="auto"/>
        </w:rPr>
      </w:pPr>
    </w:p>
    <w:p>
      <w:pPr>
        <w:ind w:right="180" w:firstLine="531"/>
        <w:spacing w:after="0" w:line="234" w:lineRule="auto"/>
        <w:rPr>
          <w:sz w:val="20"/>
          <w:szCs w:val="20"/>
          <w:color w:val="auto"/>
        </w:rPr>
      </w:pPr>
      <w:r>
        <w:rPr>
          <w:rFonts w:ascii="Arial" w:cs="Arial" w:eastAsia="Arial" w:hAnsi="Arial"/>
          <w:sz w:val="16"/>
          <w:szCs w:val="16"/>
          <w:color w:val="auto"/>
        </w:rPr>
        <w:t>Financing activities for the year ended December 31, 2019 used $480 million of cash compared to $700 million for the year ended December 31, 2018. The decrease was principally driven by $216 million of decreased stock repurchases and $25 million of decreased payments on long-term debt, partially offset by $17 million of decreased proceeds from the exercise of stock options and $11 million of increased debt restructuring costs.</w:t>
      </w:r>
    </w:p>
    <w:p>
      <w:pPr>
        <w:spacing w:after="0" w:line="131" w:lineRule="exact"/>
        <w:rPr>
          <w:sz w:val="20"/>
          <w:szCs w:val="20"/>
          <w:color w:val="auto"/>
        </w:rPr>
      </w:pPr>
    </w:p>
    <w:p>
      <w:pPr>
        <w:ind w:right="180" w:firstLine="531"/>
        <w:spacing w:after="0" w:line="255" w:lineRule="auto"/>
        <w:rPr>
          <w:sz w:val="20"/>
          <w:szCs w:val="20"/>
          <w:color w:val="auto"/>
        </w:rPr>
      </w:pPr>
      <w:r>
        <w:rPr>
          <w:rFonts w:ascii="Arial" w:cs="Arial" w:eastAsia="Arial" w:hAnsi="Arial"/>
          <w:sz w:val="15"/>
          <w:szCs w:val="15"/>
          <w:color w:val="auto"/>
        </w:rPr>
        <w:t>Financing activities for the year ended December 31, 2018 used $700 million of cash compared to $ 574 million for the year ended December 31, 2017. The increase was principally driven by $400 million of net debt borrowings in 2017 that did not recur in 2018 and $16 million of increased payments on long-term debt, partially offset by $276 million of decreased stock repurchases, $9 million of decreased dividend payments and $5 million of lower debt financing fees.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5" w:name="page46"/>
    <w:bookmarkEnd w:id="45"/>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Contractual Obligations, Contingent Liabilities and Commitments</w:t>
      </w:r>
    </w:p>
    <w:p>
      <w:pPr>
        <w:spacing w:after="0" w:line="153" w:lineRule="exact"/>
        <w:rPr>
          <w:sz w:val="20"/>
          <w:szCs w:val="20"/>
          <w:color w:val="auto"/>
        </w:rPr>
      </w:pPr>
    </w:p>
    <w:p>
      <w:pPr>
        <w:ind w:left="526"/>
        <w:spacing w:after="0"/>
        <w:rPr>
          <w:sz w:val="20"/>
          <w:szCs w:val="20"/>
          <w:color w:val="auto"/>
        </w:rPr>
      </w:pPr>
      <w:r>
        <w:rPr>
          <w:rFonts w:ascii="Arial" w:cs="Arial" w:eastAsia="Arial" w:hAnsi="Arial"/>
          <w:sz w:val="16"/>
          <w:szCs w:val="16"/>
          <w:color w:val="auto"/>
        </w:rPr>
        <w:t>The following table summarizes our contractual obligations as of December 31, 2019 (dollars in millions):</w:t>
      </w:r>
    </w:p>
    <w:p>
      <w:pPr>
        <w:spacing w:after="0" w:line="216" w:lineRule="exact"/>
        <w:rPr>
          <w:sz w:val="20"/>
          <w:szCs w:val="20"/>
          <w:color w:val="auto"/>
        </w:rPr>
      </w:pPr>
    </w:p>
    <w:tbl>
      <w:tblPr>
        <w:tblLayout w:type="fixed"/>
        <w:tblInd w:w="6"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w w:val="99"/>
              </w:rPr>
              <w:t>Payments due by period</w:t>
            </w: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r>
      <w:tr>
        <w:trPr>
          <w:trHeight w:val="132"/>
        </w:trPr>
        <w:tc>
          <w:tcPr>
            <w:tcW w:w="5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245"/>
              <w:spacing w:after="0" w:line="133" w:lineRule="exact"/>
              <w:rPr>
                <w:sz w:val="20"/>
                <w:szCs w:val="20"/>
                <w:color w:val="auto"/>
              </w:rPr>
            </w:pPr>
            <w:r>
              <w:rPr>
                <w:rFonts w:ascii="Arial" w:cs="Arial" w:eastAsia="Arial" w:hAnsi="Arial"/>
                <w:sz w:val="13"/>
                <w:szCs w:val="13"/>
                <w:b w:val="1"/>
                <w:bCs w:val="1"/>
                <w:color w:val="auto"/>
                <w:w w:val="98"/>
              </w:rPr>
              <w:t>Less than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jc w:val="right"/>
              <w:ind w:right="425"/>
              <w:spacing w:after="0" w:line="133" w:lineRule="exact"/>
              <w:rPr>
                <w:sz w:val="20"/>
                <w:szCs w:val="20"/>
                <w:color w:val="auto"/>
              </w:rPr>
            </w:pPr>
            <w:r>
              <w:rPr>
                <w:rFonts w:ascii="Arial" w:cs="Arial" w:eastAsia="Arial" w:hAnsi="Arial"/>
                <w:sz w:val="13"/>
                <w:szCs w:val="13"/>
                <w:b w:val="1"/>
                <w:bCs w:val="1"/>
                <w:color w:val="auto"/>
              </w:rPr>
              <w:t>1-3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ind w:right="445"/>
              <w:spacing w:after="0" w:line="133" w:lineRule="exact"/>
              <w:rPr>
                <w:sz w:val="20"/>
                <w:szCs w:val="20"/>
                <w:color w:val="auto"/>
              </w:rPr>
            </w:pPr>
            <w:r>
              <w:rPr>
                <w:rFonts w:ascii="Arial" w:cs="Arial" w:eastAsia="Arial" w:hAnsi="Arial"/>
                <w:sz w:val="13"/>
                <w:szCs w:val="13"/>
                <w:b w:val="1"/>
                <w:bCs w:val="1"/>
                <w:color w:val="auto"/>
              </w:rPr>
              <w:t>3-5</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445"/>
              <w:spacing w:after="0" w:line="133" w:lineRule="exact"/>
              <w:rPr>
                <w:sz w:val="20"/>
                <w:szCs w:val="20"/>
                <w:color w:val="auto"/>
              </w:rPr>
            </w:pPr>
            <w:r>
              <w:rPr>
                <w:rFonts w:ascii="Arial" w:cs="Arial" w:eastAsia="Arial" w:hAnsi="Arial"/>
                <w:sz w:val="13"/>
                <w:szCs w:val="13"/>
                <w:b w:val="1"/>
                <w:bCs w:val="1"/>
                <w:color w:val="auto"/>
              </w:rPr>
              <w:t>More than</w:t>
            </w:r>
          </w:p>
        </w:tc>
      </w:tr>
      <w:tr>
        <w:trPr>
          <w:trHeight w:val="153"/>
        </w:trPr>
        <w:tc>
          <w:tcPr>
            <w:tcW w:w="51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45"/>
              <w:spacing w:after="0"/>
              <w:rPr>
                <w:sz w:val="20"/>
                <w:szCs w:val="20"/>
                <w:color w:val="auto"/>
              </w:rPr>
            </w:pPr>
            <w:r>
              <w:rPr>
                <w:rFonts w:ascii="Arial" w:cs="Arial" w:eastAsia="Arial" w:hAnsi="Arial"/>
                <w:sz w:val="13"/>
                <w:szCs w:val="13"/>
                <w:b w:val="1"/>
                <w:bCs w:val="1"/>
                <w:color w:val="auto"/>
              </w:rPr>
              <w:t>1 year</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5"/>
              <w:spacing w:after="0"/>
              <w:rPr>
                <w:sz w:val="20"/>
                <w:szCs w:val="20"/>
                <w:color w:val="auto"/>
              </w:rPr>
            </w:pPr>
            <w:r>
              <w:rPr>
                <w:rFonts w:ascii="Arial" w:cs="Arial" w:eastAsia="Arial" w:hAnsi="Arial"/>
                <w:sz w:val="13"/>
                <w:szCs w:val="13"/>
                <w:b w:val="1"/>
                <w:bCs w:val="1"/>
                <w:color w:val="auto"/>
              </w:rPr>
              <w:t>years</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5 years</w:t>
            </w:r>
          </w:p>
        </w:tc>
      </w:tr>
      <w:tr>
        <w:trPr>
          <w:trHeight w:val="179"/>
        </w:trPr>
        <w:tc>
          <w:tcPr>
            <w:tcW w:w="5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New Senior Secured Credit Facility(1)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783</w:t>
            </w:r>
          </w:p>
        </w:tc>
        <w:tc>
          <w:tcPr>
            <w:tcW w:w="2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29</w:t>
            </w:r>
          </w:p>
        </w:tc>
        <w:tc>
          <w:tcPr>
            <w:tcW w:w="32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25"/>
              <w:spacing w:after="0" w:line="180" w:lineRule="exact"/>
              <w:rPr>
                <w:sz w:val="20"/>
                <w:szCs w:val="20"/>
                <w:color w:val="auto"/>
              </w:rPr>
            </w:pPr>
            <w:r>
              <w:rPr>
                <w:rFonts w:ascii="Arial" w:cs="Arial" w:eastAsia="Arial" w:hAnsi="Arial"/>
                <w:sz w:val="16"/>
                <w:szCs w:val="16"/>
                <w:color w:val="auto"/>
              </w:rPr>
              <w:t>58</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57</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639</w:t>
            </w:r>
          </w:p>
        </w:tc>
      </w:tr>
      <w:tr>
        <w:trPr>
          <w:trHeight w:val="188"/>
        </w:trPr>
        <w:tc>
          <w:tcPr>
            <w:tcW w:w="5140" w:type="dxa"/>
            <w:vAlign w:val="bottom"/>
          </w:tcPr>
          <w:p>
            <w:pPr>
              <w:spacing w:after="0"/>
              <w:rPr>
                <w:sz w:val="20"/>
                <w:szCs w:val="20"/>
                <w:color w:val="auto"/>
              </w:rPr>
            </w:pPr>
            <w:r>
              <w:rPr>
                <w:rFonts w:ascii="Arial" w:cs="Arial" w:eastAsia="Arial" w:hAnsi="Arial"/>
                <w:sz w:val="16"/>
                <w:szCs w:val="16"/>
                <w:color w:val="auto"/>
              </w:rPr>
              <w:t>5.0% Senior Notes(2)</w:t>
            </w:r>
          </w:p>
        </w:tc>
        <w:tc>
          <w:tcPr>
            <w:tcW w:w="2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1,237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65"/>
              <w:spacing w:after="0"/>
              <w:rPr>
                <w:sz w:val="20"/>
                <w:szCs w:val="20"/>
                <w:color w:val="auto"/>
              </w:rPr>
            </w:pPr>
            <w:r>
              <w:rPr>
                <w:rFonts w:ascii="Arial" w:cs="Arial" w:eastAsia="Arial" w:hAnsi="Arial"/>
                <w:sz w:val="16"/>
                <w:szCs w:val="16"/>
                <w:color w:val="auto"/>
              </w:rPr>
              <w:t>—</w:t>
            </w:r>
          </w:p>
        </w:tc>
      </w:tr>
      <w:tr>
        <w:trPr>
          <w:trHeight w:val="18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4.75% Senior Notes(3)</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454</w:t>
            </w:r>
          </w:p>
        </w:tc>
      </w:tr>
      <w:tr>
        <w:trPr>
          <w:trHeight w:val="188"/>
        </w:trPr>
        <w:tc>
          <w:tcPr>
            <w:tcW w:w="5140" w:type="dxa"/>
            <w:vAlign w:val="bottom"/>
          </w:tcPr>
          <w:p>
            <w:pPr>
              <w:spacing w:after="0"/>
              <w:rPr>
                <w:sz w:val="20"/>
                <w:szCs w:val="20"/>
                <w:color w:val="auto"/>
              </w:rPr>
            </w:pPr>
            <w:r>
              <w:rPr>
                <w:rFonts w:ascii="Arial" w:cs="Arial" w:eastAsia="Arial" w:hAnsi="Arial"/>
                <w:sz w:val="16"/>
                <w:szCs w:val="16"/>
                <w:color w:val="auto"/>
              </w:rPr>
              <w:t>5.875% Senior Notes(4)</w:t>
            </w:r>
          </w:p>
        </w:tc>
        <w:tc>
          <w:tcPr>
            <w:tcW w:w="200" w:type="dxa"/>
            <w:vAlign w:val="bottom"/>
          </w:tcPr>
          <w:p>
            <w:pPr>
              <w:spacing w:after="0"/>
              <w:rPr>
                <w:sz w:val="16"/>
                <w:szCs w:val="16"/>
                <w:color w:val="auto"/>
              </w:rPr>
            </w:pPr>
          </w:p>
        </w:tc>
        <w:tc>
          <w:tcPr>
            <w:tcW w:w="880" w:type="dxa"/>
            <w:vAlign w:val="bottom"/>
          </w:tcPr>
          <w:p>
            <w:pPr>
              <w:jc w:val="right"/>
              <w:ind w:right="44"/>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45"/>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45"/>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65"/>
              <w:spacing w:after="0"/>
              <w:rPr>
                <w:sz w:val="20"/>
                <w:szCs w:val="20"/>
                <w:color w:val="auto"/>
              </w:rPr>
            </w:pPr>
            <w:r>
              <w:rPr>
                <w:rFonts w:ascii="Arial" w:cs="Arial" w:eastAsia="Arial" w:hAnsi="Arial"/>
                <w:sz w:val="16"/>
                <w:szCs w:val="16"/>
                <w:color w:val="auto"/>
              </w:rPr>
              <w:t>629</w:t>
            </w:r>
          </w:p>
        </w:tc>
      </w:tr>
      <w:tr>
        <w:trPr>
          <w:trHeight w:val="18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leases</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9</w:t>
            </w:r>
          </w:p>
        </w:tc>
      </w:tr>
      <w:tr>
        <w:trPr>
          <w:trHeight w:val="188"/>
        </w:trPr>
        <w:tc>
          <w:tcPr>
            <w:tcW w:w="5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Pension &amp; OPEB liabilities(5)</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see (5) below</w:t>
            </w:r>
          </w:p>
        </w:tc>
      </w:tr>
      <w:tr>
        <w:trPr>
          <w:trHeight w:val="179"/>
        </w:trPr>
        <w:tc>
          <w:tcPr>
            <w:tcW w:w="51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Total(6)</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3,403</w:t>
            </w:r>
          </w:p>
        </w:tc>
        <w:tc>
          <w:tcPr>
            <w:tcW w:w="260" w:type="dxa"/>
            <w:vAlign w:val="bottom"/>
            <w:gridSpan w:val="2"/>
            <w:shd w:val="clear" w:color="auto" w:fill="CFF0FC"/>
          </w:tcPr>
          <w:p>
            <w:pPr>
              <w:jc w:val="right"/>
              <w:ind w:right="60"/>
              <w:spacing w:after="0" w:line="180" w:lineRule="exact"/>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136</w:t>
            </w:r>
          </w:p>
        </w:tc>
        <w:tc>
          <w:tcPr>
            <w:tcW w:w="32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25"/>
              <w:spacing w:after="0" w:line="180" w:lineRule="exact"/>
              <w:rPr>
                <w:sz w:val="20"/>
                <w:szCs w:val="20"/>
                <w:color w:val="auto"/>
              </w:rPr>
            </w:pPr>
            <w:r>
              <w:rPr>
                <w:rFonts w:ascii="Arial" w:cs="Arial" w:eastAsia="Arial" w:hAnsi="Arial"/>
                <w:sz w:val="16"/>
                <w:szCs w:val="16"/>
                <w:color w:val="auto"/>
              </w:rPr>
              <w:t>273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1,263</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1,731</w:t>
            </w: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86" w:right="100" w:hanging="686"/>
        <w:spacing w:after="0" w:line="229"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New Senior Secured Credit Facility includes principal payments and estimated interest payments. Interest on the New Term Loan is equal to the London Interbank Offered Rate (“LIBOR”) plus 1.75%. For the purposes of this table the rate has been calculated using LIBOR as of December 31, 2019, resulting in an applied rate of 3.54%. Actual payments will vary.</w:t>
      </w:r>
    </w:p>
    <w:p>
      <w:pPr>
        <w:spacing w:after="0" w:line="1" w:lineRule="exact"/>
        <w:rPr>
          <w:rFonts w:ascii="Arial" w:cs="Arial" w:eastAsia="Arial" w:hAnsi="Arial"/>
          <w:sz w:val="16"/>
          <w:szCs w:val="16"/>
          <w:color w:val="auto"/>
        </w:rPr>
      </w:pPr>
    </w:p>
    <w:p>
      <w:pPr>
        <w:ind w:left="686" w:hanging="686"/>
        <w:spacing w:after="0" w:line="229"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5.0% Senior Notes include principal and interest payments based on a fixed interest rate of 5.00%.</w:t>
      </w:r>
    </w:p>
    <w:p>
      <w:pPr>
        <w:ind w:left="686" w:hanging="686"/>
        <w:spacing w:after="0" w:line="229"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4.75% Senior Notes include principal and interest payments based on a fixed interest rate of 4.75%.</w:t>
      </w:r>
    </w:p>
    <w:p>
      <w:pPr>
        <w:ind w:left="686" w:hanging="686"/>
        <w:spacing w:after="0" w:line="229"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5.875% Senior Notes include principal and interest payments based on a fixed interest rate of 5.875%.</w:t>
      </w:r>
    </w:p>
    <w:p>
      <w:pPr>
        <w:ind w:left="686" w:right="140" w:hanging="686"/>
        <w:spacing w:after="0" w:line="229"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Estimated pension funding and post-retirement benefit payments are based on a constant discount rate and effective interest rate for funding purposes of 3.10%. Pension funding and post-retirement benefit payments are excluded from the table beyond year 5, though we expect funding and payments to continue beyond year 5. See NOTE 15, “Employee Benefit Plans” of Notes to Consolidated Financial Statements included in Part II, Item 8, of this Annual Report on Form 10-K for the funding status of our pension plans and other post-retirement benefit plan as of December 31, 2019.</w:t>
      </w:r>
    </w:p>
    <w:p>
      <w:pPr>
        <w:spacing w:after="0" w:line="1" w:lineRule="exact"/>
        <w:rPr>
          <w:rFonts w:ascii="Arial" w:cs="Arial" w:eastAsia="Arial" w:hAnsi="Arial"/>
          <w:sz w:val="16"/>
          <w:szCs w:val="16"/>
          <w:color w:val="auto"/>
        </w:rPr>
      </w:pPr>
    </w:p>
    <w:p>
      <w:pPr>
        <w:ind w:left="686" w:right="600" w:hanging="686"/>
        <w:spacing w:after="0" w:line="237" w:lineRule="auto"/>
        <w:tabs>
          <w:tab w:leader="none" w:pos="6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Defense price reduction reserve, estimated warranty obligations and sales allowance programs, which total $56 million, $52 million and $32 million, respectively, as of December 31, 2019 have been excluded from this table as timing of any payments are uncertain.</w:t>
      </w:r>
    </w:p>
    <w:p>
      <w:pPr>
        <w:spacing w:after="0" w:line="156"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53" w:lineRule="exact"/>
        <w:rPr>
          <w:sz w:val="20"/>
          <w:szCs w:val="20"/>
          <w:color w:val="auto"/>
        </w:rPr>
      </w:pPr>
    </w:p>
    <w:p>
      <w:pPr>
        <w:ind w:left="6" w:right="120" w:firstLine="531"/>
        <w:spacing w:after="0" w:line="233" w:lineRule="auto"/>
        <w:rPr>
          <w:sz w:val="20"/>
          <w:szCs w:val="20"/>
          <w:color w:val="auto"/>
        </w:rPr>
      </w:pPr>
      <w:r>
        <w:rPr>
          <w:rFonts w:ascii="Arial" w:cs="Arial" w:eastAsia="Arial" w:hAnsi="Arial"/>
          <w:sz w:val="16"/>
          <w:szCs w:val="16"/>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159" w:lineRule="exact"/>
        <w:rPr>
          <w:sz w:val="20"/>
          <w:szCs w:val="20"/>
          <w:color w:val="auto"/>
        </w:rPr>
      </w:pPr>
    </w:p>
    <w:p>
      <w:pPr>
        <w:ind w:left="206"/>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51" w:lineRule="exact"/>
        <w:rPr>
          <w:sz w:val="20"/>
          <w:szCs w:val="20"/>
          <w:color w:val="auto"/>
        </w:rPr>
      </w:pPr>
    </w:p>
    <w:p>
      <w:pPr>
        <w:ind w:left="6" w:right="80" w:firstLine="531"/>
        <w:spacing w:after="0" w:line="231" w:lineRule="auto"/>
        <w:rPr>
          <w:sz w:val="20"/>
          <w:szCs w:val="20"/>
          <w:color w:val="auto"/>
        </w:rPr>
      </w:pPr>
      <w:r>
        <w:rPr>
          <w:rFonts w:ascii="Arial" w:cs="Arial" w:eastAsia="Arial" w:hAnsi="Arial"/>
          <w:sz w:val="16"/>
          <w:szCs w:val="16"/>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$7 million to $9 million per year for each of the prior three fiscal years.</w:t>
      </w:r>
    </w:p>
    <w:p>
      <w:pPr>
        <w:spacing w:after="0" w:line="180"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6"/>
          </w:cols>
          <w:pgMar w:left="234" w:top="140" w:right="21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Under terms of certain previous U.S. government contracts, there were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Given our current price reduction reserve for government contracts, a 10% adjustment in our price reduction reserve would have affected our earnings by approximately $6 million per year for each of the prior three fiscal years. Beginning in 2014, Allison contracts with the U.S. Government have generally been firm, fixed price contracts and therefore have not required re-calculation of pricing based on cost principles.</w:t>
      </w:r>
    </w:p>
    <w:p>
      <w:pPr>
        <w:spacing w:after="0" w:line="130" w:lineRule="exact"/>
        <w:rPr>
          <w:sz w:val="20"/>
          <w:szCs w:val="20"/>
          <w:color w:val="auto"/>
        </w:rPr>
      </w:pPr>
    </w:p>
    <w:p>
      <w:pPr>
        <w:ind w:right="300" w:firstLine="531"/>
        <w:spacing w:after="0" w:line="237" w:lineRule="auto"/>
        <w:rPr>
          <w:sz w:val="20"/>
          <w:szCs w:val="20"/>
          <w:color w:val="auto"/>
        </w:rPr>
      </w:pPr>
      <w:r>
        <w:rPr>
          <w:rFonts w:ascii="Arial" w:cs="Arial" w:eastAsia="Arial" w:hAnsi="Arial"/>
          <w:sz w:val="16"/>
          <w:szCs w:val="16"/>
          <w:color w:val="auto"/>
        </w:rPr>
        <w:t>Further information is provided in NOTE 2 “Summary of Significant Accounting Policies” of Notes to Consolidated Financial Statements included in Part II, Item 8, of this Annual Report on Form 10-K.</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51" w:lineRule="exact"/>
        <w:rPr>
          <w:sz w:val="20"/>
          <w:szCs w:val="20"/>
          <w:color w:val="auto"/>
        </w:rPr>
      </w:pPr>
    </w:p>
    <w:p>
      <w:pPr>
        <w:ind w:right="20" w:firstLine="531"/>
        <w:spacing w:after="0" w:line="248" w:lineRule="auto"/>
        <w:rPr>
          <w:sz w:val="20"/>
          <w:szCs w:val="20"/>
          <w:color w:val="auto"/>
        </w:rPr>
      </w:pPr>
      <w:r>
        <w:rPr>
          <w:rFonts w:ascii="Arial" w:cs="Arial" w:eastAsia="Arial" w:hAnsi="Arial"/>
          <w:sz w:val="15"/>
          <w:szCs w:val="15"/>
          <w:color w:val="auto"/>
        </w:rPr>
        <w:t>Goodwill is tested for impairment at the reporting unit level, which is the same as our one operating and reportable segment. We do not aggregate any components into our reporting unit.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a reporting unit’s goodwill exceeds its carrying value of net assets, then we would record an impairment loss equal to the difference.</w:t>
      </w:r>
    </w:p>
    <w:p>
      <w:pPr>
        <w:spacing w:after="0" w:line="125" w:lineRule="exact"/>
        <w:rPr>
          <w:sz w:val="20"/>
          <w:szCs w:val="20"/>
          <w:color w:val="auto"/>
        </w:rPr>
      </w:pPr>
    </w:p>
    <w:p>
      <w:pPr>
        <w:ind w:right="140" w:firstLine="531"/>
        <w:spacing w:after="0" w:line="265" w:lineRule="auto"/>
        <w:rPr>
          <w:sz w:val="20"/>
          <w:szCs w:val="20"/>
          <w:color w:val="auto"/>
        </w:rPr>
      </w:pPr>
      <w:r>
        <w:rPr>
          <w:rFonts w:ascii="Arial" w:cs="Arial" w:eastAsia="Arial" w:hAnsi="Arial"/>
          <w:sz w:val="15"/>
          <w:szCs w:val="15"/>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12" w:lineRule="exact"/>
        <w:rPr>
          <w:sz w:val="20"/>
          <w:szCs w:val="20"/>
          <w:color w:val="auto"/>
        </w:rPr>
      </w:pPr>
    </w:p>
    <w:p>
      <w:pPr>
        <w:jc w:val="both"/>
        <w:ind w:right="240" w:firstLine="531"/>
        <w:spacing w:after="0" w:line="234" w:lineRule="auto"/>
        <w:rPr>
          <w:sz w:val="20"/>
          <w:szCs w:val="20"/>
          <w:color w:val="auto"/>
        </w:rPr>
      </w:pPr>
      <w:r>
        <w:rPr>
          <w:rFonts w:ascii="Arial" w:cs="Arial" w:eastAsia="Arial" w:hAnsi="Arial"/>
          <w:sz w:val="16"/>
          <w:szCs w:val="16"/>
          <w:color w:val="auto"/>
        </w:rPr>
        <w:t>A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31" w:lineRule="exact"/>
        <w:rPr>
          <w:sz w:val="20"/>
          <w:szCs w:val="20"/>
          <w:color w:val="auto"/>
        </w:rPr>
      </w:pPr>
    </w:p>
    <w:p>
      <w:pPr>
        <w:ind w:right="220" w:firstLine="531"/>
        <w:spacing w:after="0" w:line="234" w:lineRule="auto"/>
        <w:rPr>
          <w:sz w:val="20"/>
          <w:szCs w:val="20"/>
          <w:color w:val="auto"/>
        </w:rPr>
      </w:pPr>
      <w:r>
        <w:rPr>
          <w:rFonts w:ascii="Arial" w:cs="Arial" w:eastAsia="Arial" w:hAnsi="Arial"/>
          <w:sz w:val="16"/>
          <w:szCs w:val="16"/>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80" w:firstLine="531"/>
        <w:spacing w:after="0" w:line="234" w:lineRule="auto"/>
        <w:rPr>
          <w:sz w:val="20"/>
          <w:szCs w:val="20"/>
          <w:color w:val="auto"/>
        </w:rPr>
      </w:pPr>
      <w:r>
        <w:rPr>
          <w:rFonts w:ascii="Arial" w:cs="Arial" w:eastAsia="Arial" w:hAnsi="Arial"/>
          <w:sz w:val="16"/>
          <w:szCs w:val="16"/>
          <w:color w:val="auto"/>
        </w:rPr>
        <w:t>Goodwill impairment testing for 2019 was performed using the Step 0 analysis by assessing certain qualitative trends and factors. These trends and factors were compared to, and based on, the assumptions used in prior years. After reviewing the various qualitative factors mentioned above, our 2019 annual goodwill impairment test indicated that the fair value of the reporting unit more likely than not exceeded its carrying value, indicating no impairment.</w:t>
      </w:r>
    </w:p>
    <w:p>
      <w:pPr>
        <w:spacing w:after="0" w:line="131"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are not amortized but are tested annually for impairment. We have elected to perform our annual indefinite lived intangible assets impairment tests on October 31 of every year and follow a similar multi-step impairment test that is performed on goodwill. While unpredictable and inherently uncertain, we believe the forecast estimates are reasonable and incorporate those assumptions that similar market participants would use in their estimates of fair value. After reviewing the various qualitative factors mentioned above, our annual 2019 indefinite lived intangible assets impairment tests, as of October 31, 2019, indicated that the fair value of our indefinite lived intangible assets more likely than not exceeded the respective carrying value, indicating no impairment.</w:t>
      </w:r>
    </w:p>
    <w:p>
      <w:pPr>
        <w:spacing w:after="0" w:line="130" w:lineRule="exact"/>
        <w:rPr>
          <w:sz w:val="20"/>
          <w:szCs w:val="20"/>
          <w:color w:val="auto"/>
        </w:rPr>
      </w:pPr>
    </w:p>
    <w:p>
      <w:pPr>
        <w:ind w:right="40" w:firstLine="531"/>
        <w:spacing w:after="0" w:line="249" w:lineRule="auto"/>
        <w:rPr>
          <w:sz w:val="20"/>
          <w:szCs w:val="20"/>
          <w:color w:val="auto"/>
        </w:rPr>
      </w:pPr>
      <w:r>
        <w:rPr>
          <w:rFonts w:ascii="Arial" w:cs="Arial" w:eastAsia="Arial" w:hAnsi="Arial"/>
          <w:sz w:val="15"/>
          <w:szCs w:val="15"/>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2 “Summary of Significant Accounting Policies” and NOTE 6 “Goodwill and Other Intangible Assets” of Notes to Consolidated Financial Statements included in Part II, Item 8, of this Annual Report on Form 10-K.</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51" w:lineRule="exact"/>
        <w:rPr>
          <w:sz w:val="20"/>
          <w:szCs w:val="20"/>
          <w:color w:val="auto"/>
        </w:rPr>
      </w:pPr>
    </w:p>
    <w:p>
      <w:pPr>
        <w:ind w:right="80" w:firstLine="531"/>
        <w:spacing w:after="0" w:line="232" w:lineRule="auto"/>
        <w:rPr>
          <w:sz w:val="20"/>
          <w:szCs w:val="20"/>
          <w:color w:val="auto"/>
        </w:rPr>
      </w:pPr>
      <w:r>
        <w:rPr>
          <w:rFonts w:ascii="Arial" w:cs="Arial" w:eastAsia="Arial" w:hAnsi="Arial"/>
          <w:sz w:val="16"/>
          <w:szCs w:val="16"/>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32" w:lineRule="exact"/>
        <w:rPr>
          <w:sz w:val="20"/>
          <w:szCs w:val="20"/>
          <w:color w:val="auto"/>
        </w:rPr>
      </w:pPr>
    </w:p>
    <w:p>
      <w:pPr>
        <w:ind w:right="60" w:firstLine="531"/>
        <w:spacing w:after="0" w:line="234"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31" w:lineRule="exact"/>
        <w:rPr>
          <w:sz w:val="20"/>
          <w:szCs w:val="20"/>
          <w:color w:val="auto"/>
        </w:rPr>
      </w:pPr>
    </w:p>
    <w:p>
      <w:pPr>
        <w:ind w:right="220" w:firstLine="531"/>
        <w:spacing w:after="0" w:line="234" w:lineRule="auto"/>
        <w:rPr>
          <w:sz w:val="20"/>
          <w:szCs w:val="20"/>
          <w:color w:val="auto"/>
        </w:rPr>
      </w:pPr>
      <w:r>
        <w:rPr>
          <w:rFonts w:ascii="Arial" w:cs="Arial" w:eastAsia="Arial" w:hAnsi="Arial"/>
          <w:sz w:val="16"/>
          <w:szCs w:val="16"/>
          <w:color w:val="auto"/>
        </w:rPr>
        <w:t>As a result of events and circumstances related to weak demand conditions for the TC10 product in the fourth quarter of 2017 and the decision to cease production of the TC10 product in the fourth quarter of 2018, we recorded a $2 million, $4 million and $32 million impairment loss associated with the production of TC10 for the years ended December 31, 2019, 2018 and 2017, respectively.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Warranty</w:t>
      </w:r>
    </w:p>
    <w:p>
      <w:pPr>
        <w:spacing w:after="0" w:line="151"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240"/>
        <w:spacing w:after="0" w:line="233" w:lineRule="auto"/>
        <w:rPr>
          <w:sz w:val="20"/>
          <w:szCs w:val="20"/>
          <w:color w:val="auto"/>
        </w:rPr>
      </w:pPr>
      <w:r>
        <w:rPr>
          <w:rFonts w:ascii="Arial" w:cs="Arial" w:eastAsia="Arial" w:hAnsi="Arial"/>
          <w:sz w:val="16"/>
          <w:szCs w:val="16"/>
          <w:color w:val="auto"/>
        </w:rPr>
        <w:t>recover certain costs from our suppliers and record a receivable from the supplier when we believe a recovery is probable. Warranty costs may differ from those estimated if actual claim rates are higher or lower than our historical rates. Further information is provided in NOTE 10, “Product Warranty Liabilities” of Notes to Consolidated Financial Statements included in Part II, Item 8, of this Annual Report on Form 10-K which contains a summary of the activity in our warranty liability account for 2019, 2018 and 2017 including adjustments to pre-existing warranties.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151" w:lineRule="exact"/>
        <w:rPr>
          <w:sz w:val="20"/>
          <w:szCs w:val="20"/>
          <w:color w:val="auto"/>
        </w:rPr>
      </w:pPr>
    </w:p>
    <w:p>
      <w:pPr>
        <w:ind w:firstLine="531"/>
        <w:spacing w:after="0" w:line="234" w:lineRule="auto"/>
        <w:rPr>
          <w:sz w:val="20"/>
          <w:szCs w:val="20"/>
          <w:color w:val="auto"/>
        </w:rPr>
      </w:pPr>
      <w:r>
        <w:rPr>
          <w:rFonts w:ascii="Arial" w:cs="Arial" w:eastAsia="Arial" w:hAnsi="Arial"/>
          <w:sz w:val="16"/>
          <w:szCs w:val="16"/>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31" w:lineRule="exact"/>
        <w:rPr>
          <w:sz w:val="20"/>
          <w:szCs w:val="20"/>
          <w:color w:val="auto"/>
        </w:rPr>
      </w:pPr>
    </w:p>
    <w:p>
      <w:pPr>
        <w:ind w:right="200" w:firstLine="531"/>
        <w:spacing w:after="0" w:line="232" w:lineRule="auto"/>
        <w:rPr>
          <w:sz w:val="20"/>
          <w:szCs w:val="20"/>
          <w:color w:val="auto"/>
        </w:rPr>
      </w:pPr>
      <w:r>
        <w:rPr>
          <w:rFonts w:ascii="Arial" w:cs="Arial" w:eastAsia="Arial" w:hAnsi="Arial"/>
          <w:sz w:val="16"/>
          <w:szCs w:val="16"/>
          <w:color w:val="auto"/>
        </w:rPr>
        <w:t>A change in the discount rate can have a significant impact on determining our benefit obligations. Our current discount rate is determined by matching the plans’ projected cash flows to a yield curve based on long -term, fixed income debt instruments available as of the measurement date of December 31, 2019. The effect of a one percentage point decrease in the assumed discount rate would result in an increase in the December 31, 2019 defined benefit pension plans obligation of approximately $25 million. Similarly, a one percentage point decrease in the assumed discount rate would result in an increase in the December 31, 2019 OPEB obligation of approximately $14 million.</w:t>
      </w:r>
    </w:p>
    <w:p>
      <w:pPr>
        <w:spacing w:after="0" w:line="132" w:lineRule="exact"/>
        <w:rPr>
          <w:sz w:val="20"/>
          <w:szCs w:val="20"/>
          <w:color w:val="auto"/>
        </w:rPr>
      </w:pPr>
    </w:p>
    <w:p>
      <w:pPr>
        <w:ind w:right="20" w:firstLine="531"/>
        <w:spacing w:after="0" w:line="237" w:lineRule="auto"/>
        <w:rPr>
          <w:sz w:val="20"/>
          <w:szCs w:val="20"/>
          <w:color w:val="auto"/>
        </w:rPr>
      </w:pPr>
      <w:r>
        <w:rPr>
          <w:rFonts w:ascii="Arial" w:cs="Arial" w:eastAsia="Arial" w:hAnsi="Arial"/>
          <w:sz w:val="16"/>
          <w:szCs w:val="16"/>
          <w:color w:val="auto"/>
        </w:rPr>
        <w:t>Further information is provided in NOTE 15 “Employee Benefit Plans” of Notes to Consolidated Financial Statements included in Part II, Item 8, of this Annual Report on Form 10-K, which contains our review on various actuarial assumptions.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Taxes</w:t>
      </w:r>
    </w:p>
    <w:p>
      <w:pPr>
        <w:spacing w:after="0" w:line="151"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 When releasing income tax effects from accumulated other comprehensive loss we utilize the portfolio securities approach.</w:t>
      </w:r>
    </w:p>
    <w:p>
      <w:pPr>
        <w:spacing w:after="0" w:line="132"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On December 22, 2017, the U.S Tax Cuts and Jobs Act was enacted into law. The U.S Tax Cuts and Jobs Act made broad and complex changes to the U.S. tax code that impact us, most notably a reduction of the U.S. corporate income tax rate from 35% to 21% for tax years beginning after December 31, 2017. It also made other changes including, but not limited to, the acceleration of depreciation for certain assets placed into service after September 27, 2017 as well as a one-time deemed repatriation tax on undistributed foreign earnings and profits. Beginning in 2018, the U.S Tax Cuts and Jobs Act made other changes impacting us such as additional limitations on executive compensation, the repeal of the domestic manufacturing deduction and qualifications around certain research and development expenditures.</w:t>
      </w:r>
    </w:p>
    <w:p>
      <w:pPr>
        <w:spacing w:after="0" w:line="130" w:lineRule="exact"/>
        <w:rPr>
          <w:sz w:val="20"/>
          <w:szCs w:val="20"/>
          <w:color w:val="auto"/>
        </w:rPr>
      </w:pPr>
    </w:p>
    <w:p>
      <w:pPr>
        <w:jc w:val="both"/>
        <w:ind w:right="160" w:firstLine="531"/>
        <w:spacing w:after="0" w:line="234" w:lineRule="auto"/>
        <w:rPr>
          <w:sz w:val="20"/>
          <w:szCs w:val="20"/>
          <w:color w:val="auto"/>
        </w:rPr>
      </w:pPr>
      <w:r>
        <w:rPr>
          <w:rFonts w:ascii="Arial" w:cs="Arial" w:eastAsia="Arial" w:hAnsi="Arial"/>
          <w:sz w:val="16"/>
          <w:szCs w:val="16"/>
          <w:color w:val="auto"/>
        </w:rPr>
        <w:t>As of December 31, 2019, our U.S. federal income tax deductions related to our intangible assets were approximately $ 325 million annually through 2021, approximately $195 million in 2022 and approximately $10 million through 2033. Excluding our intangible asset deductions, our expected tax payments would have increased by approximately $70 million for the year ended December 31, 2019.</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60" w:firstLine="531"/>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the Financial Accounting Standard Board’s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32"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Further information on income taxes is provided in NOTE 16, “Income Taxes” of Notes to Consolidated Financial Statements included in Part II, Item 8, of this Annual Report on Form 10-K.</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51" w:lineRule="exact"/>
        <w:rPr>
          <w:sz w:val="20"/>
          <w:szCs w:val="20"/>
          <w:color w:val="auto"/>
        </w:rPr>
      </w:pPr>
    </w:p>
    <w:p>
      <w:pPr>
        <w:jc w:val="both"/>
        <w:ind w:right="60" w:firstLine="531"/>
        <w:spacing w:after="0" w:line="233" w:lineRule="auto"/>
        <w:rPr>
          <w:sz w:val="20"/>
          <w:szCs w:val="20"/>
          <w:color w:val="auto"/>
        </w:rPr>
      </w:pPr>
      <w:r>
        <w:rPr>
          <w:rFonts w:ascii="Arial" w:cs="Arial" w:eastAsia="Arial" w:hAnsi="Arial"/>
          <w:sz w:val="16"/>
          <w:szCs w:val="16"/>
          <w:color w:val="auto"/>
        </w:rPr>
        <w:t>We use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Refer to NOTE 2, “Summary of Significant Accounting Policies” in Part II, Item 8, of this Annual Report on Form 10-K.</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exposure to market risk consists of changes in interest rates, foreign currency rate fluctuations and movements in commodity prices.</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51"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$1,239 million including $595 million under our New Revolving Credit Facility, net of $5 million of letters of credit. A one-eighth percent increase or decrease in assumed interest rates for the New Senior Secured Credit Facility, if fully drawn as of December 31, 2019, would have an impact of approximately $1 million on interest expense. As of December 31, 2019, we had no outstanding borrowings against the New Revolving Credit Facility.</w:t>
      </w:r>
    </w:p>
    <w:p>
      <w:pPr>
        <w:spacing w:after="0" w:line="132" w:lineRule="exact"/>
        <w:rPr>
          <w:sz w:val="20"/>
          <w:szCs w:val="20"/>
          <w:color w:val="auto"/>
        </w:rPr>
      </w:pPr>
    </w:p>
    <w:p>
      <w:pPr>
        <w:ind w:right="200" w:firstLine="531"/>
        <w:spacing w:after="0" w:line="250" w:lineRule="auto"/>
        <w:rPr>
          <w:sz w:val="20"/>
          <w:szCs w:val="20"/>
          <w:color w:val="auto"/>
        </w:rPr>
      </w:pPr>
      <w:r>
        <w:rPr>
          <w:rFonts w:ascii="Arial" w:cs="Arial" w:eastAsia="Arial" w:hAnsi="Arial"/>
          <w:sz w:val="15"/>
          <w:szCs w:val="15"/>
          <w:color w:val="auto"/>
        </w:rPr>
        <w:t>From time to time, we enter into interest rate swap agreements to hedge the risk associated with our variable interest rate debt. During the first quarter of 2019, we entered into $250 million of interest rate swaps and designated them as cash flow hedges under the hypothetical derivative method. As of December 31, 2019, we held interest rate swaps effective from (i) September 2019 to September 2022 with notional values totaling $250 million and a weighted average LIBOR fixed rate of 3.01%, (ii) September 2019 to September 2025 with notional values totaling $250 million and a weighted average LIBOR fixed rate of 3.04% and (iii) September 2022 to September 2025 with notional values totaling $250 million and a weighted average LIBOR fixed rate of 2.82%.</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Refer to NOTE 8, “Debt” and NOTE 9, “Derivatives” of Notes to Consolidated Financial Statements included in Part II, Item 8, of this Annual Report on Form</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10-K.</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51" w:lineRule="exact"/>
        <w:rPr>
          <w:sz w:val="20"/>
          <w:szCs w:val="20"/>
          <w:color w:val="auto"/>
        </w:rPr>
      </w:pPr>
    </w:p>
    <w:p>
      <w:pPr>
        <w:jc w:val="both"/>
        <w:ind w:right="260" w:firstLine="531"/>
        <w:spacing w:after="0" w:line="255" w:lineRule="auto"/>
        <w:rPr>
          <w:sz w:val="20"/>
          <w:szCs w:val="20"/>
          <w:color w:val="auto"/>
        </w:rPr>
      </w:pPr>
      <w:r>
        <w:rPr>
          <w:rFonts w:ascii="Arial" w:cs="Arial" w:eastAsia="Arial" w:hAnsi="Arial"/>
          <w:sz w:val="15"/>
          <w:szCs w:val="15"/>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19" w:lineRule="exact"/>
        <w:rPr>
          <w:sz w:val="20"/>
          <w:szCs w:val="20"/>
          <w:color w:val="auto"/>
        </w:rPr>
      </w:pPr>
    </w:p>
    <w:p>
      <w:pPr>
        <w:ind w:firstLine="531"/>
        <w:spacing w:after="0" w:line="265" w:lineRule="auto"/>
        <w:rPr>
          <w:sz w:val="20"/>
          <w:szCs w:val="20"/>
          <w:color w:val="auto"/>
        </w:rPr>
      </w:pPr>
      <w:r>
        <w:rPr>
          <w:rFonts w:ascii="Arial" w:cs="Arial" w:eastAsia="Arial" w:hAnsi="Arial"/>
          <w:sz w:val="15"/>
          <w:szCs w:val="15"/>
          <w:color w:val="auto"/>
        </w:rPr>
        <w:t>Assuming current levels of foreign currency transactions, a 10% aggregate increase or decrease in the Japanese Yen, Euro, Indian Rupee and Chinese Yuan Renminbi would correspondingly change our earnings, net of tax, by an estimated $9 million per year. We believe other exposure to foreign currencies is immaterial.</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51" w:lineRule="exact"/>
        <w:rPr>
          <w:sz w:val="20"/>
          <w:szCs w:val="20"/>
          <w:color w:val="auto"/>
        </w:rPr>
      </w:pPr>
    </w:p>
    <w:p>
      <w:pPr>
        <w:ind w:right="140" w:firstLine="531"/>
        <w:spacing w:after="0" w:line="250" w:lineRule="auto"/>
        <w:rPr>
          <w:sz w:val="20"/>
          <w:szCs w:val="20"/>
          <w:color w:val="auto"/>
        </w:rPr>
      </w:pPr>
      <w:r>
        <w:rPr>
          <w:rFonts w:ascii="Arial" w:cs="Arial" w:eastAsia="Arial" w:hAnsi="Arial"/>
          <w:sz w:val="15"/>
          <w:szCs w:val="15"/>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200" w:firstLine="531"/>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$6 million and $5 million per year, respectively.</w:t>
      </w:r>
    </w:p>
    <w:p>
      <w:pPr>
        <w:spacing w:after="0" w:line="129"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7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0940"/>
          </w:cols>
          <w:pgMar w:left="240" w:top="140" w:right="71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Page</w:t>
            </w:r>
          </w:p>
        </w:tc>
        <w:tc>
          <w:tcPr>
            <w:tcW w:w="60" w:type="dxa"/>
            <w:vAlign w:val="bottom"/>
          </w:tcPr>
          <w:p>
            <w:pPr>
              <w:spacing w:after="0"/>
              <w:rPr>
                <w:sz w:val="16"/>
                <w:szCs w:val="16"/>
                <w:color w:val="auto"/>
              </w:rPr>
            </w:pPr>
          </w:p>
        </w:tc>
      </w:tr>
      <w:tr>
        <w:trPr>
          <w:trHeight w:val="188"/>
        </w:trPr>
        <w:tc>
          <w:tcPr>
            <w:tcW w:w="100" w:type="dxa"/>
            <w:vAlign w:val="bottom"/>
          </w:tcPr>
          <w:p>
            <w:pPr>
              <w:spacing w:after="0"/>
              <w:rPr>
                <w:sz w:val="16"/>
                <w:szCs w:val="16"/>
                <w:color w:val="auto"/>
              </w:rPr>
            </w:pPr>
          </w:p>
        </w:tc>
        <w:tc>
          <w:tcPr>
            <w:tcW w:w="4000" w:type="dxa"/>
            <w:vAlign w:val="bottom"/>
            <w:tcBorders>
              <w:bottom w:val="single" w:sz="8" w:color="0000EE"/>
            </w:tcBorders>
            <w:gridSpan w:val="6"/>
          </w:tcPr>
          <w:p>
            <w:pPr>
              <w:spacing w:after="0" w:line="168" w:lineRule="exact"/>
              <w:rPr>
                <w:sz w:val="20"/>
                <w:szCs w:val="20"/>
                <w:color w:val="auto"/>
              </w:rPr>
            </w:pPr>
            <w:r>
              <w:rPr>
                <w:rFonts w:ascii="Arial" w:cs="Arial" w:eastAsia="Arial" w:hAnsi="Arial"/>
                <w:sz w:val="16"/>
                <w:szCs w:val="16"/>
                <w:color w:val="0000EE"/>
                <w:w w:val="97"/>
              </w:rPr>
              <w:t>Report of Independent Registered Public Accounting Firm</w:t>
            </w:r>
          </w:p>
        </w:tc>
        <w:tc>
          <w:tcPr>
            <w:tcW w:w="760" w:type="dxa"/>
            <w:vAlign w:val="bottom"/>
          </w:tcPr>
          <w:p>
            <w:pPr>
              <w:spacing w:after="0"/>
              <w:rPr>
                <w:sz w:val="16"/>
                <w:szCs w:val="16"/>
                <w:color w:val="auto"/>
              </w:rPr>
            </w:pPr>
          </w:p>
        </w:tc>
        <w:tc>
          <w:tcPr>
            <w:tcW w:w="65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53</w:t>
            </w:r>
          </w:p>
        </w:tc>
        <w:tc>
          <w:tcPr>
            <w:tcW w:w="60" w:type="dxa"/>
            <w:vAlign w:val="bottom"/>
          </w:tcPr>
          <w:p>
            <w:pPr>
              <w:spacing w:after="0"/>
              <w:rPr>
                <w:sz w:val="16"/>
                <w:szCs w:val="16"/>
                <w:color w:val="auto"/>
              </w:rPr>
            </w:pPr>
          </w:p>
        </w:tc>
      </w:tr>
      <w:tr>
        <w:trPr>
          <w:trHeight w:val="215"/>
        </w:trPr>
        <w:tc>
          <w:tcPr>
            <w:tcW w:w="100" w:type="dxa"/>
            <w:vAlign w:val="bottom"/>
          </w:tcPr>
          <w:p>
            <w:pPr>
              <w:spacing w:after="0"/>
              <w:rPr>
                <w:sz w:val="18"/>
                <w:szCs w:val="18"/>
                <w:color w:val="auto"/>
              </w:rPr>
            </w:pPr>
          </w:p>
        </w:tc>
        <w:tc>
          <w:tcPr>
            <w:tcW w:w="4760" w:type="dxa"/>
            <w:vAlign w:val="bottom"/>
            <w:gridSpan w:val="7"/>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Consolidated Balance Sheets</w:t>
              </w:r>
            </w:hyperlink>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56</w:t>
            </w:r>
          </w:p>
        </w:tc>
        <w:tc>
          <w:tcPr>
            <w:tcW w:w="6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5"/>
        </w:trPr>
        <w:tc>
          <w:tcPr>
            <w:tcW w:w="100" w:type="dxa"/>
            <w:vAlign w:val="bottom"/>
          </w:tcPr>
          <w:p>
            <w:pPr>
              <w:spacing w:after="0"/>
              <w:rPr>
                <w:sz w:val="18"/>
                <w:szCs w:val="18"/>
                <w:color w:val="auto"/>
              </w:rPr>
            </w:pPr>
          </w:p>
        </w:tc>
        <w:tc>
          <w:tcPr>
            <w:tcW w:w="4760" w:type="dxa"/>
            <w:vAlign w:val="bottom"/>
            <w:gridSpan w:val="7"/>
          </w:tcPr>
          <w:p>
            <w:pPr>
              <w:spacing w:after="0"/>
              <w:rPr>
                <w:rFonts w:ascii="Arial" w:cs="Arial" w:eastAsia="Arial" w:hAnsi="Arial"/>
                <w:sz w:val="16"/>
                <w:szCs w:val="16"/>
                <w:color w:val="0000EE"/>
              </w:rPr>
            </w:pPr>
            <w:hyperlink w:anchor="page58">
              <w:r>
                <w:rPr>
                  <w:rFonts w:ascii="Arial" w:cs="Arial" w:eastAsia="Arial" w:hAnsi="Arial"/>
                  <w:sz w:val="16"/>
                  <w:szCs w:val="16"/>
                  <w:color w:val="0000EE"/>
                </w:rPr>
                <w:t>Consolidated Statements of Comprehensive Income</w:t>
              </w:r>
            </w:hyperlink>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60" w:type="dxa"/>
            <w:vAlign w:val="bottom"/>
          </w:tcPr>
          <w:p>
            <w:pPr>
              <w:spacing w:after="0"/>
              <w:rPr>
                <w:sz w:val="18"/>
                <w:szCs w:val="18"/>
                <w:color w:val="auto"/>
              </w:rPr>
            </w:pPr>
          </w:p>
        </w:tc>
      </w:tr>
      <w:tr>
        <w:trPr>
          <w:trHeight w:val="215"/>
        </w:trPr>
        <w:tc>
          <w:tcPr>
            <w:tcW w:w="100" w:type="dxa"/>
            <w:vAlign w:val="bottom"/>
          </w:tcPr>
          <w:p>
            <w:pPr>
              <w:spacing w:after="0"/>
              <w:rPr>
                <w:sz w:val="18"/>
                <w:szCs w:val="18"/>
                <w:color w:val="auto"/>
              </w:rPr>
            </w:pPr>
          </w:p>
        </w:tc>
        <w:tc>
          <w:tcPr>
            <w:tcW w:w="278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96"/>
              </w:rPr>
            </w:pPr>
            <w:hyperlink w:anchor="page59">
              <w:r>
                <w:rPr>
                  <w:rFonts w:ascii="Arial" w:cs="Arial" w:eastAsia="Arial" w:hAnsi="Arial"/>
                  <w:sz w:val="16"/>
                  <w:szCs w:val="16"/>
                  <w:color w:val="0000EE"/>
                  <w:w w:val="96"/>
                </w:rPr>
                <w:t>Consolidated Statements of Cash Flows</w:t>
              </w:r>
            </w:hyperlink>
          </w:p>
        </w:tc>
        <w:tc>
          <w:tcPr>
            <w:tcW w:w="820" w:type="dxa"/>
            <w:vAlign w:val="bottom"/>
            <w:tcBorders>
              <w:top w:val="single" w:sz="8" w:color="0000EE"/>
            </w:tcBorders>
            <w:gridSpan w:val="3"/>
          </w:tcPr>
          <w:p>
            <w:pPr>
              <w:spacing w:after="0"/>
              <w:rPr>
                <w:sz w:val="18"/>
                <w:szCs w:val="18"/>
                <w:color w:val="auto"/>
              </w:rPr>
            </w:pPr>
          </w:p>
        </w:tc>
        <w:tc>
          <w:tcPr>
            <w:tcW w:w="1160" w:type="dxa"/>
            <w:vAlign w:val="bottom"/>
            <w:gridSpan w:val="2"/>
          </w:tcPr>
          <w:p>
            <w:pPr>
              <w:spacing w:after="0"/>
              <w:rPr>
                <w:sz w:val="18"/>
                <w:szCs w:val="18"/>
                <w:color w:val="auto"/>
              </w:rPr>
            </w:pPr>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60" w:type="dxa"/>
            <w:vAlign w:val="bottom"/>
          </w:tcPr>
          <w:p>
            <w:pPr>
              <w:spacing w:after="0"/>
              <w:rPr>
                <w:sz w:val="18"/>
                <w:szCs w:val="18"/>
                <w:color w:val="auto"/>
              </w:rPr>
            </w:pPr>
          </w:p>
        </w:tc>
      </w:tr>
      <w:tr>
        <w:trPr>
          <w:trHeight w:val="215"/>
        </w:trPr>
        <w:tc>
          <w:tcPr>
            <w:tcW w:w="100" w:type="dxa"/>
            <w:vAlign w:val="bottom"/>
          </w:tcPr>
          <w:p>
            <w:pPr>
              <w:spacing w:after="0"/>
              <w:rPr>
                <w:sz w:val="18"/>
                <w:szCs w:val="18"/>
                <w:color w:val="auto"/>
              </w:rPr>
            </w:pPr>
          </w:p>
        </w:tc>
        <w:tc>
          <w:tcPr>
            <w:tcW w:w="3380" w:type="dxa"/>
            <w:vAlign w:val="bottom"/>
            <w:tcBorders>
              <w:bottom w:val="single" w:sz="8" w:color="0000EE"/>
            </w:tcBorders>
            <w:gridSpan w:val="4"/>
          </w:tcPr>
          <w:p>
            <w:pPr>
              <w:spacing w:after="0"/>
              <w:rPr>
                <w:rFonts w:ascii="Arial" w:cs="Arial" w:eastAsia="Arial" w:hAnsi="Arial"/>
                <w:sz w:val="16"/>
                <w:szCs w:val="16"/>
                <w:color w:val="0000EE"/>
                <w:w w:val="97"/>
              </w:rPr>
            </w:pPr>
            <w:hyperlink w:anchor="page60">
              <w:r>
                <w:rPr>
                  <w:rFonts w:ascii="Arial" w:cs="Arial" w:eastAsia="Arial" w:hAnsi="Arial"/>
                  <w:sz w:val="16"/>
                  <w:szCs w:val="16"/>
                  <w:color w:val="0000EE"/>
                  <w:w w:val="97"/>
                </w:rPr>
                <w:t>Consolidated Statements of Stockholders' Equity</w:t>
              </w:r>
            </w:hyperlink>
          </w:p>
        </w:tc>
        <w:tc>
          <w:tcPr>
            <w:tcW w:w="1380" w:type="dxa"/>
            <w:vAlign w:val="bottom"/>
            <w:gridSpan w:val="3"/>
          </w:tcPr>
          <w:p>
            <w:pPr>
              <w:spacing w:after="0"/>
              <w:rPr>
                <w:sz w:val="18"/>
                <w:szCs w:val="18"/>
                <w:color w:val="auto"/>
              </w:rPr>
            </w:pPr>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59</w:t>
            </w:r>
          </w:p>
        </w:tc>
        <w:tc>
          <w:tcPr>
            <w:tcW w:w="60" w:type="dxa"/>
            <w:vAlign w:val="bottom"/>
          </w:tcPr>
          <w:p>
            <w:pPr>
              <w:spacing w:after="0"/>
              <w:rPr>
                <w:sz w:val="18"/>
                <w:szCs w:val="18"/>
                <w:color w:val="auto"/>
              </w:rPr>
            </w:pPr>
          </w:p>
        </w:tc>
      </w:tr>
      <w:tr>
        <w:trPr>
          <w:trHeight w:val="215"/>
        </w:trPr>
        <w:tc>
          <w:tcPr>
            <w:tcW w:w="100" w:type="dxa"/>
            <w:vAlign w:val="bottom"/>
          </w:tcPr>
          <w:p>
            <w:pPr>
              <w:spacing w:after="0"/>
              <w:rPr>
                <w:sz w:val="18"/>
                <w:szCs w:val="18"/>
                <w:color w:val="auto"/>
              </w:rPr>
            </w:pPr>
          </w:p>
        </w:tc>
        <w:tc>
          <w:tcPr>
            <w:tcW w:w="4760" w:type="dxa"/>
            <w:vAlign w:val="bottom"/>
            <w:gridSpan w:val="7"/>
          </w:tcPr>
          <w:p>
            <w:pPr>
              <w:spacing w:after="0"/>
              <w:rPr>
                <w:rFonts w:ascii="Arial" w:cs="Arial" w:eastAsia="Arial" w:hAnsi="Arial"/>
                <w:sz w:val="16"/>
                <w:szCs w:val="16"/>
                <w:color w:val="0000EE"/>
              </w:rPr>
            </w:pPr>
            <w:hyperlink w:anchor="page61">
              <w:r>
                <w:rPr>
                  <w:rFonts w:ascii="Arial" w:cs="Arial" w:eastAsia="Arial" w:hAnsi="Arial"/>
                  <w:sz w:val="16"/>
                  <w:szCs w:val="16"/>
                  <w:color w:val="0000EE"/>
                </w:rPr>
                <w:t>Notes to Consolidated Financial Statements</w:t>
              </w:r>
            </w:hyperlink>
          </w:p>
        </w:tc>
        <w:tc>
          <w:tcPr>
            <w:tcW w:w="65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60" w:type="dxa"/>
            <w:vAlign w:val="bottom"/>
          </w:tcPr>
          <w:p>
            <w:pPr>
              <w:spacing w:after="0"/>
              <w:rPr>
                <w:sz w:val="18"/>
                <w:szCs w:val="18"/>
                <w:color w:val="auto"/>
              </w:rPr>
            </w:pPr>
          </w:p>
        </w:tc>
      </w:tr>
      <w:tr>
        <w:trPr>
          <w:trHeight w:val="589"/>
        </w:trPr>
        <w:tc>
          <w:tcPr>
            <w:tcW w:w="10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760" w:type="dxa"/>
            <w:vAlign w:val="bottom"/>
          </w:tcPr>
          <w:p>
            <w:pPr>
              <w:jc w:val="right"/>
              <w:ind w:right="4742"/>
              <w:spacing w:after="0"/>
              <w:rPr>
                <w:sz w:val="20"/>
                <w:szCs w:val="20"/>
                <w:color w:val="auto"/>
              </w:rPr>
            </w:pPr>
            <w:r>
              <w:rPr>
                <w:rFonts w:ascii="Arial" w:cs="Arial" w:eastAsia="Arial" w:hAnsi="Arial"/>
                <w:sz w:val="16"/>
                <w:szCs w:val="16"/>
                <w:color w:val="auto"/>
              </w:rPr>
              <w:t>52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87"/>
        </w:trPr>
        <w:tc>
          <w:tcPr>
            <w:tcW w:w="100" w:type="dxa"/>
            <w:vAlign w:val="bottom"/>
            <w:tcBorders>
              <w:bottom w:val="single" w:sz="8" w:color="9A9A9A"/>
            </w:tcBorders>
          </w:tcPr>
          <w:p>
            <w:pPr>
              <w:spacing w:after="0"/>
              <w:rPr>
                <w:sz w:val="7"/>
                <w:szCs w:val="7"/>
                <w:color w:val="auto"/>
              </w:rPr>
            </w:pPr>
          </w:p>
        </w:tc>
        <w:tc>
          <w:tcPr>
            <w:tcW w:w="20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57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4" w:lineRule="exact"/>
        <w:rPr>
          <w:sz w:val="20"/>
          <w:szCs w:val="20"/>
          <w:color w:val="auto"/>
        </w:rPr>
      </w:pPr>
    </w:p>
    <w:p>
      <w:pPr>
        <w:ind w:right="3720" w:firstLine="3763"/>
        <w:spacing w:after="0" w:line="454"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Board of Directors and Stockholders of Allison Transmission Holdings, Inc.</w:t>
      </w: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56"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 xml:space="preserve">We have audited the accompanying consolidated balance sheets of Allison Transmission Holdings, Inc. and its subsidiaries (the “Company”) as of December 31, 2019 and 2018, and the related consolidated statements of comprehensive income, of stockholders’ equity and of cash flows for each of the three years in the period ended December 31, 2019, including the related notes and financial statement schedule listed in the index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Committee of Sponsoring Organizations of the Treadway Commission (COSO).</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56"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3" w:lineRule="exact"/>
        <w:rPr>
          <w:sz w:val="20"/>
          <w:szCs w:val="20"/>
          <w:color w:val="auto"/>
        </w:rPr>
      </w:pPr>
    </w:p>
    <w:p>
      <w:pPr>
        <w:spacing w:after="0" w:line="317"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54" w:name="page55"/>
    <w:bookmarkEnd w:id="54"/>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8" w:lineRule="exact"/>
        <w:rPr>
          <w:sz w:val="20"/>
          <w:szCs w:val="20"/>
          <w:color w:val="auto"/>
        </w:rPr>
      </w:pPr>
    </w:p>
    <w:p>
      <w:pPr>
        <w:ind w:left="6" w:right="140"/>
        <w:spacing w:after="0" w:line="307"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ind w:left="6" w:right="20" w:hanging="6"/>
        <w:spacing w:after="0" w:line="246" w:lineRule="auto"/>
        <w:tabs>
          <w:tab w:leader="none" w:pos="2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left="6"/>
        <w:spacing w:after="0" w:line="38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68" w:lineRule="exact"/>
        <w:rPr>
          <w:sz w:val="20"/>
          <w:szCs w:val="20"/>
          <w:color w:val="auto"/>
        </w:rPr>
      </w:pPr>
    </w:p>
    <w:p>
      <w:pPr>
        <w:ind w:left="6" w:right="80"/>
        <w:spacing w:after="0" w:line="249"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37"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Product Warranty Liabilities</w:t>
      </w:r>
    </w:p>
    <w:p>
      <w:pPr>
        <w:spacing w:after="0" w:line="156" w:lineRule="exact"/>
        <w:rPr>
          <w:sz w:val="20"/>
          <w:szCs w:val="20"/>
          <w:color w:val="auto"/>
        </w:rPr>
      </w:pPr>
    </w:p>
    <w:p>
      <w:pPr>
        <w:ind w:left="6"/>
        <w:spacing w:after="0" w:line="279" w:lineRule="auto"/>
        <w:rPr>
          <w:sz w:val="20"/>
          <w:szCs w:val="20"/>
          <w:color w:val="auto"/>
        </w:rPr>
      </w:pPr>
      <w:r>
        <w:rPr>
          <w:rFonts w:ascii="Arial" w:cs="Arial" w:eastAsia="Arial" w:hAnsi="Arial"/>
          <w:sz w:val="15"/>
          <w:szCs w:val="15"/>
          <w:color w:val="auto"/>
        </w:rPr>
        <w:t>As described in Notes 2 and 10 to the consolidated financial statements, the Company’s consolidated product warranty liability balance was $52 million as of December 31, 2019. Management makes provisions for its estimated product warranty liabilities at the time the products are sold. These estimates are established using historical information including the nature, frequency, and average cost of warranty claims and are adjusted as actual information becomes available.</w:t>
      </w:r>
    </w:p>
    <w:p>
      <w:pPr>
        <w:spacing w:after="0" w:line="126" w:lineRule="exact"/>
        <w:rPr>
          <w:sz w:val="20"/>
          <w:szCs w:val="20"/>
          <w:color w:val="auto"/>
        </w:rPr>
      </w:pPr>
    </w:p>
    <w:p>
      <w:pPr>
        <w:jc w:val="both"/>
        <w:ind w:left="6" w:right="160"/>
        <w:spacing w:after="0" w:line="328" w:lineRule="auto"/>
        <w:rPr>
          <w:sz w:val="20"/>
          <w:szCs w:val="20"/>
          <w:color w:val="auto"/>
        </w:rPr>
      </w:pPr>
      <w:r>
        <w:rPr>
          <w:rFonts w:ascii="Arial" w:cs="Arial" w:eastAsia="Arial" w:hAnsi="Arial"/>
          <w:sz w:val="13"/>
          <w:szCs w:val="13"/>
          <w:color w:val="auto"/>
        </w:rPr>
        <w:t>The principal considerations for our determination that performing procedures relating to the product warranty liabilities is a critical audit matter are there was significant judgment by management when developing the product warranty liability estimate. This in turn led to a high degree of auditor judgment, subjectivity, and effort in performing procedures and evaluating audit evidence relating to the product warranty liability estimate, which included significant assumptions related to the frequency and average cost of warranty claims. In addition, the audit effort involved the use of professionals with specialized skill and knowledge to assist in performing these procedures and evaluating the audit evidence obtained.</w:t>
      </w:r>
    </w:p>
    <w:p>
      <w:pPr>
        <w:spacing w:after="0" w:line="86" w:lineRule="exact"/>
        <w:rPr>
          <w:sz w:val="20"/>
          <w:szCs w:val="20"/>
          <w:color w:val="auto"/>
        </w:rPr>
      </w:pPr>
    </w:p>
    <w:p>
      <w:pPr>
        <w:ind w:left="6" w:right="120"/>
        <w:spacing w:after="0" w:line="273"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process for developing the estimate, significant assumptions, and inputs used to estimate product warranty liabilities. These procedures also included, among others, testing historical warranty claims data used in the estimate. Professionals with specialized skill and knowledge were used to assist in evaluating significant assumptions, including frequency and average cost of warranty claims.</w:t>
      </w:r>
    </w:p>
    <w:p>
      <w:pPr>
        <w:spacing w:after="0" w:line="200" w:lineRule="exact"/>
        <w:rPr>
          <w:sz w:val="20"/>
          <w:szCs w:val="20"/>
          <w:color w:val="auto"/>
        </w:rPr>
      </w:pPr>
    </w:p>
    <w:p>
      <w:pPr>
        <w:spacing w:after="0" w:line="306"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6"/>
          </w:cols>
          <w:pgMar w:left="234" w:top="14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AxleTech Electric Vehicle Systems Division Acquisition – In-Process Research and Development Intangible Assets</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described in Notes 2 and 25 to the consolidated financial statements, the Company completed the acquisition of AxleTech’s electric vehicle systems division for approximately $124 million on April 16, 2019, which resulted in $56 million of intangible assets being recorded. The intangible assets consist primarily of in-process research and development of $50 million. Management recorded the in-process research and development at fair value using an income approach, which included certain sensitive assumptions, including discount rate, royalty rate, asset life and future cash flows.</w:t>
      </w:r>
    </w:p>
    <w:p>
      <w:pPr>
        <w:spacing w:after="0" w:line="134"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The principal considerations for our determination that performing procedures relating to the in-process research and development intangible assets recorded with the acquisition of AxleTech’s electric vehicle systems division is a critical audit matter are there was significant judgment by management when developing this estimate. This in turn led to a high degree of auditor judgment, subjectivity, and effort in performing procedures and evaluating audit evidence relating to the fair value measurement of the in-process research and development, which included significant assumptions related to future cash flows and the royalty rate. In addition, the audit effort involved the use of professionals with specialized skill and knowledge to assist in performing these procedures and evaluating the audit evidence obtained.</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3"/>
          <w:szCs w:val="13"/>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in-process research and development intangible assets and controls over development of the assumptions related to the valuation of the in-process research and development, including future cash flows and the royalty rate. These procedures also included, among others, (i) reading the purchase agreement; (ii) testing management’s process for estimating the fair value of in-process research and development; and (iii) testing management’s cash flow projections used to estimate the fair value of the in-process research and development. Testing management’s process included evaluating the appropriateness of the income approach, testing the completeness and accuracy of the data, and evaluating the reasonableness of significant assumptions, including future cash flows and the royalty rate. Evaluating the reasonableness of the significant assumptions involved considering the past performance of the acquired division, as well as the business, industry and peer data, and considering whether they were consistent with evidence obtained in other areas of the audit. Professionals with specialized skill and knowledge were used to assist in evaluating the income approach and the royalty rate.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Indiana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2008.</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jc w:val="center"/>
        <w:spacing w:after="0"/>
        <w:rPr>
          <w:sz w:val="20"/>
          <w:szCs w:val="20"/>
          <w:color w:val="auto"/>
        </w:rPr>
      </w:pPr>
      <w:r>
        <w:rPr>
          <w:rFonts w:ascii="Arial" w:cs="Arial" w:eastAsia="Arial" w:hAnsi="Arial"/>
          <w:sz w:val="16"/>
          <w:szCs w:val="16"/>
          <w:b w:val="1"/>
          <w:bCs w:val="1"/>
          <w:color w:val="auto"/>
        </w:rPr>
        <w:t>(dollars in millions,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ind w:left="14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3"/>
                <w:szCs w:val="13"/>
                <w:color w:val="auto"/>
              </w:rPr>
            </w:pPr>
          </w:p>
        </w:tc>
        <w:tc>
          <w:tcPr>
            <w:tcW w:w="1460" w:type="dxa"/>
            <w:vAlign w:val="bottom"/>
          </w:tcPr>
          <w:p>
            <w:pPr>
              <w:jc w:val="right"/>
              <w:ind w:right="42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9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683"/>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0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79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192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187"/>
        </w:trPr>
        <w:tc>
          <w:tcPr>
            <w:tcW w:w="7900" w:type="dxa"/>
            <w:vAlign w:val="bottom"/>
          </w:tcPr>
          <w:p>
            <w:pPr>
              <w:ind w:left="200"/>
              <w:spacing w:after="0"/>
              <w:rPr>
                <w:sz w:val="20"/>
                <w:szCs w:val="20"/>
                <w:color w:val="auto"/>
              </w:rPr>
            </w:pPr>
            <w:r>
              <w:rPr>
                <w:rFonts w:ascii="Arial" w:cs="Arial" w:eastAsia="Arial" w:hAnsi="Arial"/>
                <w:sz w:val="16"/>
                <w:szCs w:val="16"/>
                <w:color w:val="auto"/>
              </w:rPr>
              <w:t>Accounts receivable - net of allowance for doubtful accounts of $1 and $1,</w:t>
            </w:r>
          </w:p>
        </w:tc>
        <w:tc>
          <w:tcPr>
            <w:tcW w:w="220" w:type="dxa"/>
            <w:vAlign w:val="bottom"/>
          </w:tcPr>
          <w:p>
            <w:pPr>
              <w:spacing w:after="0"/>
              <w:rPr>
                <w:sz w:val="16"/>
                <w:szCs w:val="16"/>
                <w:color w:val="auto"/>
              </w:rPr>
            </w:pPr>
          </w:p>
        </w:tc>
        <w:tc>
          <w:tcPr>
            <w:tcW w:w="1440" w:type="dxa"/>
            <w:vAlign w:val="bottom"/>
            <w:vMerge w:val="restart"/>
          </w:tcPr>
          <w:p>
            <w:pPr>
              <w:jc w:val="right"/>
              <w:ind w:right="23"/>
              <w:spacing w:after="0"/>
              <w:rPr>
                <w:sz w:val="20"/>
                <w:szCs w:val="20"/>
                <w:color w:val="auto"/>
              </w:rPr>
            </w:pPr>
            <w:r>
              <w:rPr>
                <w:rFonts w:ascii="Arial" w:cs="Arial" w:eastAsia="Arial" w:hAnsi="Arial"/>
                <w:sz w:val="16"/>
                <w:szCs w:val="16"/>
                <w:b w:val="1"/>
                <w:bCs w:val="1"/>
                <w:color w:val="auto"/>
              </w:rPr>
              <w:t>253</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900" w:type="dxa"/>
            <w:vAlign w:val="bottom"/>
          </w:tcPr>
          <w:p>
            <w:pPr>
              <w:ind w:left="340"/>
              <w:spacing w:after="0" w:line="177" w:lineRule="exact"/>
              <w:rPr>
                <w:sz w:val="20"/>
                <w:szCs w:val="20"/>
                <w:color w:val="auto"/>
              </w:rPr>
            </w:pPr>
            <w:r>
              <w:rPr>
                <w:rFonts w:ascii="Arial" w:cs="Arial" w:eastAsia="Arial" w:hAnsi="Arial"/>
                <w:sz w:val="16"/>
                <w:szCs w:val="16"/>
                <w:color w:val="auto"/>
              </w:rPr>
              <w:t>respectively</w:t>
            </w:r>
          </w:p>
        </w:tc>
        <w:tc>
          <w:tcPr>
            <w:tcW w:w="22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43"/>
              <w:spacing w:after="0" w:line="177" w:lineRule="exact"/>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Inventories</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199</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88"/>
        </w:trPr>
        <w:tc>
          <w:tcPr>
            <w:tcW w:w="79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42</w:t>
            </w:r>
          </w:p>
        </w:tc>
        <w:tc>
          <w:tcPr>
            <w:tcW w:w="1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79"/>
        </w:trPr>
        <w:tc>
          <w:tcPr>
            <w:tcW w:w="79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ind w:right="23"/>
              <w:spacing w:after="0" w:line="180" w:lineRule="exact"/>
              <w:rPr>
                <w:sz w:val="20"/>
                <w:szCs w:val="20"/>
                <w:color w:val="auto"/>
              </w:rPr>
            </w:pPr>
            <w:r>
              <w:rPr>
                <w:rFonts w:ascii="Arial" w:cs="Arial" w:eastAsia="Arial" w:hAnsi="Arial"/>
                <w:sz w:val="16"/>
                <w:szCs w:val="16"/>
                <w:b w:val="1"/>
                <w:bCs w:val="1"/>
                <w:color w:val="auto"/>
              </w:rPr>
              <w:t>686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616</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1,042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2,041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1,941</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65</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9"/>
        </w:trPr>
        <w:tc>
          <w:tcPr>
            <w:tcW w:w="790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b w:val="1"/>
                <w:bCs w:val="1"/>
                <w:color w:val="auto"/>
              </w:rPr>
              <w:t>4,450</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163"/>
        </w:trPr>
        <w:tc>
          <w:tcPr>
            <w:tcW w:w="790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150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88"/>
        </w:trPr>
        <w:tc>
          <w:tcPr>
            <w:tcW w:w="7900" w:type="dxa"/>
            <w:vAlign w:val="bottom"/>
          </w:tcPr>
          <w:p>
            <w:pPr>
              <w:ind w:left="200"/>
              <w:spacing w:after="0"/>
              <w:rPr>
                <w:sz w:val="20"/>
                <w:szCs w:val="20"/>
                <w:color w:val="auto"/>
              </w:rPr>
            </w:pPr>
            <w:r>
              <w:rPr>
                <w:rFonts w:ascii="Arial" w:cs="Arial" w:eastAsia="Arial" w:hAnsi="Arial"/>
                <w:sz w:val="16"/>
                <w:szCs w:val="16"/>
                <w:color w:val="auto"/>
              </w:rPr>
              <w:t>Product warranty liability</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24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9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35</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202</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179"/>
        </w:trPr>
        <w:tc>
          <w:tcPr>
            <w:tcW w:w="7900" w:type="dxa"/>
            <w:vAlign w:val="bottom"/>
          </w:tcPr>
          <w:p>
            <w:pPr>
              <w:spacing w:after="0" w:line="180" w:lineRule="exact"/>
              <w:rPr>
                <w:sz w:val="20"/>
                <w:szCs w:val="20"/>
                <w:color w:val="auto"/>
              </w:rPr>
            </w:pPr>
            <w:r>
              <w:rPr>
                <w:rFonts w:ascii="Arial" w:cs="Arial" w:eastAsia="Arial" w:hAnsi="Arial"/>
                <w:sz w:val="16"/>
                <w:szCs w:val="16"/>
                <w:color w:val="auto"/>
              </w:rPr>
              <w:t>Total Current Liabilities</w:t>
            </w:r>
          </w:p>
        </w:tc>
        <w:tc>
          <w:tcPr>
            <w:tcW w:w="220" w:type="dxa"/>
            <w:vAlign w:val="bottom"/>
          </w:tcPr>
          <w:p>
            <w:pPr>
              <w:spacing w:after="0"/>
              <w:rPr>
                <w:sz w:val="15"/>
                <w:szCs w:val="15"/>
                <w:color w:val="auto"/>
              </w:rPr>
            </w:pPr>
          </w:p>
        </w:tc>
        <w:tc>
          <w:tcPr>
            <w:tcW w:w="1440" w:type="dxa"/>
            <w:vAlign w:val="bottom"/>
          </w:tcPr>
          <w:p>
            <w:pPr>
              <w:jc w:val="right"/>
              <w:ind w:right="23"/>
              <w:spacing w:after="0" w:line="180" w:lineRule="exact"/>
              <w:rPr>
                <w:sz w:val="20"/>
                <w:szCs w:val="20"/>
                <w:color w:val="auto"/>
              </w:rPr>
            </w:pPr>
            <w:r>
              <w:rPr>
                <w:rFonts w:ascii="Arial" w:cs="Arial" w:eastAsia="Arial" w:hAnsi="Arial"/>
                <w:sz w:val="16"/>
                <w:szCs w:val="16"/>
                <w:b w:val="1"/>
                <w:bCs w:val="1"/>
                <w:color w:val="auto"/>
              </w:rPr>
              <w:t>417</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426</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Product warranty liability</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28</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104</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2,512</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387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221</w:t>
            </w:r>
          </w:p>
        </w:tc>
        <w:tc>
          <w:tcPr>
            <w:tcW w:w="18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79"/>
        </w:trPr>
        <w:tc>
          <w:tcPr>
            <w:tcW w:w="7900" w:type="dxa"/>
            <w:vAlign w:val="bottom"/>
          </w:tcPr>
          <w:p>
            <w:pPr>
              <w:spacing w:after="0" w:line="180" w:lineRule="exact"/>
              <w:rPr>
                <w:sz w:val="20"/>
                <w:szCs w:val="20"/>
                <w:color w:val="auto"/>
              </w:rPr>
            </w:pPr>
            <w:r>
              <w:rPr>
                <w:rFonts w:ascii="Arial" w:cs="Arial" w:eastAsia="Arial" w:hAnsi="Arial"/>
                <w:sz w:val="16"/>
                <w:szCs w:val="16"/>
                <w:color w:val="auto"/>
              </w:rPr>
              <w:t>TOTAL LIABILITIES</w:t>
            </w:r>
          </w:p>
        </w:tc>
        <w:tc>
          <w:tcPr>
            <w:tcW w:w="220" w:type="dxa"/>
            <w:vAlign w:val="bottom"/>
          </w:tcPr>
          <w:p>
            <w:pPr>
              <w:spacing w:after="0"/>
              <w:rPr>
                <w:sz w:val="15"/>
                <w:szCs w:val="15"/>
                <w:color w:val="auto"/>
              </w:rPr>
            </w:pPr>
          </w:p>
        </w:tc>
        <w:tc>
          <w:tcPr>
            <w:tcW w:w="1440" w:type="dxa"/>
            <w:vAlign w:val="bottom"/>
          </w:tcPr>
          <w:p>
            <w:pPr>
              <w:jc w:val="right"/>
              <w:ind w:right="23"/>
              <w:spacing w:after="0" w:line="180" w:lineRule="exact"/>
              <w:rPr>
                <w:sz w:val="20"/>
                <w:szCs w:val="20"/>
                <w:color w:val="auto"/>
              </w:rPr>
            </w:pPr>
            <w:r>
              <w:rPr>
                <w:rFonts w:ascii="Arial" w:cs="Arial" w:eastAsia="Arial" w:hAnsi="Arial"/>
                <w:sz w:val="16"/>
                <w:szCs w:val="16"/>
                <w:b w:val="1"/>
                <w:bCs w:val="1"/>
                <w:color w:val="auto"/>
              </w:rPr>
              <w:t>3,669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3,578</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(see NOTE 18)</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$0.01 par value, 1,880,000,000 shares authorized,</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900" w:type="dxa"/>
            <w:vAlign w:val="bottom"/>
            <w:shd w:val="clear" w:color="auto" w:fill="CFF0FC"/>
          </w:tcPr>
          <w:p>
            <w:pPr>
              <w:ind w:left="340"/>
              <w:spacing w:after="0" w:line="176" w:lineRule="exact"/>
              <w:rPr>
                <w:sz w:val="20"/>
                <w:szCs w:val="20"/>
                <w:color w:val="auto"/>
              </w:rPr>
            </w:pPr>
            <w:r>
              <w:rPr>
                <w:rFonts w:ascii="Arial" w:cs="Arial" w:eastAsia="Arial" w:hAnsi="Arial"/>
                <w:sz w:val="16"/>
                <w:szCs w:val="16"/>
                <w:color w:val="auto"/>
              </w:rPr>
              <w:t>118,199,782 shares issued and outstanding and 126,251,266 shares</w:t>
            </w:r>
          </w:p>
        </w:tc>
        <w:tc>
          <w:tcPr>
            <w:tcW w:w="22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ind w:right="23"/>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issued and outstanding, respectively</w:t>
            </w:r>
          </w:p>
        </w:tc>
        <w:tc>
          <w:tcPr>
            <w:tcW w:w="220" w:type="dxa"/>
            <w:vAlign w:val="bottom"/>
            <w:shd w:val="clear" w:color="auto" w:fill="CFF0FC"/>
          </w:tcPr>
          <w:p>
            <w:pPr>
              <w:spacing w:after="0"/>
              <w:rPr>
                <w:sz w:val="15"/>
                <w:szCs w:val="15"/>
                <w:color w:val="auto"/>
              </w:rPr>
            </w:pPr>
          </w:p>
        </w:tc>
        <w:tc>
          <w:tcPr>
            <w:tcW w:w="144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3"/>
              <w:spacing w:after="0" w:line="17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7900" w:type="dxa"/>
            <w:vAlign w:val="bottom"/>
          </w:tcPr>
          <w:p>
            <w:pPr>
              <w:ind w:left="200"/>
              <w:spacing w:after="0"/>
              <w:rPr>
                <w:sz w:val="20"/>
                <w:szCs w:val="20"/>
                <w:color w:val="auto"/>
              </w:rPr>
            </w:pPr>
            <w:r>
              <w:rPr>
                <w:rFonts w:ascii="Arial" w:cs="Arial" w:eastAsia="Arial" w:hAnsi="Arial"/>
                <w:sz w:val="16"/>
                <w:szCs w:val="16"/>
                <w:color w:val="auto"/>
              </w:rPr>
              <w:t>Non-voting common stock, $0.01 par value, 20,000,000 shares</w:t>
            </w:r>
          </w:p>
        </w:tc>
        <w:tc>
          <w:tcPr>
            <w:tcW w:w="220" w:type="dxa"/>
            <w:vAlign w:val="bottom"/>
          </w:tcPr>
          <w:p>
            <w:pPr>
              <w:spacing w:after="0"/>
              <w:rPr>
                <w:sz w:val="16"/>
                <w:szCs w:val="16"/>
                <w:color w:val="auto"/>
              </w:rPr>
            </w:pPr>
          </w:p>
        </w:tc>
        <w:tc>
          <w:tcPr>
            <w:tcW w:w="162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900" w:type="dxa"/>
            <w:vAlign w:val="bottom"/>
          </w:tcPr>
          <w:p>
            <w:pPr>
              <w:ind w:left="340"/>
              <w:spacing w:after="0" w:line="177" w:lineRule="exact"/>
              <w:rPr>
                <w:sz w:val="20"/>
                <w:szCs w:val="20"/>
                <w:color w:val="auto"/>
              </w:rPr>
            </w:pPr>
            <w:r>
              <w:rPr>
                <w:rFonts w:ascii="Arial" w:cs="Arial" w:eastAsia="Arial" w:hAnsi="Arial"/>
                <w:sz w:val="16"/>
                <w:szCs w:val="16"/>
                <w:color w:val="auto"/>
              </w:rPr>
              <w:t>authorized, none issued and outstanding</w:t>
            </w:r>
          </w:p>
        </w:tc>
        <w:tc>
          <w:tcPr>
            <w:tcW w:w="2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43"/>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Preferred stock, $0.01 par value, 100,000,000 shares authorized, none</w:t>
            </w:r>
          </w:p>
        </w:tc>
        <w:tc>
          <w:tcPr>
            <w:tcW w:w="220" w:type="dxa"/>
            <w:vAlign w:val="bottom"/>
            <w:shd w:val="clear" w:color="auto" w:fill="CFF0FC"/>
          </w:tcPr>
          <w:p>
            <w:pPr>
              <w:spacing w:after="0"/>
              <w:rPr>
                <w:sz w:val="16"/>
                <w:szCs w:val="16"/>
                <w:color w:val="auto"/>
              </w:rPr>
            </w:pPr>
          </w:p>
        </w:tc>
        <w:tc>
          <w:tcPr>
            <w:tcW w:w="162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90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issued and outstanding</w:t>
            </w:r>
          </w:p>
        </w:tc>
        <w:tc>
          <w:tcPr>
            <w:tcW w:w="220" w:type="dxa"/>
            <w:vAlign w:val="bottom"/>
            <w:shd w:val="clear" w:color="auto" w:fill="CFF0FC"/>
          </w:tcPr>
          <w:p>
            <w:pPr>
              <w:spacing w:after="0"/>
              <w:rPr>
                <w:sz w:val="15"/>
                <w:szCs w:val="15"/>
                <w:color w:val="auto"/>
              </w:rPr>
            </w:pPr>
          </w:p>
        </w:tc>
        <w:tc>
          <w:tcPr>
            <w:tcW w:w="1620" w:type="dxa"/>
            <w:vAlign w:val="bottom"/>
            <w:gridSpan w:val="2"/>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ind w:right="43"/>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790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220" w:type="dxa"/>
            <w:vAlign w:val="bottom"/>
          </w:tcPr>
          <w:p>
            <w:pPr>
              <w:spacing w:after="0"/>
              <w:rPr>
                <w:sz w:val="16"/>
                <w:szCs w:val="16"/>
                <w:color w:val="auto"/>
              </w:rPr>
            </w:pPr>
          </w:p>
        </w:tc>
        <w:tc>
          <w:tcPr>
            <w:tcW w:w="1440" w:type="dxa"/>
            <w:vAlign w:val="bottom"/>
          </w:tcPr>
          <w:p>
            <w:pPr>
              <w:jc w:val="right"/>
              <w:ind w:right="23"/>
              <w:spacing w:after="0"/>
              <w:rPr>
                <w:sz w:val="20"/>
                <w:szCs w:val="20"/>
                <w:color w:val="auto"/>
              </w:rPr>
            </w:pPr>
            <w:r>
              <w:rPr>
                <w:rFonts w:ascii="Arial" w:cs="Arial" w:eastAsia="Arial" w:hAnsi="Arial"/>
                <w:sz w:val="16"/>
                <w:szCs w:val="16"/>
                <w:b w:val="1"/>
                <w:bCs w:val="1"/>
                <w:color w:val="auto"/>
              </w:rPr>
              <w:t>1,802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ind w:right="43"/>
              <w:spacing w:after="0"/>
              <w:rPr>
                <w:sz w:val="20"/>
                <w:szCs w:val="20"/>
                <w:color w:val="auto"/>
              </w:rPr>
            </w:pPr>
            <w:r>
              <w:rPr>
                <w:rFonts w:ascii="Arial" w:cs="Arial" w:eastAsia="Arial" w:hAnsi="Arial"/>
                <w:sz w:val="16"/>
                <w:szCs w:val="16"/>
                <w:color w:val="auto"/>
              </w:rPr>
              <w:t>1,788</w:t>
            </w:r>
          </w:p>
        </w:tc>
        <w:tc>
          <w:tcPr>
            <w:tcW w:w="0" w:type="dxa"/>
            <w:vAlign w:val="bottom"/>
          </w:tcPr>
          <w:p>
            <w:pPr>
              <w:spacing w:after="0"/>
              <w:rPr>
                <w:sz w:val="1"/>
                <w:szCs w:val="1"/>
                <w:color w:val="auto"/>
              </w:rPr>
            </w:pPr>
          </w:p>
        </w:tc>
      </w:tr>
      <w:tr>
        <w:trPr>
          <w:trHeight w:val="188"/>
        </w:trPr>
        <w:tc>
          <w:tcPr>
            <w:tcW w:w="7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22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(970)</w:t>
            </w: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188"/>
        </w:trPr>
        <w:tc>
          <w:tcPr>
            <w:tcW w:w="79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Accumulated other comprehensive loss, net of tax</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79"/>
        </w:trPr>
        <w:tc>
          <w:tcPr>
            <w:tcW w:w="79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ind w:right="23"/>
              <w:spacing w:after="0" w:line="180" w:lineRule="exact"/>
              <w:rPr>
                <w:sz w:val="20"/>
                <w:szCs w:val="20"/>
                <w:color w:val="auto"/>
              </w:rPr>
            </w:pPr>
            <w:r>
              <w:rPr>
                <w:rFonts w:ascii="Arial" w:cs="Arial" w:eastAsia="Arial" w:hAnsi="Arial"/>
                <w:sz w:val="16"/>
                <w:szCs w:val="16"/>
                <w:b w:val="1"/>
                <w:bCs w:val="1"/>
                <w:color w:val="auto"/>
              </w:rPr>
              <w:t>781</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46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179"/>
        </w:trPr>
        <w:tc>
          <w:tcPr>
            <w:tcW w:w="7900" w:type="dxa"/>
            <w:vAlign w:val="bottom"/>
          </w:tcPr>
          <w:p>
            <w:pPr>
              <w:spacing w:after="0" w:line="180" w:lineRule="exact"/>
              <w:rPr>
                <w:sz w:val="20"/>
                <w:szCs w:val="20"/>
                <w:color w:val="auto"/>
              </w:rPr>
            </w:pPr>
            <w:r>
              <w:rPr>
                <w:rFonts w:ascii="Arial" w:cs="Arial" w:eastAsia="Arial" w:hAnsi="Arial"/>
                <w:sz w:val="16"/>
                <w:szCs w:val="16"/>
                <w:color w:val="auto"/>
              </w:rPr>
              <w:t>TOTAL LIABILITIES &amp; STOCKHOLDERS’ EQUITY</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ind w:right="23"/>
              <w:spacing w:after="0" w:line="180" w:lineRule="exact"/>
              <w:rPr>
                <w:sz w:val="20"/>
                <w:szCs w:val="20"/>
                <w:color w:val="auto"/>
              </w:rPr>
            </w:pPr>
            <w:r>
              <w:rPr>
                <w:rFonts w:ascii="Arial" w:cs="Arial" w:eastAsia="Arial" w:hAnsi="Arial"/>
                <w:sz w:val="16"/>
                <w:szCs w:val="16"/>
                <w:b w:val="1"/>
                <w:bCs w:val="1"/>
                <w:color w:val="auto"/>
              </w:rPr>
              <w:t>4,450</w:t>
            </w:r>
          </w:p>
        </w:tc>
        <w:tc>
          <w:tcPr>
            <w:tcW w:w="18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4,237</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300" w:type="dxa"/>
            <w:vAlign w:val="bottom"/>
            <w:tcBorders>
              <w:bottom w:val="single" w:sz="8" w:color="CFF0FC"/>
            </w:tcBorders>
          </w:tcPr>
          <w:p>
            <w:pPr>
              <w:spacing w:after="0"/>
              <w:rPr>
                <w:sz w:val="12"/>
                <w:szCs w:val="12"/>
                <w:color w:val="auto"/>
              </w:rPr>
            </w:pPr>
          </w:p>
        </w:tc>
        <w:tc>
          <w:tcPr>
            <w:tcW w:w="148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6"/>
              <w:spacing w:after="0" w:line="144"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06"/>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2,698</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2,713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48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1,304</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1,291</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Gross profit</w:t>
            </w: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1,394</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1,422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1,131</w:t>
            </w:r>
          </w:p>
        </w:tc>
        <w:tc>
          <w:tcPr>
            <w:tcW w:w="0" w:type="dxa"/>
            <w:vAlign w:val="bottom"/>
          </w:tcPr>
          <w:p>
            <w:pPr>
              <w:spacing w:after="0"/>
              <w:rPr>
                <w:sz w:val="1"/>
                <w:szCs w:val="1"/>
                <w:color w:val="auto"/>
              </w:rPr>
            </w:pPr>
          </w:p>
        </w:tc>
      </w:tr>
      <w:tr>
        <w:trPr>
          <w:trHeight w:val="188"/>
        </w:trPr>
        <w:tc>
          <w:tcPr>
            <w:tcW w:w="530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354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364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88"/>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Engineering — research and development</w:t>
            </w:r>
          </w:p>
        </w:tc>
        <w:tc>
          <w:tcPr>
            <w:tcW w:w="1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154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188"/>
        </w:trPr>
        <w:tc>
          <w:tcPr>
            <w:tcW w:w="5300" w:type="dxa"/>
            <w:vAlign w:val="bottom"/>
          </w:tcPr>
          <w:p>
            <w:pPr>
              <w:spacing w:after="0"/>
              <w:rPr>
                <w:sz w:val="20"/>
                <w:szCs w:val="20"/>
                <w:color w:val="auto"/>
              </w:rPr>
            </w:pPr>
            <w:r>
              <w:rPr>
                <w:rFonts w:ascii="Arial" w:cs="Arial" w:eastAsia="Arial" w:hAnsi="Arial"/>
                <w:sz w:val="16"/>
                <w:szCs w:val="16"/>
                <w:color w:val="auto"/>
              </w:rPr>
              <w:t>Environmental remediation</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Loss associated with impairment of long-lived assets</w:t>
            </w:r>
          </w:p>
        </w:tc>
        <w:tc>
          <w:tcPr>
            <w:tcW w:w="148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79"/>
        </w:trPr>
        <w:tc>
          <w:tcPr>
            <w:tcW w:w="5300" w:type="dxa"/>
            <w:vAlign w:val="bottom"/>
          </w:tcPr>
          <w:p>
            <w:pPr>
              <w:spacing w:after="0" w:line="180" w:lineRule="exact"/>
              <w:rPr>
                <w:sz w:val="20"/>
                <w:szCs w:val="20"/>
                <w:color w:val="auto"/>
              </w:rPr>
            </w:pPr>
            <w:r>
              <w:rPr>
                <w:rFonts w:ascii="Arial" w:cs="Arial" w:eastAsia="Arial" w:hAnsi="Arial"/>
                <w:sz w:val="16"/>
                <w:szCs w:val="16"/>
                <w:b w:val="1"/>
                <w:bCs w:val="1"/>
                <w:color w:val="auto"/>
              </w:rPr>
              <w:t>Operating income</w:t>
            </w:r>
          </w:p>
        </w:tc>
        <w:tc>
          <w:tcPr>
            <w:tcW w:w="1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8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892</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923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652</w:t>
            </w:r>
          </w:p>
        </w:tc>
        <w:tc>
          <w:tcPr>
            <w:tcW w:w="0" w:type="dxa"/>
            <w:vAlign w:val="bottom"/>
          </w:tcPr>
          <w:p>
            <w:pPr>
              <w:spacing w:after="0"/>
              <w:rPr>
                <w:sz w:val="1"/>
                <w:szCs w:val="1"/>
                <w:color w:val="auto"/>
              </w:rPr>
            </w:pPr>
          </w:p>
        </w:tc>
      </w:tr>
      <w:tr>
        <w:trPr>
          <w:trHeight w:val="188"/>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48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Income before income taxes</w:t>
            </w: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768</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805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188"/>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48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w:t>
            </w: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06"/>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604</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59"/>
        </w:trPr>
        <w:tc>
          <w:tcPr>
            <w:tcW w:w="5300" w:type="dxa"/>
            <w:vAlign w:val="bottom"/>
          </w:tcPr>
          <w:p>
            <w:pPr>
              <w:spacing w:after="0" w:line="159" w:lineRule="exact"/>
              <w:rPr>
                <w:sz w:val="20"/>
                <w:szCs w:val="20"/>
                <w:color w:val="auto"/>
              </w:rPr>
            </w:pPr>
            <w:r>
              <w:rPr>
                <w:rFonts w:ascii="Arial" w:cs="Arial" w:eastAsia="Arial" w:hAnsi="Arial"/>
                <w:sz w:val="16"/>
                <w:szCs w:val="16"/>
                <w:b w:val="1"/>
                <w:bCs w:val="1"/>
                <w:color w:val="auto"/>
              </w:rPr>
              <w:t>Basic earnings per share attributable to common</w:t>
            </w:r>
          </w:p>
        </w:tc>
        <w:tc>
          <w:tcPr>
            <w:tcW w:w="14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300" w:type="dxa"/>
            <w:vAlign w:val="bottom"/>
          </w:tcPr>
          <w:p>
            <w:pPr>
              <w:ind w:left="120"/>
              <w:spacing w:after="0"/>
              <w:rPr>
                <w:sz w:val="20"/>
                <w:szCs w:val="20"/>
                <w:color w:val="auto"/>
              </w:rPr>
            </w:pPr>
            <w:r>
              <w:rPr>
                <w:rFonts w:ascii="Arial" w:cs="Arial" w:eastAsia="Arial" w:hAnsi="Arial"/>
                <w:sz w:val="16"/>
                <w:szCs w:val="16"/>
                <w:b w:val="1"/>
                <w:bCs w:val="1"/>
                <w:color w:val="auto"/>
              </w:rPr>
              <w:t>stockholders</w:t>
            </w:r>
          </w:p>
        </w:tc>
        <w:tc>
          <w:tcPr>
            <w:tcW w:w="2360" w:type="dxa"/>
            <w:vAlign w:val="bottom"/>
            <w:gridSpan w:val="2"/>
          </w:tcPr>
          <w:p>
            <w:pPr>
              <w:jc w:val="right"/>
              <w:ind w:right="706"/>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4.95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4.81</w:t>
            </w:r>
          </w:p>
        </w:tc>
        <w:tc>
          <w:tcPr>
            <w:tcW w:w="16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142"/>
        </w:trPr>
        <w:tc>
          <w:tcPr>
            <w:tcW w:w="53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6"/>
                <w:szCs w:val="16"/>
                <w:b w:val="1"/>
                <w:bCs w:val="1"/>
                <w:color w:val="auto"/>
              </w:rPr>
              <w:t>Diluted earnings per share attributable to common</w:t>
            </w:r>
          </w:p>
        </w:tc>
        <w:tc>
          <w:tcPr>
            <w:tcW w:w="1480" w:type="dxa"/>
            <w:vAlign w:val="bottom"/>
            <w:tcBorders>
              <w:top w:val="single" w:sz="8" w:color="CFF0FC"/>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530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stockholders</w:t>
            </w:r>
          </w:p>
        </w:tc>
        <w:tc>
          <w:tcPr>
            <w:tcW w:w="2360" w:type="dxa"/>
            <w:vAlign w:val="bottom"/>
            <w:gridSpan w:val="2"/>
            <w:shd w:val="clear" w:color="auto" w:fill="CFF0FC"/>
          </w:tcPr>
          <w:p>
            <w:pPr>
              <w:jc w:val="right"/>
              <w:ind w:right="706"/>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4.91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4.78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Other comprehensive (loss) income, net of tax:</w:t>
            </w:r>
          </w:p>
        </w:tc>
        <w:tc>
          <w:tcPr>
            <w:tcW w:w="14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w:t>
            </w:r>
          </w:p>
        </w:tc>
        <w:tc>
          <w:tcPr>
            <w:tcW w:w="14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5300" w:type="dxa"/>
            <w:vAlign w:val="bottom"/>
          </w:tcPr>
          <w:p>
            <w:pPr>
              <w:ind w:left="200"/>
              <w:spacing w:after="0"/>
              <w:rPr>
                <w:sz w:val="20"/>
                <w:szCs w:val="20"/>
                <w:color w:val="auto"/>
              </w:rPr>
            </w:pPr>
            <w:r>
              <w:rPr>
                <w:rFonts w:ascii="Arial" w:cs="Arial" w:eastAsia="Arial" w:hAnsi="Arial"/>
                <w:sz w:val="16"/>
                <w:szCs w:val="16"/>
                <w:color w:val="auto"/>
              </w:rPr>
              <w:t>Pension and OPEB liability adjustment</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8"/>
        </w:trPr>
        <w:tc>
          <w:tcPr>
            <w:tcW w:w="53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Available-for-sale securities and interest rate swaps</w:t>
            </w:r>
          </w:p>
        </w:tc>
        <w:tc>
          <w:tcPr>
            <w:tcW w:w="148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9"/>
        </w:trPr>
        <w:tc>
          <w:tcPr>
            <w:tcW w:w="530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b w:val="1"/>
                <w:bCs w:val="1"/>
                <w:color w:val="auto"/>
              </w:rPr>
              <w:t>Total other comprehensive (loss) income, net of tax</w:t>
            </w:r>
          </w:p>
        </w:tc>
        <w:tc>
          <w:tcPr>
            <w:tcW w:w="148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(22)</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(15)</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79"/>
        </w:trPr>
        <w:tc>
          <w:tcPr>
            <w:tcW w:w="530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Comprehensive income</w:t>
            </w:r>
          </w:p>
        </w:tc>
        <w:tc>
          <w:tcPr>
            <w:tcW w:w="14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06"/>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582</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624</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40" w:type="dxa"/>
            <w:vAlign w:val="bottom"/>
            <w:tcBorders>
              <w:bottom w:val="single" w:sz="8" w:color="CFF0FC"/>
            </w:tcBorders>
          </w:tcPr>
          <w:p>
            <w:pPr>
              <w:spacing w:after="0"/>
              <w:rPr>
                <w:sz w:val="12"/>
                <w:szCs w:val="12"/>
                <w:color w:val="auto"/>
              </w:rPr>
            </w:pPr>
          </w:p>
        </w:tc>
        <w:tc>
          <w:tcPr>
            <w:tcW w:w="12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2"/>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2"/>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554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1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40" w:type="dxa"/>
            <w:vAlign w:val="bottom"/>
          </w:tcPr>
          <w:p>
            <w:pPr>
              <w:spacing w:after="0"/>
              <w:rPr>
                <w:sz w:val="20"/>
                <w:szCs w:val="20"/>
                <w:color w:val="auto"/>
              </w:rPr>
            </w:pPr>
            <w:r>
              <w:rPr>
                <w:rFonts w:ascii="Arial" w:cs="Arial" w:eastAsia="Arial" w:hAnsi="Arial"/>
                <w:sz w:val="16"/>
                <w:szCs w:val="16"/>
                <w:color w:val="auto"/>
              </w:rPr>
              <w:t>Net income</w:t>
            </w:r>
          </w:p>
        </w:tc>
        <w:tc>
          <w:tcPr>
            <w:tcW w:w="2080" w:type="dxa"/>
            <w:vAlign w:val="bottom"/>
            <w:gridSpan w:val="2"/>
          </w:tcPr>
          <w:p>
            <w:pPr>
              <w:jc w:val="right"/>
              <w:ind w:right="67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604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639</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87"/>
        </w:trPr>
        <w:tc>
          <w:tcPr>
            <w:tcW w:w="55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shd w:val="clear" w:color="auto" w:fill="CFF0FC"/>
          </w:tcPr>
          <w:p>
            <w:pPr>
              <w:ind w:left="120"/>
              <w:spacing w:after="0" w:line="177" w:lineRule="exact"/>
              <w:rPr>
                <w:sz w:val="20"/>
                <w:szCs w:val="20"/>
                <w:color w:val="auto"/>
              </w:rPr>
            </w:pPr>
            <w:r>
              <w:rPr>
                <w:rFonts w:ascii="Arial" w:cs="Arial" w:eastAsia="Arial" w:hAnsi="Arial"/>
                <w:sz w:val="16"/>
                <w:szCs w:val="16"/>
                <w:color w:val="auto"/>
              </w:rPr>
              <w:t>operating activities:</w:t>
            </w:r>
          </w:p>
        </w:tc>
        <w:tc>
          <w:tcPr>
            <w:tcW w:w="1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Amortization of intangible assets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86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87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81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65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Amortization of deferred financing costs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Loss associated with impairment of long-lived assets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7"/>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Impairment loss on investments in technology-related</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54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initiatives</w:t>
            </w:r>
          </w:p>
        </w:tc>
        <w:tc>
          <w:tcPr>
            <w:tcW w:w="1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2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2"/>
              <w:spacing w:after="0" w:line="177" w:lineRule="exact"/>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77"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Unrealized gain on derivatives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 assets and liabilities</w:t>
            </w:r>
          </w:p>
        </w:tc>
        <w:tc>
          <w:tcPr>
            <w:tcW w:w="12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22</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79"/>
        </w:trPr>
        <w:tc>
          <w:tcPr>
            <w:tcW w:w="554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provided by operating activities</w:t>
            </w:r>
          </w:p>
        </w:tc>
        <w:tc>
          <w:tcPr>
            <w:tcW w:w="1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847</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837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Additions of long-lived assets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Investments in technology-related initiatives</w:t>
            </w:r>
          </w:p>
        </w:tc>
        <w:tc>
          <w:tcPr>
            <w:tcW w:w="124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9"/>
        </w:trPr>
        <w:tc>
          <w:tcPr>
            <w:tcW w:w="5540" w:type="dxa"/>
            <w:vAlign w:val="bottom"/>
          </w:tcPr>
          <w:p>
            <w:pPr>
              <w:ind w:left="420"/>
              <w:spacing w:after="0" w:line="180" w:lineRule="exact"/>
              <w:rPr>
                <w:sz w:val="20"/>
                <w:szCs w:val="20"/>
                <w:color w:val="auto"/>
              </w:rPr>
            </w:pPr>
            <w:r>
              <w:rPr>
                <w:rFonts w:ascii="Arial" w:cs="Arial" w:eastAsia="Arial" w:hAnsi="Arial"/>
                <w:sz w:val="16"/>
                <w:szCs w:val="16"/>
                <w:color w:val="auto"/>
              </w:rPr>
              <w:t>Net cash used for investing activities</w:t>
            </w:r>
          </w:p>
        </w:tc>
        <w:tc>
          <w:tcPr>
            <w:tcW w:w="1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(405)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(103)</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line="180" w:lineRule="exact"/>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Payments on long-term debt</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(1,151)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long-term debt</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1,148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Repurchases of common stock</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(393)</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(609)</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revolving credit facility</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90</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Repayments on revolving credit facility</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 payments</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8"/>
        </w:trPr>
        <w:tc>
          <w:tcPr>
            <w:tcW w:w="5540" w:type="dxa"/>
            <w:vAlign w:val="bottom"/>
          </w:tcPr>
          <w:p>
            <w:pPr>
              <w:ind w:left="200"/>
              <w:spacing w:after="0"/>
              <w:rPr>
                <w:sz w:val="20"/>
                <w:szCs w:val="20"/>
                <w:color w:val="auto"/>
              </w:rPr>
            </w:pPr>
            <w:r>
              <w:rPr>
                <w:rFonts w:ascii="Arial" w:cs="Arial" w:eastAsia="Arial" w:hAnsi="Arial"/>
                <w:sz w:val="16"/>
                <w:szCs w:val="16"/>
                <w:color w:val="auto"/>
              </w:rPr>
              <w:t>Debt financing fees</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Taxes paid related to net share settlement of equity awards</w:t>
            </w:r>
          </w:p>
        </w:tc>
        <w:tc>
          <w:tcPr>
            <w:tcW w:w="12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9"/>
        </w:trPr>
        <w:tc>
          <w:tcPr>
            <w:tcW w:w="5540" w:type="dxa"/>
            <w:vAlign w:val="bottom"/>
            <w:shd w:val="clear" w:color="auto" w:fill="CFF0FC"/>
          </w:tcPr>
          <w:p>
            <w:pPr>
              <w:ind w:left="420"/>
              <w:spacing w:after="0" w:line="178" w:lineRule="exact"/>
              <w:rPr>
                <w:sz w:val="20"/>
                <w:szCs w:val="20"/>
                <w:color w:val="auto"/>
              </w:rPr>
            </w:pPr>
            <w:r>
              <w:rPr>
                <w:rFonts w:ascii="Arial" w:cs="Arial" w:eastAsia="Arial" w:hAnsi="Arial"/>
                <w:sz w:val="16"/>
                <w:szCs w:val="16"/>
                <w:color w:val="auto"/>
              </w:rPr>
              <w:t>Net cash used for financing activities</w:t>
            </w:r>
          </w:p>
        </w:tc>
        <w:tc>
          <w:tcPr>
            <w:tcW w:w="12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(480)</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(700)</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188"/>
        </w:trPr>
        <w:tc>
          <w:tcPr>
            <w:tcW w:w="554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(decrease) increase in cash and cash equivalents</w:t>
            </w:r>
          </w:p>
        </w:tc>
        <w:tc>
          <w:tcPr>
            <w:tcW w:w="12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5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2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231</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199</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79"/>
        </w:trPr>
        <w:tc>
          <w:tcPr>
            <w:tcW w:w="5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and cash equivalents at end of period</w:t>
            </w:r>
          </w:p>
        </w:tc>
        <w:tc>
          <w:tcPr>
            <w:tcW w:w="12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70"/>
              <w:spacing w:after="0" w:line="180" w:lineRule="exact"/>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192</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231</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
        </w:trPr>
        <w:tc>
          <w:tcPr>
            <w:tcW w:w="55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Supplemental disclosures:</w:t>
            </w:r>
          </w:p>
        </w:tc>
        <w:tc>
          <w:tcPr>
            <w:tcW w:w="1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5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Interest paid</w:t>
            </w:r>
          </w:p>
        </w:tc>
        <w:tc>
          <w:tcPr>
            <w:tcW w:w="2080" w:type="dxa"/>
            <w:vAlign w:val="bottom"/>
            <w:gridSpan w:val="2"/>
            <w:shd w:val="clear" w:color="auto" w:fill="CFF0FC"/>
          </w:tcPr>
          <w:p>
            <w:pPr>
              <w:jc w:val="right"/>
              <w:ind w:right="67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125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8"/>
        </w:trPr>
        <w:tc>
          <w:tcPr>
            <w:tcW w:w="5540" w:type="dxa"/>
            <w:vAlign w:val="bottom"/>
          </w:tcPr>
          <w:p>
            <w:pPr>
              <w:ind w:left="420"/>
              <w:spacing w:after="0"/>
              <w:rPr>
                <w:sz w:val="20"/>
                <w:szCs w:val="20"/>
                <w:color w:val="auto"/>
              </w:rPr>
            </w:pPr>
            <w:r>
              <w:rPr>
                <w:rFonts w:ascii="Arial" w:cs="Arial" w:eastAsia="Arial" w:hAnsi="Arial"/>
                <w:sz w:val="16"/>
                <w:szCs w:val="16"/>
                <w:color w:val="auto"/>
              </w:rPr>
              <w:t>Income taxes paid</w:t>
            </w:r>
          </w:p>
        </w:tc>
        <w:tc>
          <w:tcPr>
            <w:tcW w:w="2080" w:type="dxa"/>
            <w:vAlign w:val="bottom"/>
            <w:gridSpan w:val="2"/>
          </w:tcPr>
          <w:p>
            <w:pPr>
              <w:jc w:val="right"/>
              <w:ind w:right="670"/>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42"/>
              <w:spacing w:after="0"/>
              <w:rPr>
                <w:sz w:val="20"/>
                <w:szCs w:val="20"/>
                <w:color w:val="auto"/>
              </w:rPr>
            </w:pPr>
            <w:r>
              <w:rPr>
                <w:rFonts w:ascii="Arial" w:cs="Arial" w:eastAsia="Arial" w:hAnsi="Arial"/>
                <w:sz w:val="16"/>
                <w:szCs w:val="16"/>
                <w:b w:val="1"/>
                <w:bCs w:val="1"/>
                <w:color w:val="auto"/>
              </w:rPr>
              <w:t>89</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4"/>
              </w:rPr>
              <w:t>Non-</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7"/>
              </w:rPr>
              <w:t>voting</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460"/>
              <w:spacing w:after="0" w:line="141"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0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5"/>
              </w:rPr>
              <w:t>Common</w:t>
            </w:r>
          </w:p>
        </w:tc>
        <w:tc>
          <w:tcPr>
            <w:tcW w:w="120" w:type="dxa"/>
            <w:vAlign w:val="bottom"/>
          </w:tcPr>
          <w:p>
            <w:pPr>
              <w:spacing w:after="0"/>
              <w:rPr>
                <w:sz w:val="12"/>
                <w:szCs w:val="12"/>
                <w:color w:val="auto"/>
              </w:rPr>
            </w:pPr>
          </w:p>
        </w:tc>
        <w:tc>
          <w:tcPr>
            <w:tcW w:w="880" w:type="dxa"/>
            <w:vAlign w:val="bottom"/>
          </w:tcPr>
          <w:p>
            <w:pPr>
              <w:ind w:left="40"/>
              <w:spacing w:after="0" w:line="141" w:lineRule="exact"/>
              <w:rPr>
                <w:sz w:val="20"/>
                <w:szCs w:val="20"/>
                <w:color w:val="auto"/>
              </w:rPr>
            </w:pPr>
            <w:r>
              <w:rPr>
                <w:rFonts w:ascii="Arial" w:cs="Arial" w:eastAsia="Arial" w:hAnsi="Arial"/>
                <w:sz w:val="13"/>
                <w:szCs w:val="13"/>
                <w:b w:val="1"/>
                <w:bCs w:val="1"/>
                <w:color w:val="auto"/>
              </w:rPr>
              <w:t>Preferred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ind w:left="60"/>
              <w:spacing w:after="0" w:line="141" w:lineRule="exact"/>
              <w:rPr>
                <w:sz w:val="20"/>
                <w:szCs w:val="20"/>
                <w:color w:val="auto"/>
              </w:rPr>
            </w:pPr>
            <w:r>
              <w:rPr>
                <w:rFonts w:ascii="Arial" w:cs="Arial" w:eastAsia="Arial" w:hAnsi="Arial"/>
                <w:sz w:val="13"/>
                <w:szCs w:val="13"/>
                <w:b w:val="1"/>
                <w:bCs w:val="1"/>
                <w:color w:val="auto"/>
              </w:rPr>
              <w:t>Paid-in</w:t>
            </w:r>
          </w:p>
        </w:tc>
        <w:tc>
          <w:tcPr>
            <w:tcW w:w="1160" w:type="dxa"/>
            <w:vAlign w:val="bottom"/>
            <w:gridSpan w:val="3"/>
          </w:tcPr>
          <w:p>
            <w:pPr>
              <w:jc w:val="center"/>
              <w:ind w:right="26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240" w:type="dxa"/>
            <w:vAlign w:val="bottom"/>
            <w:gridSpan w:val="3"/>
          </w:tcPr>
          <w:p>
            <w:pPr>
              <w:ind w:left="20"/>
              <w:spacing w:after="0" w:line="141" w:lineRule="exact"/>
              <w:rPr>
                <w:sz w:val="20"/>
                <w:szCs w:val="20"/>
                <w:color w:val="auto"/>
              </w:rPr>
            </w:pPr>
            <w:r>
              <w:rPr>
                <w:rFonts w:ascii="Arial" w:cs="Arial" w:eastAsia="Arial" w:hAnsi="Arial"/>
                <w:sz w:val="13"/>
                <w:szCs w:val="13"/>
                <w:b w:val="1"/>
                <w:bCs w:val="1"/>
                <w:color w:val="auto"/>
              </w:rPr>
              <w:t>Comprehensive</w:t>
            </w:r>
          </w:p>
        </w:tc>
        <w:tc>
          <w:tcPr>
            <w:tcW w:w="104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720" w:type="dxa"/>
            <w:vAlign w:val="bottom"/>
          </w:tcPr>
          <w:p>
            <w:pPr>
              <w:jc w:val="right"/>
              <w:ind w:right="27"/>
              <w:spacing w:after="0"/>
              <w:rPr>
                <w:sz w:val="20"/>
                <w:szCs w:val="20"/>
                <w:color w:val="auto"/>
              </w:rPr>
            </w:pPr>
            <w:r>
              <w:rPr>
                <w:rFonts w:ascii="Arial" w:cs="Arial" w:eastAsia="Arial" w:hAnsi="Arial"/>
                <w:sz w:val="13"/>
                <w:szCs w:val="13"/>
                <w:b w:val="1"/>
                <w:bCs w:val="1"/>
                <w:color w:val="auto"/>
              </w:rPr>
              <w:t>Stock</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Stock</w:t>
            </w:r>
          </w:p>
        </w:tc>
        <w:tc>
          <w:tcPr>
            <w:tcW w:w="1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3"/>
                <w:szCs w:val="13"/>
                <w:b w:val="1"/>
                <w:bCs w:val="1"/>
                <w:color w:val="auto"/>
              </w:rPr>
              <w:t>Capital</w:t>
            </w:r>
          </w:p>
        </w:tc>
        <w:tc>
          <w:tcPr>
            <w:tcW w:w="18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5"/>
              </w:rPr>
              <w:t>Deficit</w:t>
            </w:r>
          </w:p>
        </w:tc>
        <w:tc>
          <w:tcPr>
            <w:tcW w:w="1240" w:type="dxa"/>
            <w:vAlign w:val="bottom"/>
            <w:gridSpan w:val="3"/>
          </w:tcPr>
          <w:p>
            <w:pPr>
              <w:ind w:left="20"/>
              <w:spacing w:after="0"/>
              <w:rPr>
                <w:sz w:val="20"/>
                <w:szCs w:val="20"/>
                <w:color w:val="auto"/>
              </w:rPr>
            </w:pPr>
            <w:r>
              <w:rPr>
                <w:rFonts w:ascii="Arial" w:cs="Arial" w:eastAsia="Arial" w:hAnsi="Arial"/>
                <w:sz w:val="13"/>
                <w:szCs w:val="13"/>
                <w:b w:val="1"/>
                <w:bCs w:val="1"/>
                <w:color w:val="auto"/>
              </w:rPr>
              <w:t>Loss, net of tax</w:t>
            </w:r>
          </w:p>
        </w:tc>
        <w:tc>
          <w:tcPr>
            <w:tcW w:w="180" w:type="dxa"/>
            <w:vAlign w:val="bottom"/>
          </w:tcPr>
          <w:p>
            <w:pPr>
              <w:spacing w:after="0"/>
              <w:rPr>
                <w:sz w:val="13"/>
                <w:szCs w:val="13"/>
                <w:color w:val="auto"/>
              </w:rPr>
            </w:pPr>
          </w:p>
        </w:tc>
        <w:tc>
          <w:tcPr>
            <w:tcW w:w="860" w:type="dxa"/>
            <w:vAlign w:val="bottom"/>
          </w:tcPr>
          <w:p>
            <w:pPr>
              <w:jc w:val="right"/>
              <w:ind w:right="322"/>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2016</w:t>
            </w:r>
          </w:p>
        </w:tc>
        <w:tc>
          <w:tcPr>
            <w:tcW w:w="720" w:type="dxa"/>
            <w:vAlign w:val="bottom"/>
            <w:shd w:val="clear" w:color="auto" w:fill="CFF0FC"/>
          </w:tcPr>
          <w:p>
            <w:pPr>
              <w:jc w:val="right"/>
              <w:ind w:right="547"/>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1,728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188"/>
        </w:trPr>
        <w:tc>
          <w:tcPr>
            <w:tcW w:w="340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7"/>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and OPEB liability</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adjustment</w:t>
            </w: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77" w:lineRule="exact"/>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ind w:left="600"/>
              <w:spacing w:after="0" w:line="177"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ind w:left="600"/>
              <w:spacing w:after="0" w:line="177"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42"/>
              <w:spacing w:after="0" w:line="177" w:lineRule="exact"/>
              <w:rPr>
                <w:sz w:val="20"/>
                <w:szCs w:val="20"/>
                <w:color w:val="auto"/>
              </w:rPr>
            </w:pPr>
            <w:r>
              <w:rPr>
                <w:rFonts w:ascii="Arial" w:cs="Arial" w:eastAsia="Arial" w:hAnsi="Arial"/>
                <w:sz w:val="16"/>
                <w:szCs w:val="16"/>
                <w:color w:val="auto"/>
              </w:rPr>
              <w:t>26</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62"/>
              <w:spacing w:after="0" w:line="177"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adjustment</w:t>
            </w:r>
          </w:p>
        </w:tc>
        <w:tc>
          <w:tcPr>
            <w:tcW w:w="720" w:type="dxa"/>
            <w:vAlign w:val="bottom"/>
          </w:tcPr>
          <w:p>
            <w:pPr>
              <w:spacing w:after="0"/>
              <w:rPr>
                <w:sz w:val="15"/>
                <w:szCs w:val="15"/>
                <w:color w:val="auto"/>
              </w:rPr>
            </w:pPr>
          </w:p>
        </w:tc>
        <w:tc>
          <w:tcPr>
            <w:tcW w:w="280" w:type="dxa"/>
            <w:vAlign w:val="bottom"/>
          </w:tcPr>
          <w:p>
            <w:pPr>
              <w:jc w:val="right"/>
              <w:ind w:right="42"/>
              <w:spacing w:after="0" w:line="177" w:lineRule="exact"/>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0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tcPr>
          <w:p>
            <w:pPr>
              <w:ind w:left="600"/>
              <w:spacing w:after="0" w:line="177"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80" w:type="dxa"/>
            <w:vAlign w:val="bottom"/>
          </w:tcPr>
          <w:p>
            <w:pPr>
              <w:jc w:val="right"/>
              <w:ind w:right="42"/>
              <w:spacing w:after="0" w:line="177"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62"/>
              <w:spacing w:after="0" w:line="177"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Available-for-sale securities</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3400" w:type="dxa"/>
            <w:vAlign w:val="bottom"/>
          </w:tcPr>
          <w:p>
            <w:pPr>
              <w:ind w:left="200"/>
              <w:spacing w:after="0"/>
              <w:rPr>
                <w:sz w:val="20"/>
                <w:szCs w:val="20"/>
                <w:color w:val="auto"/>
              </w:rPr>
            </w:pPr>
            <w:r>
              <w:rPr>
                <w:rFonts w:ascii="Arial" w:cs="Arial" w:eastAsia="Arial" w:hAnsi="Arial"/>
                <w:sz w:val="16"/>
                <w:szCs w:val="16"/>
                <w:color w:val="auto"/>
              </w:rPr>
              <w:t>Issuance of common stock</w:t>
            </w:r>
          </w:p>
        </w:tc>
        <w:tc>
          <w:tcPr>
            <w:tcW w:w="72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Repurchase of common stock</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88"/>
        </w:trPr>
        <w:tc>
          <w:tcPr>
            <w:tcW w:w="3400" w:type="dxa"/>
            <w:vAlign w:val="bottom"/>
          </w:tcPr>
          <w:p>
            <w:pPr>
              <w:ind w:left="200"/>
              <w:spacing w:after="0"/>
              <w:rPr>
                <w:sz w:val="20"/>
                <w:szCs w:val="20"/>
                <w:color w:val="auto"/>
              </w:rPr>
            </w:pPr>
            <w:r>
              <w:rPr>
                <w:rFonts w:ascii="Arial" w:cs="Arial" w:eastAsia="Arial" w:hAnsi="Arial"/>
                <w:sz w:val="16"/>
                <w:szCs w:val="16"/>
                <w:color w:val="auto"/>
              </w:rPr>
              <w:t>Dividends on common stock</w:t>
            </w:r>
          </w:p>
        </w:tc>
        <w:tc>
          <w:tcPr>
            <w:tcW w:w="72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72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504</w:t>
            </w:r>
          </w:p>
        </w:tc>
        <w:tc>
          <w:tcPr>
            <w:tcW w:w="1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179"/>
        </w:trPr>
        <w:tc>
          <w:tcPr>
            <w:tcW w:w="3400" w:type="dxa"/>
            <w:vAlign w:val="bottom"/>
          </w:tcPr>
          <w:p>
            <w:pPr>
              <w:spacing w:after="0" w:line="180" w:lineRule="exact"/>
              <w:rPr>
                <w:sz w:val="20"/>
                <w:szCs w:val="20"/>
                <w:color w:val="auto"/>
              </w:rPr>
            </w:pPr>
            <w:r>
              <w:rPr>
                <w:rFonts w:ascii="Arial" w:cs="Arial" w:eastAsia="Arial" w:hAnsi="Arial"/>
                <w:sz w:val="16"/>
                <w:szCs w:val="16"/>
                <w:color w:val="auto"/>
              </w:rPr>
              <w:t>Balance at December 31, 2017</w:t>
            </w:r>
          </w:p>
        </w:tc>
        <w:tc>
          <w:tcPr>
            <w:tcW w:w="720" w:type="dxa"/>
            <w:vAlign w:val="bottom"/>
          </w:tcPr>
          <w:p>
            <w:pPr>
              <w:jc w:val="right"/>
              <w:ind w:right="547"/>
              <w:spacing w:after="0" w:line="180"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ind w:right="42"/>
              <w:spacing w:after="0" w:line="180" w:lineRule="exact"/>
              <w:rPr>
                <w:sz w:val="20"/>
                <w:szCs w:val="20"/>
                <w:color w:val="auto"/>
              </w:rPr>
            </w:pPr>
            <w:r>
              <w:rPr>
                <w:rFonts w:ascii="Arial" w:cs="Arial" w:eastAsia="Arial" w:hAnsi="Arial"/>
                <w:sz w:val="16"/>
                <w:szCs w:val="16"/>
                <w:color w:val="auto"/>
              </w:rPr>
              <w:t>1</w:t>
            </w:r>
          </w:p>
        </w:tc>
        <w:tc>
          <w:tcPr>
            <w:tcW w:w="2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020" w:type="dxa"/>
            <w:vAlign w:val="bottom"/>
            <w:gridSpan w:val="2"/>
          </w:tcPr>
          <w:p>
            <w:pPr>
              <w:ind w:left="60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Pr>
          <w:p>
            <w:pPr>
              <w:ind w:left="600"/>
              <w:spacing w:after="0" w:line="180" w:lineRule="exact"/>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7"/>
              <w:spacing w:after="0" w:line="180"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1,758</w:t>
            </w:r>
          </w:p>
        </w:tc>
        <w:tc>
          <w:tcPr>
            <w:tcW w:w="160" w:type="dxa"/>
            <w:vAlign w:val="bottom"/>
          </w:tcPr>
          <w:p>
            <w:pPr>
              <w:spacing w:after="0"/>
              <w:rPr>
                <w:sz w:val="15"/>
                <w:szCs w:val="15"/>
                <w:color w:val="auto"/>
              </w:rPr>
            </w:pPr>
          </w:p>
        </w:tc>
        <w:tc>
          <w:tcPr>
            <w:tcW w:w="180" w:type="dxa"/>
            <w:vAlign w:val="bottom"/>
          </w:tcPr>
          <w:p>
            <w:pPr>
              <w:jc w:val="right"/>
              <w:ind w:right="5"/>
              <w:spacing w:after="0" w:line="180"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(1,055)</w:t>
            </w:r>
          </w:p>
        </w:tc>
        <w:tc>
          <w:tcPr>
            <w:tcW w:w="1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(15)</w:t>
            </w:r>
          </w:p>
        </w:tc>
        <w:tc>
          <w:tcPr>
            <w:tcW w:w="160" w:type="dxa"/>
            <w:vAlign w:val="bottom"/>
          </w:tcPr>
          <w:p>
            <w:pPr>
              <w:spacing w:after="0"/>
              <w:rPr>
                <w:sz w:val="15"/>
                <w:szCs w:val="15"/>
                <w:color w:val="auto"/>
              </w:rPr>
            </w:pPr>
          </w:p>
        </w:tc>
        <w:tc>
          <w:tcPr>
            <w:tcW w:w="18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80" w:lineRule="exact"/>
              <w:rPr>
                <w:sz w:val="20"/>
                <w:szCs w:val="20"/>
                <w:color w:val="auto"/>
              </w:rPr>
            </w:pPr>
            <w:r>
              <w:rPr>
                <w:rFonts w:ascii="Arial" w:cs="Arial" w:eastAsia="Arial" w:hAnsi="Arial"/>
                <w:sz w:val="16"/>
                <w:szCs w:val="16"/>
                <w:color w:val="auto"/>
              </w:rPr>
              <w:t>689</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Pension and OPEB liability</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adjustment</w:t>
            </w:r>
          </w:p>
        </w:tc>
        <w:tc>
          <w:tcPr>
            <w:tcW w:w="720" w:type="dxa"/>
            <w:vAlign w:val="bottom"/>
          </w:tcPr>
          <w:p>
            <w:pPr>
              <w:spacing w:after="0"/>
              <w:rPr>
                <w:sz w:val="15"/>
                <w:szCs w:val="15"/>
                <w:color w:val="auto"/>
              </w:rPr>
            </w:pPr>
          </w:p>
        </w:tc>
        <w:tc>
          <w:tcPr>
            <w:tcW w:w="280" w:type="dxa"/>
            <w:vAlign w:val="bottom"/>
          </w:tcPr>
          <w:p>
            <w:pPr>
              <w:jc w:val="right"/>
              <w:ind w:right="42"/>
              <w:spacing w:after="0" w:line="177" w:lineRule="exact"/>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0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tcPr>
          <w:p>
            <w:pPr>
              <w:ind w:left="600"/>
              <w:spacing w:after="0" w:line="177"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80" w:type="dxa"/>
            <w:vAlign w:val="bottom"/>
          </w:tcPr>
          <w:p>
            <w:pPr>
              <w:jc w:val="right"/>
              <w:ind w:right="42"/>
              <w:spacing w:after="0" w:line="177" w:lineRule="exact"/>
              <w:rPr>
                <w:sz w:val="20"/>
                <w:szCs w:val="20"/>
                <w:color w:val="auto"/>
              </w:rPr>
            </w:pPr>
            <w:r>
              <w:rPr>
                <w:rFonts w:ascii="Arial" w:cs="Arial" w:eastAsia="Arial" w:hAnsi="Arial"/>
                <w:sz w:val="16"/>
                <w:szCs w:val="16"/>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62"/>
              <w:spacing w:after="0" w:line="177"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adjustment</w:t>
            </w: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42"/>
              <w:spacing w:after="0" w:line="177" w:lineRule="exact"/>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ind w:left="600"/>
              <w:spacing w:after="0" w:line="177"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880" w:type="dxa"/>
            <w:vAlign w:val="bottom"/>
            <w:shd w:val="clear" w:color="auto" w:fill="CFF0FC"/>
          </w:tcPr>
          <w:p>
            <w:pPr>
              <w:ind w:left="600"/>
              <w:spacing w:after="0" w:line="177"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77" w:lineRule="exact"/>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
              <w:spacing w:after="0" w:line="177"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and interest rate swaps</w:t>
            </w:r>
          </w:p>
        </w:tc>
        <w:tc>
          <w:tcPr>
            <w:tcW w:w="720" w:type="dxa"/>
            <w:vAlign w:val="bottom"/>
          </w:tcPr>
          <w:p>
            <w:pPr>
              <w:spacing w:after="0"/>
              <w:rPr>
                <w:sz w:val="15"/>
                <w:szCs w:val="15"/>
                <w:color w:val="auto"/>
              </w:rPr>
            </w:pPr>
          </w:p>
        </w:tc>
        <w:tc>
          <w:tcPr>
            <w:tcW w:w="280" w:type="dxa"/>
            <w:vAlign w:val="bottom"/>
          </w:tcPr>
          <w:p>
            <w:pPr>
              <w:jc w:val="right"/>
              <w:ind w:right="42"/>
              <w:spacing w:after="0" w:line="177" w:lineRule="exact"/>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0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tcPr>
          <w:p>
            <w:pPr>
              <w:ind w:left="600"/>
              <w:spacing w:after="0" w:line="177"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880" w:type="dxa"/>
            <w:vAlign w:val="bottom"/>
          </w:tcPr>
          <w:p>
            <w:pPr>
              <w:jc w:val="right"/>
              <w:spacing w:after="0" w:line="177" w:lineRule="exact"/>
              <w:rPr>
                <w:sz w:val="20"/>
                <w:szCs w:val="20"/>
                <w:color w:val="auto"/>
              </w:rPr>
            </w:pPr>
            <w:r>
              <w:rPr>
                <w:rFonts w:ascii="Arial" w:cs="Arial" w:eastAsia="Arial" w:hAnsi="Arial"/>
                <w:sz w:val="16"/>
                <w:szCs w:val="16"/>
                <w:color w:val="auto"/>
              </w:rPr>
              <w:t>(7)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
              <w:spacing w:after="0" w:line="177"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8"/>
        </w:trPr>
        <w:tc>
          <w:tcPr>
            <w:tcW w:w="340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72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(609)</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on common stock</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Impact of adopting accounting</w:t>
            </w: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standards</w:t>
            </w:r>
          </w:p>
        </w:tc>
        <w:tc>
          <w:tcPr>
            <w:tcW w:w="720" w:type="dxa"/>
            <w:vAlign w:val="bottom"/>
          </w:tcPr>
          <w:p>
            <w:pPr>
              <w:spacing w:after="0"/>
              <w:rPr>
                <w:sz w:val="15"/>
                <w:szCs w:val="15"/>
                <w:color w:val="auto"/>
              </w:rPr>
            </w:pPr>
          </w:p>
        </w:tc>
        <w:tc>
          <w:tcPr>
            <w:tcW w:w="280" w:type="dxa"/>
            <w:vAlign w:val="bottom"/>
          </w:tcPr>
          <w:p>
            <w:pPr>
              <w:jc w:val="right"/>
              <w:ind w:right="42"/>
              <w:spacing w:after="0" w:line="177" w:lineRule="exact"/>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ind w:left="600"/>
              <w:spacing w:after="0" w:line="177"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880" w:type="dxa"/>
            <w:vAlign w:val="bottom"/>
          </w:tcPr>
          <w:p>
            <w:pPr>
              <w:ind w:left="600"/>
              <w:spacing w:after="0" w:line="177"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820" w:type="dxa"/>
            <w:vAlign w:val="bottom"/>
          </w:tcPr>
          <w:p>
            <w:pPr>
              <w:jc w:val="right"/>
              <w:ind w:right="42"/>
              <w:spacing w:after="0" w:line="177" w:lineRule="exact"/>
              <w:rPr>
                <w:sz w:val="20"/>
                <w:szCs w:val="20"/>
                <w:color w:val="auto"/>
              </w:rPr>
            </w:pPr>
            <w:r>
              <w:rPr>
                <w:rFonts w:ascii="Arial" w:cs="Arial" w:eastAsia="Arial" w:hAnsi="Arial"/>
                <w:sz w:val="16"/>
                <w:szCs w:val="16"/>
                <w:color w:val="auto"/>
              </w:rPr>
              <w:t>5</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280"/>
              <w:spacing w:after="0" w:line="177"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860" w:type="dxa"/>
            <w:vAlign w:val="bottom"/>
          </w:tcPr>
          <w:p>
            <w:pPr>
              <w:jc w:val="right"/>
              <w:ind w:right="62"/>
              <w:spacing w:after="0" w:line="177"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720" w:type="dxa"/>
            <w:vAlign w:val="bottom"/>
            <w:tcBorders>
              <w:bottom w:val="single" w:sz="8" w:color="auto"/>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7"/>
              </w:rPr>
              <w:t>—</w:t>
            </w:r>
          </w:p>
        </w:tc>
        <w:tc>
          <w:tcPr>
            <w:tcW w:w="1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639</w:t>
            </w:r>
          </w:p>
        </w:tc>
        <w:tc>
          <w:tcPr>
            <w:tcW w:w="1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639</w:t>
            </w:r>
          </w:p>
        </w:tc>
        <w:tc>
          <w:tcPr>
            <w:tcW w:w="0" w:type="dxa"/>
            <w:vAlign w:val="bottom"/>
          </w:tcPr>
          <w:p>
            <w:pPr>
              <w:spacing w:after="0"/>
              <w:rPr>
                <w:sz w:val="1"/>
                <w:szCs w:val="1"/>
                <w:color w:val="auto"/>
              </w:rPr>
            </w:pPr>
          </w:p>
        </w:tc>
      </w:tr>
      <w:tr>
        <w:trPr>
          <w:trHeight w:val="179"/>
        </w:trPr>
        <w:tc>
          <w:tcPr>
            <w:tcW w:w="3400" w:type="dxa"/>
            <w:vAlign w:val="bottom"/>
          </w:tcPr>
          <w:p>
            <w:pPr>
              <w:spacing w:after="0" w:line="180" w:lineRule="exact"/>
              <w:rPr>
                <w:sz w:val="20"/>
                <w:szCs w:val="20"/>
                <w:color w:val="auto"/>
              </w:rPr>
            </w:pPr>
            <w:r>
              <w:rPr>
                <w:rFonts w:ascii="Arial" w:cs="Arial" w:eastAsia="Arial" w:hAnsi="Arial"/>
                <w:sz w:val="16"/>
                <w:szCs w:val="16"/>
                <w:color w:val="auto"/>
              </w:rPr>
              <w:t>Balance at December 31, 2018</w:t>
            </w:r>
          </w:p>
        </w:tc>
        <w:tc>
          <w:tcPr>
            <w:tcW w:w="720" w:type="dxa"/>
            <w:vAlign w:val="bottom"/>
          </w:tcPr>
          <w:p>
            <w:pPr>
              <w:jc w:val="right"/>
              <w:ind w:right="547"/>
              <w:spacing w:after="0" w:line="180" w:lineRule="exact"/>
              <w:rPr>
                <w:sz w:val="20"/>
                <w:szCs w:val="20"/>
                <w:color w:val="auto"/>
              </w:rPr>
            </w:pPr>
            <w:r>
              <w:rPr>
                <w:rFonts w:ascii="Arial" w:cs="Arial" w:eastAsia="Arial" w:hAnsi="Arial"/>
                <w:sz w:val="16"/>
                <w:szCs w:val="16"/>
                <w:color w:val="auto"/>
                <w:w w:val="89"/>
              </w:rPr>
              <w:t>$</w:t>
            </w:r>
          </w:p>
        </w:tc>
        <w:tc>
          <w:tcPr>
            <w:tcW w:w="280" w:type="dxa"/>
            <w:vAlign w:val="bottom"/>
          </w:tcPr>
          <w:p>
            <w:pPr>
              <w:jc w:val="right"/>
              <w:ind w:right="42"/>
              <w:spacing w:after="0" w:line="180" w:lineRule="exact"/>
              <w:rPr>
                <w:sz w:val="20"/>
                <w:szCs w:val="20"/>
                <w:color w:val="auto"/>
              </w:rPr>
            </w:pPr>
            <w:r>
              <w:rPr>
                <w:rFonts w:ascii="Arial" w:cs="Arial" w:eastAsia="Arial" w:hAnsi="Arial"/>
                <w:sz w:val="16"/>
                <w:szCs w:val="16"/>
                <w:color w:val="auto"/>
              </w:rPr>
              <w:t>1</w:t>
            </w:r>
          </w:p>
        </w:tc>
        <w:tc>
          <w:tcPr>
            <w:tcW w:w="2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020" w:type="dxa"/>
            <w:vAlign w:val="bottom"/>
            <w:gridSpan w:val="2"/>
          </w:tcPr>
          <w:p>
            <w:pPr>
              <w:ind w:left="600"/>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line="180" w:lineRule="exact"/>
              <w:rPr>
                <w:sz w:val="20"/>
                <w:szCs w:val="20"/>
                <w:color w:val="auto"/>
              </w:rPr>
            </w:pPr>
            <w:r>
              <w:rPr>
                <w:rFonts w:ascii="Arial" w:cs="Arial" w:eastAsia="Arial" w:hAnsi="Arial"/>
                <w:sz w:val="16"/>
                <w:szCs w:val="16"/>
                <w:color w:val="auto"/>
                <w:w w:val="89"/>
              </w:rPr>
              <w:t>$</w:t>
            </w:r>
          </w:p>
        </w:tc>
        <w:tc>
          <w:tcPr>
            <w:tcW w:w="880" w:type="dxa"/>
            <w:vAlign w:val="bottom"/>
          </w:tcPr>
          <w:p>
            <w:pPr>
              <w:ind w:left="600"/>
              <w:spacing w:after="0" w:line="180" w:lineRule="exact"/>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7"/>
              <w:spacing w:after="0" w:line="180" w:lineRule="exact"/>
              <w:rPr>
                <w:sz w:val="20"/>
                <w:szCs w:val="20"/>
                <w:color w:val="auto"/>
              </w:rPr>
            </w:pPr>
            <w:r>
              <w:rPr>
                <w:rFonts w:ascii="Arial" w:cs="Arial" w:eastAsia="Arial" w:hAnsi="Arial"/>
                <w:sz w:val="16"/>
                <w:szCs w:val="16"/>
                <w:color w:val="auto"/>
              </w:rPr>
              <w:t>$</w:t>
            </w:r>
          </w:p>
        </w:tc>
        <w:tc>
          <w:tcPr>
            <w:tcW w:w="8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1,788</w:t>
            </w:r>
          </w:p>
        </w:tc>
        <w:tc>
          <w:tcPr>
            <w:tcW w:w="160" w:type="dxa"/>
            <w:vAlign w:val="bottom"/>
          </w:tcPr>
          <w:p>
            <w:pPr>
              <w:spacing w:after="0"/>
              <w:rPr>
                <w:sz w:val="15"/>
                <w:szCs w:val="15"/>
                <w:color w:val="auto"/>
              </w:rPr>
            </w:pPr>
          </w:p>
        </w:tc>
        <w:tc>
          <w:tcPr>
            <w:tcW w:w="180" w:type="dxa"/>
            <w:vAlign w:val="bottom"/>
          </w:tcPr>
          <w:p>
            <w:pPr>
              <w:jc w:val="right"/>
              <w:ind w:right="5"/>
              <w:spacing w:after="0" w:line="180"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auto"/>
              </w:rPr>
              <w:t>(1,100)</w:t>
            </w:r>
          </w:p>
        </w:tc>
        <w:tc>
          <w:tcPr>
            <w:tcW w:w="160" w:type="dxa"/>
            <w:vAlign w:val="bottom"/>
          </w:tcPr>
          <w:p>
            <w:pPr>
              <w:spacing w:after="0"/>
              <w:rPr>
                <w:sz w:val="15"/>
                <w:szCs w:val="15"/>
                <w:color w:val="auto"/>
              </w:rPr>
            </w:pPr>
          </w:p>
        </w:tc>
        <w:tc>
          <w:tcPr>
            <w:tcW w:w="20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0" w:lineRule="exact"/>
              <w:rPr>
                <w:sz w:val="20"/>
                <w:szCs w:val="20"/>
                <w:color w:val="auto"/>
              </w:rPr>
            </w:pPr>
            <w:r>
              <w:rPr>
                <w:rFonts w:ascii="Arial" w:cs="Arial" w:eastAsia="Arial" w:hAnsi="Arial"/>
                <w:sz w:val="16"/>
                <w:szCs w:val="16"/>
                <w:color w:val="auto"/>
              </w:rPr>
              <w:t>(30)</w:t>
            </w:r>
          </w:p>
        </w:tc>
        <w:tc>
          <w:tcPr>
            <w:tcW w:w="160" w:type="dxa"/>
            <w:vAlign w:val="bottom"/>
          </w:tcPr>
          <w:p>
            <w:pPr>
              <w:spacing w:after="0"/>
              <w:rPr>
                <w:sz w:val="15"/>
                <w:szCs w:val="15"/>
                <w:color w:val="auto"/>
              </w:rPr>
            </w:pPr>
          </w:p>
        </w:tc>
        <w:tc>
          <w:tcPr>
            <w:tcW w:w="180" w:type="dxa"/>
            <w:vAlign w:val="bottom"/>
          </w:tcPr>
          <w:p>
            <w:pPr>
              <w:spacing w:after="0" w:line="180"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line="180" w:lineRule="exact"/>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Pension and OPEB liability</w:t>
            </w:r>
          </w:p>
        </w:tc>
        <w:tc>
          <w:tcPr>
            <w:tcW w:w="720" w:type="dxa"/>
            <w:vAlign w:val="bottom"/>
          </w:tcPr>
          <w:p>
            <w:pPr>
              <w:spacing w:after="0"/>
              <w:rPr>
                <w:sz w:val="16"/>
                <w:szCs w:val="16"/>
                <w:color w:val="auto"/>
              </w:rPr>
            </w:pPr>
          </w:p>
        </w:tc>
        <w:tc>
          <w:tcPr>
            <w:tcW w:w="2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8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6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adjustment</w:t>
            </w:r>
          </w:p>
        </w:tc>
        <w:tc>
          <w:tcPr>
            <w:tcW w:w="7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w:t>
            </w:r>
          </w:p>
        </w:tc>
        <w:tc>
          <w:tcPr>
            <w:tcW w:w="720" w:type="dxa"/>
            <w:vAlign w:val="bottom"/>
            <w:shd w:val="clear" w:color="auto" w:fill="CFF0FC"/>
          </w:tcPr>
          <w:p>
            <w:pPr>
              <w:spacing w:after="0"/>
              <w:rPr>
                <w:sz w:val="16"/>
                <w:szCs w:val="16"/>
                <w:color w:val="auto"/>
              </w:rPr>
            </w:pPr>
          </w:p>
        </w:tc>
        <w:tc>
          <w:tcPr>
            <w:tcW w:w="280" w:type="dxa"/>
            <w:vAlign w:val="bottom"/>
            <w:vMerge w:val="restart"/>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vMerge w:val="restart"/>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98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77"/>
        </w:trPr>
        <w:tc>
          <w:tcPr>
            <w:tcW w:w="3400" w:type="dxa"/>
            <w:vAlign w:val="bottom"/>
            <w:shd w:val="clear" w:color="auto" w:fill="CFF0FC"/>
          </w:tcPr>
          <w:p>
            <w:pPr>
              <w:ind w:left="340"/>
              <w:spacing w:after="0" w:line="177" w:lineRule="exact"/>
              <w:rPr>
                <w:sz w:val="20"/>
                <w:szCs w:val="20"/>
                <w:color w:val="auto"/>
              </w:rPr>
            </w:pPr>
            <w:r>
              <w:rPr>
                <w:rFonts w:ascii="Arial" w:cs="Arial" w:eastAsia="Arial" w:hAnsi="Arial"/>
                <w:sz w:val="16"/>
                <w:szCs w:val="16"/>
                <w:color w:val="auto"/>
              </w:rPr>
              <w:t>adjustment</w:t>
            </w:r>
          </w:p>
        </w:tc>
        <w:tc>
          <w:tcPr>
            <w:tcW w:w="720" w:type="dxa"/>
            <w:vAlign w:val="bottom"/>
            <w:shd w:val="clear" w:color="auto" w:fill="CFF0FC"/>
          </w:tcPr>
          <w:p>
            <w:pPr>
              <w:spacing w:after="0"/>
              <w:rPr>
                <w:sz w:val="15"/>
                <w:szCs w:val="15"/>
                <w:color w:val="auto"/>
              </w:rPr>
            </w:pPr>
          </w:p>
        </w:tc>
        <w:tc>
          <w:tcPr>
            <w:tcW w:w="2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gridSpan w:val="2"/>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gridSpan w:val="2"/>
            <w:vMerge w:val="continue"/>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720" w:type="dxa"/>
            <w:vAlign w:val="bottom"/>
          </w:tcPr>
          <w:p>
            <w:pPr>
              <w:spacing w:after="0"/>
              <w:rPr>
                <w:sz w:val="16"/>
                <w:szCs w:val="16"/>
                <w:color w:val="auto"/>
              </w:rPr>
            </w:pPr>
          </w:p>
        </w:tc>
        <w:tc>
          <w:tcPr>
            <w:tcW w:w="2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8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and interest rate swaps</w:t>
            </w:r>
          </w:p>
        </w:tc>
        <w:tc>
          <w:tcPr>
            <w:tcW w:w="7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Issuance of common stock</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8"/>
        </w:trPr>
        <w:tc>
          <w:tcPr>
            <w:tcW w:w="3400" w:type="dxa"/>
            <w:vAlign w:val="bottom"/>
          </w:tcPr>
          <w:p>
            <w:pPr>
              <w:ind w:left="200"/>
              <w:spacing w:after="0"/>
              <w:rPr>
                <w:sz w:val="20"/>
                <w:szCs w:val="20"/>
                <w:color w:val="auto"/>
              </w:rPr>
            </w:pPr>
            <w:r>
              <w:rPr>
                <w:rFonts w:ascii="Arial" w:cs="Arial" w:eastAsia="Arial" w:hAnsi="Arial"/>
                <w:sz w:val="16"/>
                <w:szCs w:val="16"/>
                <w:color w:val="auto"/>
              </w:rPr>
              <w:t>Repurchase of common stock</w:t>
            </w:r>
          </w:p>
        </w:tc>
        <w:tc>
          <w:tcPr>
            <w:tcW w:w="72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80" w:type="dxa"/>
            <w:vAlign w:val="bottom"/>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(393)</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b w:val="1"/>
                <w:bCs w:val="1"/>
                <w:color w:val="auto"/>
              </w:rPr>
              <w:t>(393)</w:t>
            </w: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on common stock</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(73)</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2"/>
              <w:spacing w:after="0"/>
              <w:rPr>
                <w:sz w:val="20"/>
                <w:szCs w:val="20"/>
                <w:color w:val="auto"/>
              </w:rPr>
            </w:pPr>
            <w:r>
              <w:rPr>
                <w:rFonts w:ascii="Arial" w:cs="Arial" w:eastAsia="Arial" w:hAnsi="Arial"/>
                <w:sz w:val="16"/>
                <w:szCs w:val="16"/>
                <w:b w:val="1"/>
                <w:bCs w:val="1"/>
                <w:color w:val="auto"/>
              </w:rPr>
              <w:t>(73)</w:t>
            </w:r>
          </w:p>
        </w:tc>
        <w:tc>
          <w:tcPr>
            <w:tcW w:w="0" w:type="dxa"/>
            <w:vAlign w:val="bottom"/>
          </w:tcPr>
          <w:p>
            <w:pPr>
              <w:spacing w:after="0"/>
              <w:rPr>
                <w:sz w:val="1"/>
                <w:szCs w:val="1"/>
                <w:color w:val="auto"/>
              </w:rPr>
            </w:pPr>
          </w:p>
        </w:tc>
      </w:tr>
      <w:tr>
        <w:trPr>
          <w:trHeight w:val="187"/>
        </w:trPr>
        <w:tc>
          <w:tcPr>
            <w:tcW w:w="3400" w:type="dxa"/>
            <w:vAlign w:val="bottom"/>
          </w:tcPr>
          <w:p>
            <w:pPr>
              <w:ind w:left="200"/>
              <w:spacing w:after="0"/>
              <w:rPr>
                <w:sz w:val="20"/>
                <w:szCs w:val="20"/>
                <w:color w:val="auto"/>
              </w:rPr>
            </w:pPr>
            <w:r>
              <w:rPr>
                <w:rFonts w:ascii="Arial" w:cs="Arial" w:eastAsia="Arial" w:hAnsi="Arial"/>
                <w:sz w:val="16"/>
                <w:szCs w:val="16"/>
                <w:color w:val="auto"/>
              </w:rPr>
              <w:t>Impact of adopting accounting</w:t>
            </w:r>
          </w:p>
        </w:tc>
        <w:tc>
          <w:tcPr>
            <w:tcW w:w="720" w:type="dxa"/>
            <w:vAlign w:val="bottom"/>
          </w:tcPr>
          <w:p>
            <w:pPr>
              <w:spacing w:after="0"/>
              <w:rPr>
                <w:sz w:val="16"/>
                <w:szCs w:val="16"/>
                <w:color w:val="auto"/>
              </w:rPr>
            </w:pPr>
          </w:p>
        </w:tc>
        <w:tc>
          <w:tcPr>
            <w:tcW w:w="2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restart"/>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6"/>
                <w:szCs w:val="16"/>
                <w:color w:val="auto"/>
              </w:rPr>
            </w:pPr>
          </w:p>
        </w:tc>
        <w:tc>
          <w:tcPr>
            <w:tcW w:w="880" w:type="dxa"/>
            <w:vAlign w:val="bottom"/>
            <w:vMerge w:val="restart"/>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860" w:type="dxa"/>
            <w:vAlign w:val="bottom"/>
            <w:vMerge w:val="restart"/>
          </w:tcPr>
          <w:p>
            <w:pPr>
              <w:jc w:val="right"/>
              <w:ind w:right="2"/>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177"/>
        </w:trPr>
        <w:tc>
          <w:tcPr>
            <w:tcW w:w="3400" w:type="dxa"/>
            <w:vAlign w:val="bottom"/>
          </w:tcPr>
          <w:p>
            <w:pPr>
              <w:ind w:left="340"/>
              <w:spacing w:after="0" w:line="177" w:lineRule="exact"/>
              <w:rPr>
                <w:sz w:val="20"/>
                <w:szCs w:val="20"/>
                <w:color w:val="auto"/>
              </w:rPr>
            </w:pPr>
            <w:r>
              <w:rPr>
                <w:rFonts w:ascii="Arial" w:cs="Arial" w:eastAsia="Arial" w:hAnsi="Arial"/>
                <w:sz w:val="16"/>
                <w:szCs w:val="16"/>
                <w:color w:val="auto"/>
              </w:rPr>
              <w:t>standards</w:t>
            </w:r>
          </w:p>
        </w:tc>
        <w:tc>
          <w:tcPr>
            <w:tcW w:w="72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604</w:t>
            </w:r>
          </w:p>
        </w:tc>
        <w:tc>
          <w:tcPr>
            <w:tcW w:w="1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62"/>
              <w:spacing w:after="0"/>
              <w:rPr>
                <w:sz w:val="20"/>
                <w:szCs w:val="20"/>
                <w:color w:val="auto"/>
              </w:rPr>
            </w:pPr>
            <w:r>
              <w:rPr>
                <w:rFonts w:ascii="Arial" w:cs="Arial" w:eastAsia="Arial" w:hAnsi="Arial"/>
                <w:sz w:val="16"/>
                <w:szCs w:val="16"/>
                <w:b w:val="1"/>
                <w:bCs w:val="1"/>
                <w:color w:val="auto"/>
              </w:rPr>
              <w:t>604</w:t>
            </w:r>
          </w:p>
        </w:tc>
        <w:tc>
          <w:tcPr>
            <w:tcW w:w="0" w:type="dxa"/>
            <w:vAlign w:val="bottom"/>
          </w:tcPr>
          <w:p>
            <w:pPr>
              <w:spacing w:after="0"/>
              <w:rPr>
                <w:sz w:val="1"/>
                <w:szCs w:val="1"/>
                <w:color w:val="auto"/>
              </w:rPr>
            </w:pPr>
          </w:p>
        </w:tc>
      </w:tr>
      <w:tr>
        <w:trPr>
          <w:trHeight w:val="179"/>
        </w:trPr>
        <w:tc>
          <w:tcPr>
            <w:tcW w:w="3400" w:type="dxa"/>
            <w:vAlign w:val="bottom"/>
          </w:tcPr>
          <w:p>
            <w:pPr>
              <w:spacing w:after="0" w:line="180" w:lineRule="exact"/>
              <w:rPr>
                <w:sz w:val="20"/>
                <w:szCs w:val="20"/>
                <w:color w:val="auto"/>
              </w:rPr>
            </w:pPr>
            <w:r>
              <w:rPr>
                <w:rFonts w:ascii="Arial" w:cs="Arial" w:eastAsia="Arial" w:hAnsi="Arial"/>
                <w:sz w:val="16"/>
                <w:szCs w:val="16"/>
                <w:color w:val="auto"/>
              </w:rPr>
              <w:t>Balance at December 31, 2019</w:t>
            </w:r>
          </w:p>
        </w:tc>
        <w:tc>
          <w:tcPr>
            <w:tcW w:w="720" w:type="dxa"/>
            <w:vAlign w:val="bottom"/>
            <w:tcBorders>
              <w:top w:val="single" w:sz="8" w:color="auto"/>
              <w:bottom w:val="single" w:sz="8" w:color="auto"/>
            </w:tcBorders>
          </w:tcPr>
          <w:p>
            <w:pPr>
              <w:jc w:val="right"/>
              <w:ind w:right="547"/>
              <w:spacing w:after="0" w:line="180" w:lineRule="exact"/>
              <w:rPr>
                <w:sz w:val="20"/>
                <w:szCs w:val="20"/>
                <w:color w:val="auto"/>
              </w:rPr>
            </w:pPr>
            <w:r>
              <w:rPr>
                <w:rFonts w:ascii="Arial" w:cs="Arial" w:eastAsia="Arial" w:hAnsi="Arial"/>
                <w:sz w:val="16"/>
                <w:szCs w:val="16"/>
                <w:b w:val="1"/>
                <w:bCs w:val="1"/>
                <w:color w:val="auto"/>
                <w:w w:val="89"/>
              </w:rPr>
              <w:t>$</w:t>
            </w:r>
          </w:p>
        </w:tc>
        <w:tc>
          <w:tcPr>
            <w:tcW w:w="28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ind w:left="600"/>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bottom w:val="single" w:sz="8" w:color="auto"/>
            </w:tcBorders>
          </w:tcPr>
          <w:p>
            <w:pPr>
              <w:ind w:left="600"/>
              <w:spacing w:after="0" w:line="180" w:lineRule="exact"/>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1,802</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5"/>
              <w:spacing w:after="0" w:line="180" w:lineRule="exact"/>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(970)</w:t>
            </w:r>
          </w:p>
        </w:tc>
        <w:tc>
          <w:tcPr>
            <w:tcW w:w="160" w:type="dxa"/>
            <w:vAlign w:val="bottom"/>
          </w:tcPr>
          <w:p>
            <w:pPr>
              <w:spacing w:after="0"/>
              <w:rPr>
                <w:sz w:val="15"/>
                <w:szCs w:val="15"/>
                <w:color w:val="auto"/>
              </w:rPr>
            </w:pPr>
          </w:p>
        </w:tc>
        <w:tc>
          <w:tcPr>
            <w:tcW w:w="20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(52)</w:t>
            </w:r>
          </w:p>
        </w:tc>
        <w:tc>
          <w:tcPr>
            <w:tcW w:w="160" w:type="dxa"/>
            <w:vAlign w:val="bottom"/>
          </w:tcPr>
          <w:p>
            <w:pPr>
              <w:spacing w:after="0"/>
              <w:rPr>
                <w:sz w:val="15"/>
                <w:szCs w:val="15"/>
                <w:color w:val="auto"/>
              </w:rPr>
            </w:pPr>
          </w:p>
        </w:tc>
        <w:tc>
          <w:tcPr>
            <w:tcW w:w="180" w:type="dxa"/>
            <w:vAlign w:val="bottom"/>
            <w:tcBorders>
              <w:top w:val="single" w:sz="8" w:color="auto"/>
              <w:bottom w:val="single" w:sz="8" w:color="auto"/>
            </w:tcBorders>
          </w:tcPr>
          <w:p>
            <w:pPr>
              <w:spacing w:after="0" w:line="180"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ind w:right="62"/>
              <w:spacing w:after="0" w:line="180" w:lineRule="exact"/>
              <w:rPr>
                <w:sz w:val="20"/>
                <w:szCs w:val="20"/>
                <w:color w:val="auto"/>
              </w:rPr>
            </w:pPr>
            <w:r>
              <w:rPr>
                <w:rFonts w:ascii="Arial" w:cs="Arial" w:eastAsia="Arial" w:hAnsi="Arial"/>
                <w:sz w:val="16"/>
                <w:szCs w:val="16"/>
                <w:b w:val="1"/>
                <w:bCs w:val="1"/>
                <w:color w:val="auto"/>
              </w:rPr>
              <w:t>781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OVERVIEW</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Overview</w:t>
      </w:r>
    </w:p>
    <w:p>
      <w:pPr>
        <w:spacing w:after="0" w:line="151" w:lineRule="exact"/>
        <w:rPr>
          <w:sz w:val="20"/>
          <w:szCs w:val="20"/>
          <w:color w:val="auto"/>
        </w:rPr>
      </w:pPr>
    </w:p>
    <w:p>
      <w:pPr>
        <w:ind w:firstLine="531"/>
        <w:spacing w:after="0" w:line="233" w:lineRule="auto"/>
        <w:rPr>
          <w:sz w:val="20"/>
          <w:szCs w:val="20"/>
          <w:color w:val="auto"/>
        </w:rPr>
      </w:pPr>
      <w:r>
        <w:rPr>
          <w:rFonts w:ascii="Arial" w:cs="Arial" w:eastAsia="Arial" w:hAnsi="Arial"/>
          <w:sz w:val="16"/>
          <w:szCs w:val="16"/>
          <w:color w:val="auto"/>
        </w:rPr>
        <w:t>Allison Transmission Holdings, Inc. and its subsidiaries (“Allison,” or the “Company”) design and manufacture vehicle propulsion solutions, including commercial-duty on-highway, off-highway and defense fully-automatic transmissions and electric-hybrid and fully-electric systems.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30" w:lineRule="exact"/>
        <w:rPr>
          <w:sz w:val="20"/>
          <w:szCs w:val="20"/>
          <w:color w:val="auto"/>
        </w:rPr>
      </w:pPr>
    </w:p>
    <w:p>
      <w:pPr>
        <w:jc w:val="both"/>
        <w:ind w:right="20" w:firstLine="531"/>
        <w:spacing w:after="0" w:line="234" w:lineRule="auto"/>
        <w:rPr>
          <w:sz w:val="20"/>
          <w:szCs w:val="20"/>
          <w:color w:val="auto"/>
        </w:rPr>
      </w:pPr>
      <w:r>
        <w:rPr>
          <w:rFonts w:ascii="Arial" w:cs="Arial" w:eastAsia="Arial" w:hAnsi="Arial"/>
          <w:sz w:val="16"/>
          <w:szCs w:val="16"/>
          <w:color w:val="auto"/>
        </w:rPr>
        <w:t>The Company has approximately 3,700 employees. Although approximately 77% of revenues were generated in North America in 2019, the Company has a global presence by serving customers in Europe, Asia, South America and Africa. The Company serves customers through an independent network of approximately 1,500 independent distributor and dealer locations worldwide.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51" w:lineRule="exact"/>
        <w:rPr>
          <w:sz w:val="20"/>
          <w:szCs w:val="20"/>
          <w:color w:val="auto"/>
        </w:rPr>
      </w:pPr>
    </w:p>
    <w:p>
      <w:pPr>
        <w:ind w:right="240" w:firstLine="531"/>
        <w:spacing w:after="0" w:line="233"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a fair statement of the results for the periods presented. The consolidated financial statements herein consist of all wholly-owned domestic and foreign subsidiaries with all significant intercompany transactions eliminated.</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consolidated financial statements present the financial position, results of comprehensive income, cash flows and statements of equity.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1" w:lineRule="exact"/>
        <w:rPr>
          <w:sz w:val="20"/>
          <w:szCs w:val="20"/>
          <w:color w:val="auto"/>
        </w:rPr>
      </w:pPr>
    </w:p>
    <w:p>
      <w:pPr>
        <w:ind w:right="40" w:firstLine="531"/>
        <w:spacing w:after="0" w:line="247"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Segment Reporting</w:t>
      </w:r>
    </w:p>
    <w:p>
      <w:pPr>
        <w:spacing w:after="0" w:line="151" w:lineRule="exact"/>
        <w:rPr>
          <w:sz w:val="20"/>
          <w:szCs w:val="20"/>
          <w:color w:val="auto"/>
        </w:rPr>
      </w:pPr>
    </w:p>
    <w:p>
      <w:pPr>
        <w:ind w:right="360" w:firstLine="531"/>
        <w:spacing w:after="0" w:line="265" w:lineRule="auto"/>
        <w:rPr>
          <w:sz w:val="20"/>
          <w:szCs w:val="20"/>
          <w:color w:val="auto"/>
        </w:rPr>
      </w:pPr>
      <w:r>
        <w:rPr>
          <w:rFonts w:ascii="Arial" w:cs="Arial" w:eastAsia="Arial" w:hAnsi="Arial"/>
          <w:sz w:val="15"/>
          <w:szCs w:val="15"/>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vehicle propulsion solutions.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51" w:lineRule="exact"/>
        <w:rPr>
          <w:sz w:val="20"/>
          <w:szCs w:val="20"/>
          <w:color w:val="auto"/>
        </w:rPr>
      </w:pPr>
    </w:p>
    <w:p>
      <w:pPr>
        <w:ind w:right="20" w:firstLine="531"/>
        <w:spacing w:after="0" w:line="233" w:lineRule="auto"/>
        <w:rPr>
          <w:sz w:val="20"/>
          <w:szCs w:val="20"/>
          <w:color w:val="auto"/>
        </w:rPr>
      </w:pPr>
      <w:r>
        <w:rPr>
          <w:rFonts w:ascii="Arial" w:cs="Arial" w:eastAsia="Arial" w:hAnsi="Arial"/>
          <w:sz w:val="16"/>
          <w:szCs w:val="16"/>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51" w:lineRule="exact"/>
        <w:rPr>
          <w:sz w:val="20"/>
          <w:szCs w:val="20"/>
          <w:color w:val="auto"/>
        </w:rPr>
      </w:pPr>
    </w:p>
    <w:p>
      <w:pPr>
        <w:ind w:right="220" w:firstLine="531"/>
        <w:spacing w:after="0" w:line="255" w:lineRule="auto"/>
        <w:rPr>
          <w:sz w:val="20"/>
          <w:szCs w:val="20"/>
          <w:color w:val="auto"/>
        </w:rPr>
      </w:pPr>
      <w:r>
        <w:rPr>
          <w:rFonts w:ascii="Arial" w:cs="Arial" w:eastAsia="Arial" w:hAnsi="Arial"/>
          <w:sz w:val="15"/>
          <w:szCs w:val="15"/>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Marketable Securities</w:t>
      </w:r>
    </w:p>
    <w:p>
      <w:pPr>
        <w:spacing w:after="0" w:line="151" w:lineRule="exact"/>
        <w:rPr>
          <w:sz w:val="20"/>
          <w:szCs w:val="20"/>
          <w:color w:val="auto"/>
        </w:rPr>
      </w:pPr>
    </w:p>
    <w:p>
      <w:pPr>
        <w:ind w:right="400" w:firstLine="531"/>
        <w:spacing w:after="0" w:line="234" w:lineRule="auto"/>
        <w:rPr>
          <w:sz w:val="20"/>
          <w:szCs w:val="20"/>
          <w:color w:val="auto"/>
        </w:rPr>
      </w:pPr>
      <w:r>
        <w:rPr>
          <w:rFonts w:ascii="Arial" w:cs="Arial" w:eastAsia="Arial" w:hAnsi="Arial"/>
          <w:sz w:val="16"/>
          <w:szCs w:val="16"/>
          <w:color w:val="auto"/>
        </w:rPr>
        <w:t>The Company determines the appropriate classification of all marketable securities as “held-to-maturity,” “available-for-sale” or “trading” at the time of purchase, and re-evaluates such classifications as of each balance sheet date. As of December 31, 2019, and 2018, the Company’s marketable securities were classified as trading.</w:t>
      </w:r>
    </w:p>
    <w:p>
      <w:pPr>
        <w:spacing w:after="0" w:line="131" w:lineRule="exact"/>
        <w:rPr>
          <w:sz w:val="20"/>
          <w:szCs w:val="20"/>
          <w:color w:val="auto"/>
        </w:rPr>
      </w:pPr>
    </w:p>
    <w:p>
      <w:pPr>
        <w:ind w:right="560" w:firstLine="531"/>
        <w:spacing w:after="0" w:line="237" w:lineRule="auto"/>
        <w:rPr>
          <w:sz w:val="20"/>
          <w:szCs w:val="20"/>
          <w:color w:val="auto"/>
        </w:rPr>
      </w:pPr>
      <w:r>
        <w:rPr>
          <w:rFonts w:ascii="Arial" w:cs="Arial" w:eastAsia="Arial" w:hAnsi="Arial"/>
          <w:sz w:val="16"/>
          <w:szCs w:val="16"/>
          <w:color w:val="auto"/>
        </w:rPr>
        <w:t>Trading securities are carried at fair value with the unrealized gain or loss recognized in Other income (expense), net. The fair value of the Company’s investment securities is determined by currently available market prices. See NOTE 7 “Fair Value of Financial Instruments” for more details.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Inventories</w:t>
      </w:r>
    </w:p>
    <w:p>
      <w:pPr>
        <w:spacing w:after="0" w:line="151" w:lineRule="exact"/>
        <w:rPr>
          <w:sz w:val="20"/>
          <w:szCs w:val="20"/>
          <w:color w:val="auto"/>
        </w:rPr>
      </w:pPr>
    </w:p>
    <w:p>
      <w:pPr>
        <w:ind w:right="100" w:firstLine="531"/>
        <w:spacing w:after="0" w:line="234" w:lineRule="auto"/>
        <w:rPr>
          <w:sz w:val="20"/>
          <w:szCs w:val="20"/>
          <w:color w:val="auto"/>
        </w:rPr>
      </w:pPr>
      <w:r>
        <w:rPr>
          <w:rFonts w:ascii="Arial" w:cs="Arial" w:eastAsia="Arial" w:hAnsi="Arial"/>
          <w:sz w:val="16"/>
          <w:szCs w:val="16"/>
          <w:color w:val="auto"/>
        </w:rPr>
        <w:t>Inventories are stated at the lower of cost and net realizable value.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Property, Plant and Equipment</w:t>
      </w:r>
    </w:p>
    <w:p>
      <w:pPr>
        <w:spacing w:after="0" w:line="151" w:lineRule="exact"/>
        <w:rPr>
          <w:sz w:val="20"/>
          <w:szCs w:val="20"/>
          <w:color w:val="auto"/>
        </w:rPr>
      </w:pPr>
    </w:p>
    <w:p>
      <w:pPr>
        <w:ind w:right="120" w:firstLine="531"/>
        <w:spacing w:after="0" w:line="237" w:lineRule="auto"/>
        <w:rPr>
          <w:sz w:val="20"/>
          <w:szCs w:val="20"/>
          <w:color w:val="auto"/>
        </w:rPr>
      </w:pPr>
      <w:r>
        <w:rPr>
          <w:rFonts w:ascii="Arial" w:cs="Arial" w:eastAsia="Arial" w:hAnsi="Arial"/>
          <w:sz w:val="16"/>
          <w:szCs w:val="16"/>
          <w:color w:val="auto"/>
        </w:rPr>
        <w:t>Property, plant and equipment are recorded at cost less accumulated depreciation. Depreciation expense is recorded using the straight-line method over the following estimated lives: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b w:val="1"/>
                <w:bCs w:val="1"/>
                <w:color w:val="auto"/>
                <w:w w:val="98"/>
              </w:rPr>
              <w:t>Range in</w:t>
            </w:r>
          </w:p>
        </w:tc>
      </w:tr>
      <w:tr>
        <w:trPr>
          <w:trHeight w:val="153"/>
        </w:trPr>
        <w:tc>
          <w:tcPr>
            <w:tcW w:w="9400" w:type="dxa"/>
            <w:vAlign w:val="bottom"/>
            <w:tcBorders>
              <w:bottom w:val="single" w:sz="8" w:color="CFF0FC"/>
            </w:tcBorders>
          </w:tcPr>
          <w:p>
            <w:pPr>
              <w:spacing w:after="0"/>
              <w:rPr>
                <w:sz w:val="13"/>
                <w:szCs w:val="13"/>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r>
      <w:tr>
        <w:trPr>
          <w:trHeight w:val="179"/>
        </w:trPr>
        <w:tc>
          <w:tcPr>
            <w:tcW w:w="94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Land improvements</w:t>
            </w:r>
          </w:p>
        </w:tc>
        <w:tc>
          <w:tcPr>
            <w:tcW w:w="2040" w:type="dxa"/>
            <w:vAlign w:val="bottom"/>
            <w:shd w:val="clear" w:color="auto" w:fill="CFF0FC"/>
          </w:tcPr>
          <w:p>
            <w:pPr>
              <w:jc w:val="center"/>
              <w:spacing w:after="0" w:line="180" w:lineRule="exact"/>
              <w:rPr>
                <w:sz w:val="20"/>
                <w:szCs w:val="20"/>
                <w:color w:val="auto"/>
              </w:rPr>
            </w:pPr>
            <w:r>
              <w:rPr>
                <w:rFonts w:ascii="Arial" w:cs="Arial" w:eastAsia="Arial" w:hAnsi="Arial"/>
                <w:sz w:val="16"/>
                <w:szCs w:val="16"/>
                <w:color w:val="auto"/>
                <w:w w:val="98"/>
              </w:rPr>
              <w:t>5 – 30</w:t>
            </w:r>
          </w:p>
        </w:tc>
      </w:tr>
      <w:tr>
        <w:trPr>
          <w:trHeight w:val="188"/>
        </w:trPr>
        <w:tc>
          <w:tcPr>
            <w:tcW w:w="940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2040" w:type="dxa"/>
            <w:vAlign w:val="bottom"/>
          </w:tcPr>
          <w:p>
            <w:pPr>
              <w:jc w:val="center"/>
              <w:spacing w:after="0"/>
              <w:rPr>
                <w:sz w:val="20"/>
                <w:szCs w:val="20"/>
                <w:color w:val="auto"/>
              </w:rPr>
            </w:pPr>
            <w:r>
              <w:rPr>
                <w:rFonts w:ascii="Arial" w:cs="Arial" w:eastAsia="Arial" w:hAnsi="Arial"/>
                <w:sz w:val="16"/>
                <w:szCs w:val="16"/>
                <w:color w:val="auto"/>
                <w:w w:val="97"/>
              </w:rPr>
              <w:t>10 – 40</w:t>
            </w:r>
          </w:p>
        </w:tc>
      </w:tr>
      <w:tr>
        <w:trPr>
          <w:trHeight w:val="188"/>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2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 – 20</w:t>
            </w:r>
          </w:p>
        </w:tc>
      </w:tr>
      <w:tr>
        <w:trPr>
          <w:trHeight w:val="188"/>
        </w:trPr>
        <w:tc>
          <w:tcPr>
            <w:tcW w:w="9400" w:type="dxa"/>
            <w:vAlign w:val="bottom"/>
          </w:tcPr>
          <w:p>
            <w:pPr>
              <w:spacing w:after="0"/>
              <w:rPr>
                <w:sz w:val="20"/>
                <w:szCs w:val="20"/>
                <w:color w:val="auto"/>
              </w:rPr>
            </w:pPr>
            <w:r>
              <w:rPr>
                <w:rFonts w:ascii="Arial" w:cs="Arial" w:eastAsia="Arial" w:hAnsi="Arial"/>
                <w:sz w:val="16"/>
                <w:szCs w:val="16"/>
                <w:color w:val="auto"/>
              </w:rPr>
              <w:t>Software</w:t>
            </w:r>
          </w:p>
        </w:tc>
        <w:tc>
          <w:tcPr>
            <w:tcW w:w="2040" w:type="dxa"/>
            <w:vAlign w:val="bottom"/>
          </w:tcPr>
          <w:p>
            <w:pPr>
              <w:jc w:val="center"/>
              <w:spacing w:after="0"/>
              <w:rPr>
                <w:sz w:val="20"/>
                <w:szCs w:val="20"/>
                <w:color w:val="auto"/>
              </w:rPr>
            </w:pPr>
            <w:r>
              <w:rPr>
                <w:rFonts w:ascii="Arial" w:cs="Arial" w:eastAsia="Arial" w:hAnsi="Arial"/>
                <w:sz w:val="16"/>
                <w:szCs w:val="16"/>
                <w:color w:val="auto"/>
                <w:w w:val="95"/>
              </w:rPr>
              <w:t>2 – 5</w:t>
            </w:r>
          </w:p>
        </w:tc>
      </w:tr>
      <w:tr>
        <w:trPr>
          <w:trHeight w:val="188"/>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Special tooling</w:t>
            </w:r>
          </w:p>
        </w:tc>
        <w:tc>
          <w:tcPr>
            <w:tcW w:w="20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8"/>
              </w:rPr>
              <w:t>2 – 10</w:t>
            </w:r>
          </w:p>
        </w:tc>
      </w:tr>
    </w:tbl>
    <w:p>
      <w:pPr>
        <w:spacing w:after="0" w:line="175" w:lineRule="exact"/>
        <w:rPr>
          <w:sz w:val="20"/>
          <w:szCs w:val="20"/>
          <w:color w:val="auto"/>
        </w:rPr>
      </w:pPr>
    </w:p>
    <w:p>
      <w:pPr>
        <w:ind w:right="160" w:firstLine="531"/>
        <w:spacing w:after="0" w:line="232" w:lineRule="auto"/>
        <w:rPr>
          <w:sz w:val="20"/>
          <w:szCs w:val="20"/>
          <w:color w:val="auto"/>
        </w:rPr>
      </w:pPr>
      <w:r>
        <w:rPr>
          <w:rFonts w:ascii="Arial" w:cs="Arial" w:eastAsia="Arial" w:hAnsi="Arial"/>
          <w:sz w:val="16"/>
          <w:szCs w:val="16"/>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00" w:firstLine="531"/>
        <w:spacing w:after="0" w:line="255" w:lineRule="auto"/>
        <w:rPr>
          <w:sz w:val="20"/>
          <w:szCs w:val="20"/>
          <w:color w:val="auto"/>
        </w:rPr>
      </w:pPr>
      <w:r>
        <w:rPr>
          <w:rFonts w:ascii="Arial" w:cs="Arial" w:eastAsia="Arial" w:hAnsi="Arial"/>
          <w:sz w:val="15"/>
          <w:szCs w:val="15"/>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51" w:lineRule="exact"/>
        <w:rPr>
          <w:sz w:val="20"/>
          <w:szCs w:val="20"/>
          <w:color w:val="auto"/>
        </w:rPr>
      </w:pPr>
    </w:p>
    <w:p>
      <w:pPr>
        <w:ind w:right="40" w:firstLine="531"/>
        <w:spacing w:after="0" w:line="251" w:lineRule="auto"/>
        <w:rPr>
          <w:sz w:val="20"/>
          <w:szCs w:val="20"/>
          <w:color w:val="auto"/>
        </w:rPr>
      </w:pPr>
      <w:r>
        <w:rPr>
          <w:rFonts w:ascii="Arial" w:cs="Arial" w:eastAsia="Arial" w:hAnsi="Arial"/>
          <w:sz w:val="15"/>
          <w:szCs w:val="15"/>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23" w:lineRule="exact"/>
        <w:rPr>
          <w:sz w:val="20"/>
          <w:szCs w:val="20"/>
          <w:color w:val="auto"/>
        </w:rPr>
      </w:pPr>
    </w:p>
    <w:p>
      <w:pPr>
        <w:ind w:right="80" w:firstLine="531"/>
        <w:spacing w:after="0" w:line="234" w:lineRule="auto"/>
        <w:rPr>
          <w:sz w:val="20"/>
          <w:szCs w:val="20"/>
          <w:color w:val="auto"/>
        </w:rPr>
      </w:pPr>
      <w:r>
        <w:rPr>
          <w:rFonts w:ascii="Arial" w:cs="Arial" w:eastAsia="Arial" w:hAnsi="Arial"/>
          <w:sz w:val="16"/>
          <w:szCs w:val="16"/>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131" w:lineRule="exact"/>
        <w:rPr>
          <w:sz w:val="20"/>
          <w:szCs w:val="20"/>
          <w:color w:val="auto"/>
        </w:rPr>
      </w:pPr>
    </w:p>
    <w:p>
      <w:pPr>
        <w:jc w:val="both"/>
        <w:ind w:right="420" w:firstLine="531"/>
        <w:spacing w:after="0" w:line="234" w:lineRule="auto"/>
        <w:rPr>
          <w:sz w:val="20"/>
          <w:szCs w:val="20"/>
          <w:color w:val="auto"/>
        </w:rPr>
      </w:pPr>
      <w:r>
        <w:rPr>
          <w:rFonts w:ascii="Arial" w:cs="Arial" w:eastAsia="Arial" w:hAnsi="Arial"/>
          <w:sz w:val="16"/>
          <w:szCs w:val="16"/>
          <w:color w:val="auto"/>
        </w:rPr>
        <w:t>As a result of events and circumstances related to weak demand conditions for the TC10 product in the fourth quarter of 2017 and the decision to cease production of the TC10 product in the fourth quarter of 2018, the Company recorded a $2 million, $4 million and $32 million impairment loss associated with the production of TC10 for the years ended December 31, 2019, 2018 and 2017, respectively.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Goodwill and Other Intangible Assets</w:t>
      </w:r>
    </w:p>
    <w:p>
      <w:pPr>
        <w:spacing w:after="0" w:line="151"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does not aggregate any components into its reporting unit. The Company has elected to perform its annual goodwill impairment test on October 31 of every year using a multi-step impairment test.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a reporting unit’s goodwill exceeds its carrying value of net assets, then the Company would record an impairment loss equal to the difference.</w:t>
      </w:r>
    </w:p>
    <w:p>
      <w:pPr>
        <w:spacing w:after="0" w:line="130" w:lineRule="exact"/>
        <w:rPr>
          <w:sz w:val="20"/>
          <w:szCs w:val="20"/>
          <w:color w:val="auto"/>
        </w:rPr>
      </w:pPr>
    </w:p>
    <w:p>
      <w:pPr>
        <w:ind w:right="100" w:firstLine="531"/>
        <w:spacing w:after="0" w:line="248" w:lineRule="auto"/>
        <w:rPr>
          <w:sz w:val="20"/>
          <w:szCs w:val="20"/>
          <w:color w:val="auto"/>
        </w:rPr>
      </w:pPr>
      <w:r>
        <w:rPr>
          <w:rFonts w:ascii="Arial" w:cs="Arial" w:eastAsia="Arial" w:hAnsi="Arial"/>
          <w:sz w:val="15"/>
          <w:szCs w:val="15"/>
          <w:color w:val="auto"/>
        </w:rPr>
        <w:t>Goodwill impairment testing for 2019 was performed using the Step 0 analysis of certain trends and factors. The Company’s qualitative assessment included an assessment of business changes, economic outlook, financial trends and forecasts, growth rates, credit ratings, equity ratings, discount rates, industry data and other relevant qualitative factors. Events or circumstances that could unfavorably impact the key assumptions include lower net sales driven by market conditions, Allison’s inability to execute on marketing programs and/or growth initiatives, lower gross margins as a result of market conditions or failure to obtain forecasted cost reductions, or a higher discount rate as a result of market conditions. While unpredictable and inherently uncertain, the Company believes the forecast estimates were reasonable and incorporate assumptions that similar market participants would use in their estimates of fair value. These trends and factors were compared to, and based on, the assumptions used in prior years. After reviewing various qualitative factors, the Company’s 2019 annual goodwill impairment test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300"/>
        <w:spacing w:after="0" w:line="237" w:lineRule="auto"/>
        <w:rPr>
          <w:sz w:val="20"/>
          <w:szCs w:val="20"/>
          <w:color w:val="auto"/>
        </w:rPr>
      </w:pPr>
      <w:r>
        <w:rPr>
          <w:rFonts w:ascii="Arial" w:cs="Arial" w:eastAsia="Arial" w:hAnsi="Arial"/>
          <w:sz w:val="16"/>
          <w:szCs w:val="16"/>
          <w:color w:val="auto"/>
        </w:rPr>
        <w:t>indicated that the fair value of the reporting unit more likely than not exceeded its carrying value, indicating no impairment. Refer to NOTE 6, “Goodwill and Other Intangible Assets” for further information.</w:t>
      </w:r>
    </w:p>
    <w:p>
      <w:pPr>
        <w:spacing w:after="0" w:line="129" w:lineRule="exact"/>
        <w:rPr>
          <w:sz w:val="20"/>
          <w:szCs w:val="20"/>
          <w:color w:val="auto"/>
        </w:rPr>
      </w:pPr>
    </w:p>
    <w:p>
      <w:pPr>
        <w:ind w:right="80" w:firstLine="531"/>
        <w:spacing w:after="0" w:line="231"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such as the Allison Transmission trade name and in-process research and development, are not amortized but are tested annually for impairment. The Company has elected to perform its annual indefinite lived intangible assets impairment test on October 31 of every year and follow a similar multi-step impairment test to that performed on goodwill. Events or circumstances that could unfavorably impact the key assumptions include lower net sales driven by market conditions, the Company's inability to execute on marketing programs and/or delay in introduction of new products, and higher discount rate as a result of market conditions. While unpredictable and inherently uncertain, the Company believes the forecast estimates are reasonable and incorporate those assumptions that similar market participants would use in their estimates of fair value. After reviewing various qualitative factors, the Company’s annual 2019 indefinite lived intangible assets impairment test indicated that the fair value of the Company’s indefinite lived intangible assets more likely than not exceeded their carrying value, indicating no impairment. Refer to NOTE 6, “Goodwill and Other Intangible Assets” for further information.</w:t>
      </w:r>
    </w:p>
    <w:p>
      <w:pPr>
        <w:spacing w:after="0" w:line="131"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Such assumptions and estimates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 Refer to NOTE 6 “Goodwill and Other Intangible Assets” for further information.</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Deferred Financing Costs</w:t>
      </w:r>
    </w:p>
    <w:p>
      <w:pPr>
        <w:spacing w:after="0" w:line="151" w:lineRule="exact"/>
        <w:rPr>
          <w:sz w:val="20"/>
          <w:szCs w:val="20"/>
          <w:color w:val="auto"/>
        </w:rPr>
      </w:pPr>
    </w:p>
    <w:p>
      <w:pPr>
        <w:ind w:firstLine="531"/>
        <w:spacing w:after="0" w:line="233" w:lineRule="auto"/>
        <w:rPr>
          <w:sz w:val="20"/>
          <w:szCs w:val="20"/>
          <w:color w:val="auto"/>
        </w:rPr>
      </w:pPr>
      <w:r>
        <w:rPr>
          <w:rFonts w:ascii="Arial" w:cs="Arial" w:eastAsia="Arial" w:hAnsi="Arial"/>
          <w:sz w:val="16"/>
          <w:szCs w:val="16"/>
          <w:color w:val="auto"/>
        </w:rPr>
        <w:t>The debt issuance costs related to line-of-credit arrangements is presented as a component of other non-current assets. The debt issuance costs related to other types of debt instruments such as notes and loans are presented as a component of long-term debt. Deferred financing costs continue to be amortized over the life of the related debt using the effective interest method. Amortization of deferred financing costs is recorded as part of interest expense and totaled $5 million, $6 million and $6 million for the years ended December 31, 2019, 2018 and 2017, respectively.</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Financial Instruments</w:t>
      </w:r>
    </w:p>
    <w:p>
      <w:pPr>
        <w:spacing w:after="0" w:line="151" w:lineRule="exact"/>
        <w:rPr>
          <w:sz w:val="20"/>
          <w:szCs w:val="20"/>
          <w:color w:val="auto"/>
        </w:rPr>
      </w:pPr>
    </w:p>
    <w:p>
      <w:pPr>
        <w:ind w:right="140" w:firstLine="531"/>
        <w:spacing w:after="0" w:line="251" w:lineRule="auto"/>
        <w:rPr>
          <w:sz w:val="20"/>
          <w:szCs w:val="20"/>
          <w:color w:val="auto"/>
        </w:rPr>
      </w:pPr>
      <w:r>
        <w:rPr>
          <w:rFonts w:ascii="Arial" w:cs="Arial" w:eastAsia="Arial" w:hAnsi="Arial"/>
          <w:sz w:val="15"/>
          <w:szCs w:val="15"/>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are carried at fair value on the Consolidated Balance Sheets. Refer to NOTE 7, “Fair Value of Financial Instruments” for more detail. The Company’s long-term debt obligations are carried at historical amounts with the Company providing fair value disclosure in NOTE 8,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Insurable Liabilities</w:t>
      </w:r>
    </w:p>
    <w:p>
      <w:pPr>
        <w:spacing w:after="0" w:line="151" w:lineRule="exact"/>
        <w:rPr>
          <w:sz w:val="20"/>
          <w:szCs w:val="20"/>
          <w:color w:val="auto"/>
        </w:rPr>
      </w:pPr>
    </w:p>
    <w:p>
      <w:pPr>
        <w:ind w:right="140" w:firstLine="531"/>
        <w:spacing w:after="0" w:line="234" w:lineRule="auto"/>
        <w:rPr>
          <w:sz w:val="20"/>
          <w:szCs w:val="20"/>
          <w:color w:val="auto"/>
        </w:rPr>
      </w:pPr>
      <w:r>
        <w:rPr>
          <w:rFonts w:ascii="Arial" w:cs="Arial" w:eastAsia="Arial" w:hAnsi="Arial"/>
          <w:sz w:val="16"/>
          <w:szCs w:val="16"/>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51" w:lineRule="exact"/>
        <w:rPr>
          <w:sz w:val="20"/>
          <w:szCs w:val="20"/>
          <w:color w:val="auto"/>
        </w:rPr>
      </w:pPr>
    </w:p>
    <w:p>
      <w:pPr>
        <w:ind w:right="140" w:firstLine="531"/>
        <w:spacing w:after="0" w:line="232" w:lineRule="auto"/>
        <w:rPr>
          <w:sz w:val="20"/>
          <w:szCs w:val="20"/>
          <w:color w:val="auto"/>
        </w:rPr>
      </w:pPr>
      <w:r>
        <w:rPr>
          <w:rFonts w:ascii="Arial" w:cs="Arial" w:eastAsia="Arial" w:hAnsi="Arial"/>
          <w:sz w:val="16"/>
          <w:szCs w:val="16"/>
          <w:color w:val="auto"/>
        </w:rPr>
        <w:t>The Company records sales as each distinct performance obligation within a contract is satisfied. The Company sells extended transmission coverage (“ETC”) for which sales are deferred. ETC sales are recognized ratably over the period of coverage, which typically ranges from two to five years after initial sale. Costs associated with ETC programs are recorded as incurred during the extended period. Distributor and customer sales incentives, consisting of allowances and other rebates, are recorded as a reduction to Net sales when it is determined that the adjustment is not likely to reverse, historically on a quarterly basis. Incentive programs are generally product specific or region specific. Some factors used in estimating when an adjustment is not likely to reverse are the number of transmissions that will be affected by the incentive program and rate of acceptance of any incentive program.</w:t>
      </w:r>
    </w:p>
    <w:p>
      <w:pPr>
        <w:spacing w:after="0" w:line="130"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Sales under U.S. government production contracts are recognized at the point in time when control passes to the customer, or when the U.S. government accepts the transmission and is able to direct its use in certain bill-and-hold arrangements. Deferred revenue arises from cash received in advance of the culmination of the earnings process and is recognized as revenue in future periods when the applicable revenue recognition criteria have been 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The Company had $56 million recorded in the price reduction reserve account as of each of December 31, 2019 and 2018.</w:t>
      </w:r>
    </w:p>
    <w:p>
      <w:pPr>
        <w:spacing w:after="0" w:line="133" w:lineRule="exact"/>
        <w:rPr>
          <w:sz w:val="20"/>
          <w:szCs w:val="20"/>
          <w:color w:val="auto"/>
        </w:rPr>
      </w:pPr>
    </w:p>
    <w:p>
      <w:pPr>
        <w:ind w:right="300" w:firstLine="531"/>
        <w:spacing w:after="0" w:line="237" w:lineRule="auto"/>
        <w:rPr>
          <w:sz w:val="20"/>
          <w:szCs w:val="20"/>
          <w:color w:val="auto"/>
        </w:rPr>
      </w:pPr>
      <w:r>
        <w:rPr>
          <w:rFonts w:ascii="Arial" w:cs="Arial" w:eastAsia="Arial" w:hAnsi="Arial"/>
          <w:sz w:val="16"/>
          <w:szCs w:val="16"/>
          <w:color w:val="auto"/>
        </w:rPr>
        <w:t>The Company engages in licensing agreements with certain third parties for the use of the Company’s intellectual property. Deferred revenue arises from cash received in advance of the period of use of the intellectual property. Revenue is recognized over the license period as it is earned.</w:t>
      </w:r>
    </w:p>
    <w:p>
      <w:pPr>
        <w:spacing w:after="0" w:line="129" w:lineRule="exact"/>
        <w:rPr>
          <w:sz w:val="20"/>
          <w:szCs w:val="20"/>
          <w:color w:val="auto"/>
        </w:rPr>
      </w:pPr>
    </w:p>
    <w:p>
      <w:pPr>
        <w:ind w:right="640" w:firstLine="531"/>
        <w:spacing w:after="0" w:line="237" w:lineRule="auto"/>
        <w:rPr>
          <w:sz w:val="20"/>
          <w:szCs w:val="20"/>
          <w:color w:val="auto"/>
        </w:rPr>
      </w:pPr>
      <w:r>
        <w:rPr>
          <w:rFonts w:ascii="Arial" w:cs="Arial" w:eastAsia="Arial" w:hAnsi="Arial"/>
          <w:sz w:val="16"/>
          <w:szCs w:val="16"/>
          <w:color w:val="auto"/>
        </w:rPr>
        <w:t>The Company classifies shipping and handling billed to customers in Net sales and shipping and handling costs in Cost of sales, in accordance with authoritative accounting guidance.</w:t>
      </w:r>
    </w:p>
    <w:p>
      <w:pPr>
        <w:spacing w:after="0" w:line="129" w:lineRule="exact"/>
        <w:rPr>
          <w:sz w:val="20"/>
          <w:szCs w:val="20"/>
          <w:color w:val="auto"/>
        </w:rPr>
      </w:pPr>
    </w:p>
    <w:p>
      <w:pPr>
        <w:jc w:val="both"/>
        <w:ind w:firstLine="531"/>
        <w:spacing w:after="0" w:line="234" w:lineRule="auto"/>
        <w:rPr>
          <w:sz w:val="20"/>
          <w:szCs w:val="20"/>
          <w:color w:val="auto"/>
        </w:rPr>
      </w:pPr>
      <w:r>
        <w:rPr>
          <w:rFonts w:ascii="Arial" w:cs="Arial" w:eastAsia="Arial" w:hAnsi="Arial"/>
          <w:sz w:val="16"/>
          <w:szCs w:val="16"/>
          <w:color w:val="auto"/>
        </w:rPr>
        <w:t>The Company contracts with various third parties to provide engineering services. These services are recorded as Net sales in accordance with the terms of the contract. The saleable engineering recorded was $11 million, $3 million and $3 million for the years ended December 31, 2019, 2018 and 2017, respectively. The associated costs are recorded in Cost of sales.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Warranty</w:t>
      </w:r>
    </w:p>
    <w:p>
      <w:pPr>
        <w:spacing w:after="0" w:line="151" w:lineRule="exact"/>
        <w:rPr>
          <w:sz w:val="20"/>
          <w:szCs w:val="20"/>
          <w:color w:val="auto"/>
        </w:rPr>
      </w:pPr>
    </w:p>
    <w:p>
      <w:pPr>
        <w:ind w:right="140" w:firstLine="531"/>
        <w:spacing w:after="0" w:line="247" w:lineRule="auto"/>
        <w:rPr>
          <w:sz w:val="20"/>
          <w:szCs w:val="20"/>
          <w:color w:val="auto"/>
        </w:rPr>
      </w:pPr>
      <w:r>
        <w:rPr>
          <w:rFonts w:ascii="Arial" w:cs="Arial" w:eastAsia="Arial" w:hAnsi="Arial"/>
          <w:sz w:val="15"/>
          <w:szCs w:val="15"/>
          <w:color w:val="auto"/>
        </w:rPr>
        <w:t>Provisions for estimated expenses related to product warranties are made at the time products are sold. Warranty claims arise when a transmission or propulsion solution manufactured by us fails while in service during the relevant warranty period. The warranty reserve is adjusted in Selling, general and administrative expense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the Company's historical rates.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51"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The Company incurs costs in connection with research and development programs that are expected to contribute to future earnings. Such costs are charged to Engineering — research and development as incurred.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Environmental</w:t>
      </w:r>
    </w:p>
    <w:p>
      <w:pPr>
        <w:spacing w:after="0" w:line="151" w:lineRule="exact"/>
        <w:rPr>
          <w:sz w:val="20"/>
          <w:szCs w:val="20"/>
          <w:color w:val="auto"/>
        </w:rPr>
      </w:pPr>
    </w:p>
    <w:p>
      <w:pPr>
        <w:ind w:right="40" w:firstLine="531"/>
        <w:spacing w:after="0" w:line="237" w:lineRule="auto"/>
        <w:rPr>
          <w:sz w:val="20"/>
          <w:szCs w:val="20"/>
          <w:color w:val="auto"/>
        </w:rPr>
      </w:pPr>
      <w:r>
        <w:rPr>
          <w:rFonts w:ascii="Arial" w:cs="Arial" w:eastAsia="Arial" w:hAnsi="Arial"/>
          <w:sz w:val="16"/>
          <w:szCs w:val="16"/>
          <w:color w:val="auto"/>
        </w:rPr>
        <w:t>The Company accrues costs related to environmental matters when it is probable that the Company has incurred a liability related to a contaminated site and the costs can be reasonably estimated. For additional information, see NOTE 18, “Commitments and Contingencies”.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Foreign Currency Translation</w:t>
      </w:r>
    </w:p>
    <w:p>
      <w:pPr>
        <w:spacing w:after="0" w:line="151" w:lineRule="exact"/>
        <w:rPr>
          <w:sz w:val="20"/>
          <w:szCs w:val="20"/>
          <w:color w:val="auto"/>
        </w:rPr>
      </w:pPr>
    </w:p>
    <w:p>
      <w:pPr>
        <w:ind w:right="120" w:firstLine="531"/>
        <w:spacing w:after="0" w:line="232" w:lineRule="auto"/>
        <w:rPr>
          <w:sz w:val="20"/>
          <w:szCs w:val="20"/>
          <w:color w:val="auto"/>
        </w:rPr>
      </w:pPr>
      <w:r>
        <w:rPr>
          <w:rFonts w:ascii="Arial" w:cs="Arial" w:eastAsia="Arial" w:hAnsi="Arial"/>
          <w:sz w:val="16"/>
          <w:szCs w:val="16"/>
          <w:color w:val="auto"/>
        </w:rPr>
        <w:t>Most of the Company’s subsidiaries outside the United States prepare financial statements in currencies other than the U.S. Dollar. The functional currency for all of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Accumulated Other Comprehensive Loss (“AOCL”) as disclosed in NOTE 17, “Accumulated Other Comprehensive Loss”.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Derivative Instruments</w:t>
      </w:r>
    </w:p>
    <w:p>
      <w:pPr>
        <w:spacing w:after="0" w:line="151" w:lineRule="exact"/>
        <w:rPr>
          <w:sz w:val="20"/>
          <w:szCs w:val="20"/>
          <w:color w:val="auto"/>
        </w:rPr>
      </w:pPr>
    </w:p>
    <w:p>
      <w:pPr>
        <w:ind w:firstLine="531"/>
        <w:spacing w:after="0" w:line="233" w:lineRule="auto"/>
        <w:rPr>
          <w:sz w:val="20"/>
          <w:szCs w:val="20"/>
          <w:color w:val="auto"/>
        </w:rPr>
      </w:pPr>
      <w:r>
        <w:rPr>
          <w:rFonts w:ascii="Arial" w:cs="Arial" w:eastAsia="Arial" w:hAnsi="Arial"/>
          <w:sz w:val="16"/>
          <w:szCs w:val="16"/>
          <w:color w:val="auto"/>
        </w:rPr>
        <w:t>In the normal course of business, the Company is exposed to fluctuations in interest rates, foreign currency exchange rates, and commodity prices. The risk is managed through the use of financial derivative instruments, when appropriate. The Company has qualified for and elected hedge accounting treatment on interest rate swap contracts. As necessary, the Company adjusts the values of the derivative instruments for counter-party or credit risk. NOTE 9, “Derivatives” provides further information on the accounting treatment of the Company’s derivative instruments.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Income Taxes</w:t>
      </w:r>
    </w:p>
    <w:p>
      <w:pPr>
        <w:spacing w:after="0" w:line="151" w:lineRule="exact"/>
        <w:rPr>
          <w:sz w:val="20"/>
          <w:szCs w:val="20"/>
          <w:color w:val="auto"/>
        </w:rPr>
      </w:pPr>
    </w:p>
    <w:p>
      <w:pPr>
        <w:ind w:right="20" w:firstLine="531"/>
        <w:spacing w:after="0" w:line="233"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440"/>
        <w:spacing w:after="0" w:line="237" w:lineRule="auto"/>
        <w:rPr>
          <w:sz w:val="20"/>
          <w:szCs w:val="20"/>
          <w:color w:val="auto"/>
        </w:rPr>
      </w:pPr>
      <w:r>
        <w:rPr>
          <w:rFonts w:ascii="Arial" w:cs="Arial" w:eastAsia="Arial" w:hAnsi="Arial"/>
          <w:sz w:val="16"/>
          <w:szCs w:val="16"/>
          <w:color w:val="auto"/>
        </w:rPr>
        <w:t>which those temporary differences are expected to be recovered or settled. When releasing income tax effects from accumulated other comprehensive loss the Company utilizes the portfolio securities approach.</w:t>
      </w:r>
    </w:p>
    <w:p>
      <w:pPr>
        <w:spacing w:after="0" w:line="129"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51" w:lineRule="exact"/>
        <w:rPr>
          <w:sz w:val="20"/>
          <w:szCs w:val="20"/>
          <w:color w:val="auto"/>
        </w:rPr>
      </w:pPr>
    </w:p>
    <w:p>
      <w:pPr>
        <w:ind w:right="140" w:firstLine="531"/>
        <w:spacing w:after="0" w:line="249" w:lineRule="auto"/>
        <w:rPr>
          <w:sz w:val="20"/>
          <w:szCs w:val="20"/>
          <w:color w:val="auto"/>
        </w:rPr>
      </w:pPr>
      <w:r>
        <w:rPr>
          <w:rFonts w:ascii="Arial" w:cs="Arial" w:eastAsia="Arial" w:hAnsi="Arial"/>
          <w:sz w:val="15"/>
          <w:szCs w:val="15"/>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(“RSUs”), performance awards, stock appreciation rights and other equity-based awards, or any combination thereof. The 2015 Plan limits the aggregate number of shares of common stock available for issue to 15.3 million and will expire on, and no option or other equity award may be granted pursuant to the 2015 Plan after, the tenth anniversary of the date the 2015 Plan was approved by the Board of Directors.</w:t>
      </w:r>
    </w:p>
    <w:p>
      <w:pPr>
        <w:spacing w:after="0" w:line="123" w:lineRule="exact"/>
        <w:rPr>
          <w:sz w:val="20"/>
          <w:szCs w:val="20"/>
          <w:color w:val="auto"/>
        </w:rPr>
      </w:pPr>
    </w:p>
    <w:p>
      <w:pPr>
        <w:ind w:firstLine="531"/>
        <w:spacing w:after="0" w:line="233" w:lineRule="auto"/>
        <w:rPr>
          <w:sz w:val="20"/>
          <w:szCs w:val="20"/>
          <w:color w:val="auto"/>
        </w:rPr>
      </w:pPr>
      <w:r>
        <w:rPr>
          <w:rFonts w:ascii="Arial" w:cs="Arial" w:eastAsia="Arial" w:hAnsi="Arial"/>
          <w:sz w:val="16"/>
          <w:szCs w:val="16"/>
          <w:color w:val="auto"/>
        </w:rPr>
        <w:t>Prior to the adoption of the 2015 Plan, the Company’s equity-based awards were granted under the Allison Transmission Holdings, Inc. 2011 Equity Incentive Award Plan (“2011 Plan”) and the Equity Incentive Plan of Allison Transmission Holdings, Inc. (“Equity Plan” and, together with the 2011 Plan, the “Prior Plans”). As of the effective date of the 2015 Plan, no new awards will be granted under the Prior Plans, but the Prior Plans will continue to govern the equity awards issued under the Prior Plans.</w:t>
      </w:r>
    </w:p>
    <w:p>
      <w:pPr>
        <w:spacing w:after="0" w:line="130"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RSU grants are recorded at fair market value at the date of grant and vest upon continued performance of services by the RSU holders over one to three years. Performance unit grants are recorded at fair value based on a Monte-Carlo pricing model and the restrictions lapse on the date the Compensation Committee of the Board of Directors determines the number of shares that shall vest based on the related performance or market condition achievement. Non-qualified stock option grants are recorded at fair value using a Black-Scholes option pricing model and vest upon the continued performance of services by the option holder on the third anniversary of the grant date for awards under the 2015 Plan.</w:t>
      </w:r>
    </w:p>
    <w:p>
      <w:pPr>
        <w:spacing w:after="0" w:line="132" w:lineRule="exact"/>
        <w:rPr>
          <w:sz w:val="20"/>
          <w:szCs w:val="20"/>
          <w:color w:val="auto"/>
        </w:rPr>
      </w:pPr>
    </w:p>
    <w:p>
      <w:pPr>
        <w:ind w:right="520" w:firstLine="531"/>
        <w:spacing w:after="0" w:line="237" w:lineRule="auto"/>
        <w:rPr>
          <w:sz w:val="20"/>
          <w:szCs w:val="20"/>
          <w:color w:val="auto"/>
        </w:rPr>
      </w:pPr>
      <w:r>
        <w:rPr>
          <w:rFonts w:ascii="Arial" w:cs="Arial" w:eastAsia="Arial" w:hAnsi="Arial"/>
          <w:sz w:val="16"/>
          <w:szCs w:val="16"/>
          <w:color w:val="auto"/>
        </w:rPr>
        <w:t>The Company has made a policy election under applicable accounting guidance to account for forfeitures as a reduction of stock-based compensation expense when the forfeiture actually occurs.</w:t>
      </w:r>
    </w:p>
    <w:p>
      <w:pPr>
        <w:spacing w:after="0" w:line="129" w:lineRule="exact"/>
        <w:rPr>
          <w:sz w:val="20"/>
          <w:szCs w:val="20"/>
          <w:color w:val="auto"/>
        </w:rPr>
      </w:pPr>
    </w:p>
    <w:p>
      <w:pPr>
        <w:ind w:right="160" w:firstLine="531"/>
        <w:spacing w:after="0" w:line="234" w:lineRule="auto"/>
        <w:rPr>
          <w:sz w:val="20"/>
          <w:szCs w:val="20"/>
          <w:color w:val="auto"/>
        </w:rPr>
      </w:pPr>
      <w:r>
        <w:rPr>
          <w:rFonts w:ascii="Arial" w:cs="Arial" w:eastAsia="Arial" w:hAnsi="Arial"/>
          <w:sz w:val="16"/>
          <w:szCs w:val="16"/>
          <w:color w:val="auto"/>
        </w:rPr>
        <w:t>RSUs were granted to certain employees and directors at fair market value on the date of grant. The restrictions lapse upon continued performance by the RSU holder on the vest date which generally occurs over one, two or three years. RSU incentive compensation expense recorded was $5 million, $5 million and $7 million for the years ended December 31, 2019, 2018 and 2017, respectively.</w:t>
      </w:r>
    </w:p>
    <w:p>
      <w:pPr>
        <w:spacing w:after="0" w:line="131" w:lineRule="exact"/>
        <w:rPr>
          <w:sz w:val="20"/>
          <w:szCs w:val="20"/>
          <w:color w:val="auto"/>
        </w:rPr>
      </w:pPr>
    </w:p>
    <w:p>
      <w:pPr>
        <w:ind w:right="120" w:firstLine="531"/>
        <w:spacing w:after="0" w:line="234" w:lineRule="auto"/>
        <w:rPr>
          <w:sz w:val="20"/>
          <w:szCs w:val="20"/>
          <w:color w:val="auto"/>
        </w:rPr>
      </w:pPr>
      <w:r>
        <w:rPr>
          <w:rFonts w:ascii="Arial" w:cs="Arial" w:eastAsia="Arial" w:hAnsi="Arial"/>
          <w:sz w:val="16"/>
          <w:szCs w:val="16"/>
          <w:color w:val="auto"/>
        </w:rPr>
        <w:t>Performance-based awards, including performance units, were granted to certain employees at fair value at the date of grant. The Company records the fair value of each performance-based award based on a Monte-Carlo pricing model. Performance-based award incentive compensation expense recorded was $6 million, $6 million and $3 million for the years ended December 31, 2019, 2018 and 2017, respectively.</w:t>
      </w:r>
    </w:p>
    <w:p>
      <w:pPr>
        <w:spacing w:after="0" w:line="131" w:lineRule="exact"/>
        <w:rPr>
          <w:sz w:val="20"/>
          <w:szCs w:val="20"/>
          <w:color w:val="auto"/>
        </w:rPr>
      </w:pPr>
    </w:p>
    <w:p>
      <w:pPr>
        <w:ind w:right="620" w:firstLine="531"/>
        <w:spacing w:after="0" w:line="237" w:lineRule="auto"/>
        <w:rPr>
          <w:sz w:val="20"/>
          <w:szCs w:val="20"/>
          <w:color w:val="auto"/>
        </w:rPr>
      </w:pPr>
      <w:r>
        <w:rPr>
          <w:rFonts w:ascii="Arial" w:cs="Arial" w:eastAsia="Arial" w:hAnsi="Arial"/>
          <w:sz w:val="16"/>
          <w:szCs w:val="16"/>
          <w:color w:val="auto"/>
        </w:rPr>
        <w:t>Stock options were granted to certain employees at fair value on the date of grant using a Black-Scholes option pricing model. Stock option incentive compensation expense recorded was $2 million for each of the years ended December 31, 2019, 2018 and 2017.</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Pension and Post-retirement Benefit Plans</w:t>
      </w:r>
    </w:p>
    <w:p>
      <w:pPr>
        <w:spacing w:after="0" w:line="151" w:lineRule="exact"/>
        <w:rPr>
          <w:sz w:val="20"/>
          <w:szCs w:val="20"/>
          <w:color w:val="auto"/>
        </w:rPr>
      </w:pPr>
    </w:p>
    <w:p>
      <w:pPr>
        <w:ind w:right="140" w:firstLine="531"/>
        <w:spacing w:after="0" w:line="232" w:lineRule="auto"/>
        <w:rPr>
          <w:sz w:val="20"/>
          <w:szCs w:val="20"/>
          <w:color w:val="auto"/>
        </w:rPr>
      </w:pPr>
      <w:r>
        <w:rPr>
          <w:rFonts w:ascii="Arial" w:cs="Arial" w:eastAsia="Arial" w:hAnsi="Arial"/>
          <w:sz w:val="16"/>
          <w:szCs w:val="16"/>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32" w:lineRule="exact"/>
        <w:rPr>
          <w:sz w:val="20"/>
          <w:szCs w:val="20"/>
          <w:color w:val="auto"/>
        </w:rPr>
      </w:pPr>
    </w:p>
    <w:p>
      <w:pPr>
        <w:ind w:right="120" w:firstLine="531"/>
        <w:spacing w:after="0" w:line="237" w:lineRule="auto"/>
        <w:rPr>
          <w:sz w:val="20"/>
          <w:szCs w:val="20"/>
          <w:color w:val="auto"/>
        </w:rPr>
      </w:pPr>
      <w:r>
        <w:rPr>
          <w:rFonts w:ascii="Arial" w:cs="Arial" w:eastAsia="Arial" w:hAnsi="Arial"/>
          <w:sz w:val="16"/>
          <w:szCs w:val="16"/>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129"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year.</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51" w:lineRule="exact"/>
        <w:rPr>
          <w:sz w:val="20"/>
          <w:szCs w:val="20"/>
          <w:color w:val="auto"/>
        </w:rPr>
      </w:pPr>
    </w:p>
    <w:p>
      <w:pPr>
        <w:ind w:right="20" w:firstLine="531"/>
        <w:spacing w:after="0" w:line="231" w:lineRule="auto"/>
        <w:rPr>
          <w:sz w:val="20"/>
          <w:szCs w:val="20"/>
          <w:color w:val="auto"/>
        </w:rPr>
      </w:pPr>
      <w:r>
        <w:rPr>
          <w:rFonts w:ascii="Arial" w:cs="Arial" w:eastAsia="Arial" w:hAnsi="Arial"/>
          <w:sz w:val="16"/>
          <w:szCs w:val="16"/>
          <w:color w:val="auto"/>
        </w:rPr>
        <w:t>In February 2016, the FASB issued authoritative accounting guidance on lease accounting, which guidance was subsequently amended.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In July 2018, the FASB issued additional authoritative guidance on this topic giving lessees an optional adoption approach under which the impact of the adoption of the guidance would be shown as of the date of adoption. Management elected to adopt the guidance using this optional alternative method. The Company adopted this guidance effective January 1, 2019. Upon adoption, the Company recorded non-financial right-of-use ("ROU") assets of $14 million, including $1 million of assets transferred from the balance recorded as prepaid lease expense under the prior guidance, and current and non-current lease liabilities of $4 million and $9 million, respectively. The adoption of this guidance did not have a material impact on the Company's opening retained earnings. See Note 12, "Leases" for further details.</w:t>
      </w:r>
    </w:p>
    <w:p>
      <w:pPr>
        <w:spacing w:after="0" w:line="131" w:lineRule="exact"/>
        <w:rPr>
          <w:sz w:val="20"/>
          <w:szCs w:val="20"/>
          <w:color w:val="auto"/>
        </w:rPr>
      </w:pPr>
    </w:p>
    <w:p>
      <w:pPr>
        <w:ind w:right="80" w:firstLine="531"/>
        <w:spacing w:after="0" w:line="233" w:lineRule="auto"/>
        <w:rPr>
          <w:sz w:val="20"/>
          <w:szCs w:val="20"/>
          <w:color w:val="auto"/>
        </w:rPr>
      </w:pPr>
      <w:r>
        <w:rPr>
          <w:rFonts w:ascii="Arial" w:cs="Arial" w:eastAsia="Arial" w:hAnsi="Arial"/>
          <w:sz w:val="16"/>
          <w:szCs w:val="16"/>
          <w:color w:val="auto"/>
        </w:rPr>
        <w:t>In June 2016, the FASB issued authoritative accounting guidance on the presentation of financial assets at the net amount expected to be collected. The guidance also requires the disclosure of financing receivables disaggregated by the year of origination. The guidance has been subsequently amended. The Company adopted this guidance using a modified retrospective approach effective January 1, 2020. The adoption of this guidance did not have a material impact on the Company's consolidated financial statements.</w:t>
      </w:r>
    </w:p>
    <w:p>
      <w:pPr>
        <w:spacing w:after="0" w:line="130"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In February 2018, the FASB issued authoritative accounting guidance on transfers of stranded balances in AOCL to retained earnings. The passage of the U.S. Tax Cuts and Jobs Act by the U.S. federal government in December 2017, in conjunction with existing GAAP requirements to adjust deferred tax assets and liabilities for changes in tax laws or rates created stranded balances in AOCL on deferred tax assets and liabilities previously recorded as a component to AOCL. The guidance applies to companies affected by these stranded balances and allows a reclassification of these balances to retained earnings. The Company adopted this guidance effective January 1, 2019 on a prospective basis. As a result of the adoption of this guidance, the Company recorded an adjustment that reclassified $8 million of AOCL to retained earnings as of January 1, 2019.</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20" w:firstLine="531"/>
        <w:spacing w:after="0" w:line="234" w:lineRule="auto"/>
        <w:rPr>
          <w:sz w:val="20"/>
          <w:szCs w:val="20"/>
          <w:color w:val="auto"/>
        </w:rPr>
      </w:pPr>
      <w:r>
        <w:rPr>
          <w:rFonts w:ascii="Arial" w:cs="Arial" w:eastAsia="Arial" w:hAnsi="Arial"/>
          <w:sz w:val="16"/>
          <w:szCs w:val="16"/>
          <w:color w:val="auto"/>
        </w:rPr>
        <w:t>In June 2018, the FASB issued authoritative accounting guidance on accounting for nonemployee awards for goods or services received by a company. The Company adopted this guidance effective January 1, 2019. The adoption of this guidance did not have a material impact on the Company's consolidated financial statements.</w:t>
      </w:r>
    </w:p>
    <w:p>
      <w:pPr>
        <w:spacing w:after="0" w:line="131" w:lineRule="exact"/>
        <w:rPr>
          <w:sz w:val="20"/>
          <w:szCs w:val="20"/>
          <w:color w:val="auto"/>
        </w:rPr>
      </w:pPr>
    </w:p>
    <w:p>
      <w:pPr>
        <w:ind w:right="140" w:firstLine="531"/>
        <w:spacing w:after="0" w:line="234" w:lineRule="auto"/>
        <w:rPr>
          <w:sz w:val="20"/>
          <w:szCs w:val="20"/>
          <w:color w:val="auto"/>
        </w:rPr>
      </w:pPr>
      <w:r>
        <w:rPr>
          <w:rFonts w:ascii="Arial" w:cs="Arial" w:eastAsia="Arial" w:hAnsi="Arial"/>
          <w:sz w:val="16"/>
          <w:szCs w:val="16"/>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Company adopted this guidance effective January 1, 2020. The adoption of this guidance did not have a material impact on the Company's consolidated financial statements.</w:t>
      </w:r>
    </w:p>
    <w:p>
      <w:pPr>
        <w:spacing w:after="0" w:line="131" w:lineRule="exact"/>
        <w:rPr>
          <w:sz w:val="20"/>
          <w:szCs w:val="20"/>
          <w:color w:val="auto"/>
        </w:rPr>
      </w:pPr>
    </w:p>
    <w:p>
      <w:pPr>
        <w:ind w:right="60" w:firstLine="531"/>
        <w:spacing w:after="0" w:line="233" w:lineRule="auto"/>
        <w:rPr>
          <w:sz w:val="20"/>
          <w:szCs w:val="20"/>
          <w:color w:val="auto"/>
        </w:rPr>
      </w:pPr>
      <w:r>
        <w:rPr>
          <w:rFonts w:ascii="Arial" w:cs="Arial" w:eastAsia="Arial" w:hAnsi="Arial"/>
          <w:sz w:val="16"/>
          <w:szCs w:val="16"/>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Company adopted this guidance on a prospective basis effective January 1, 2020. The adoption of this guidance did not have a material impact on the Company's consolidated financial statements.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51" w:lineRule="exact"/>
        <w:rPr>
          <w:sz w:val="20"/>
          <w:szCs w:val="20"/>
          <w:color w:val="auto"/>
        </w:rPr>
      </w:pPr>
    </w:p>
    <w:p>
      <w:pPr>
        <w:jc w:val="both"/>
        <w:ind w:right="100" w:firstLine="531"/>
        <w:spacing w:after="0" w:line="234" w:lineRule="auto"/>
        <w:rPr>
          <w:sz w:val="20"/>
          <w:szCs w:val="20"/>
          <w:color w:val="auto"/>
        </w:rPr>
      </w:pPr>
      <w:r>
        <w:rPr>
          <w:rFonts w:ascii="Arial" w:cs="Arial" w:eastAsia="Arial" w:hAnsi="Arial"/>
          <w:sz w:val="16"/>
          <w:szCs w:val="16"/>
          <w:color w:val="auto"/>
        </w:rPr>
        <w:t>In August 2018, the FASB issued authoritative accounting guidance amending disclosure requirements for the Company's defined benefit pension plans and other postretirement benefit plan. The guidance will be effective for the Company in fiscal year 2021, and the Company does not plan to early adopt. Management is currently evaluating the impact of this guidance on the Company's consolidated financial statements and notes thereto.</w:t>
      </w:r>
    </w:p>
    <w:p>
      <w:pPr>
        <w:spacing w:after="0" w:line="131" w:lineRule="exact"/>
        <w:rPr>
          <w:sz w:val="20"/>
          <w:szCs w:val="20"/>
          <w:color w:val="auto"/>
        </w:rPr>
      </w:pPr>
    </w:p>
    <w:p>
      <w:pPr>
        <w:ind w:right="220" w:firstLine="531"/>
        <w:spacing w:after="0" w:line="233" w:lineRule="auto"/>
        <w:rPr>
          <w:sz w:val="20"/>
          <w:szCs w:val="20"/>
          <w:color w:val="auto"/>
        </w:rPr>
      </w:pPr>
      <w:r>
        <w:rPr>
          <w:rFonts w:ascii="Arial" w:cs="Arial" w:eastAsia="Arial" w:hAnsi="Arial"/>
          <w:sz w:val="16"/>
          <w:szCs w:val="16"/>
          <w:color w:val="auto"/>
        </w:rPr>
        <w:t>In December 2019, the FASB issued authoritative accounting guidance to simplify the accounting for income taxes. The guidance identifies specific exceptions to be removed from the calculation and reporting of income taxes. The guidance will be effective for the Company in fiscal year 2021, though early adoption is permitted in any prior interim reporting period. Management is currently evaluating the impact of this guidance on the Company's consolidated financial statements and notes thereto.</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153" w:lineRule="exact"/>
        <w:rPr>
          <w:sz w:val="20"/>
          <w:szCs w:val="20"/>
          <w:color w:val="auto"/>
        </w:rPr>
      </w:pPr>
    </w:p>
    <w:p>
      <w:pPr>
        <w:ind w:right="140" w:firstLine="531"/>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132" w:lineRule="exact"/>
        <w:rPr>
          <w:sz w:val="20"/>
          <w:szCs w:val="20"/>
          <w:color w:val="auto"/>
        </w:rPr>
      </w:pPr>
    </w:p>
    <w:p>
      <w:pPr>
        <w:ind w:right="580" w:firstLine="531"/>
        <w:spacing w:after="0" w:line="265" w:lineRule="auto"/>
        <w:rPr>
          <w:sz w:val="20"/>
          <w:szCs w:val="20"/>
          <w:color w:val="auto"/>
        </w:rPr>
      </w:pPr>
      <w:r>
        <w:rPr>
          <w:rFonts w:ascii="Arial" w:cs="Arial" w:eastAsia="Arial" w:hAnsi="Arial"/>
          <w:sz w:val="15"/>
          <w:szCs w:val="15"/>
          <w:color w:val="auto"/>
        </w:rPr>
        <w:t>Some of the Company's contracts include multiple performance obligations, most commonly the sale of both a transmission and ETC. The Company allocates the contract’s transaction price to each performance obligation based on the standalone selling price of each distinct good or service in the contract.</w:t>
      </w:r>
    </w:p>
    <w:p>
      <w:pPr>
        <w:spacing w:after="0" w:line="112"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The Company may also use volume 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years ended December 31, 2019 and 2018.</w:t>
      </w:r>
    </w:p>
    <w:p>
      <w:pPr>
        <w:spacing w:after="0" w:line="132" w:lineRule="exact"/>
        <w:rPr>
          <w:sz w:val="20"/>
          <w:szCs w:val="20"/>
          <w:color w:val="auto"/>
        </w:rPr>
      </w:pPr>
    </w:p>
    <w:p>
      <w:pPr>
        <w:ind w:firstLine="531"/>
        <w:spacing w:after="0" w:line="234"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revenue as of December 31, 2019 and December 31, 2018. See NOTE 11, “Deferred Revenue” for more information including the amount of revenue earned during the year ended December 31, 2019 that had been previously deferred. The Company had no contract assets as of December 31, 2019 and 2018.</w:t>
      </w:r>
    </w:p>
    <w:p>
      <w:pPr>
        <w:spacing w:after="0" w:line="129" w:lineRule="exact"/>
        <w:rPr>
          <w:sz w:val="20"/>
          <w:szCs w:val="20"/>
          <w:color w:val="auto"/>
        </w:rPr>
      </w:pPr>
    </w:p>
    <w:p>
      <w:pPr>
        <w:ind w:right="80" w:firstLine="531"/>
        <w:spacing w:after="0" w:line="234" w:lineRule="auto"/>
        <w:rPr>
          <w:sz w:val="20"/>
          <w:szCs w:val="20"/>
          <w:color w:val="auto"/>
        </w:rPr>
      </w:pPr>
      <w:r>
        <w:rPr>
          <w:rFonts w:ascii="Arial" w:cs="Arial" w:eastAsia="Arial" w:hAnsi="Arial"/>
          <w:sz w:val="16"/>
          <w:szCs w:val="16"/>
          <w:color w:val="auto"/>
        </w:rPr>
        <w:t>The Company has one operating segment and reportable segment. The Company is in one line of business, which is the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520"/>
              <w:spacing w:after="0"/>
              <w:rPr>
                <w:sz w:val="20"/>
                <w:szCs w:val="20"/>
                <w:color w:val="auto"/>
              </w:rPr>
            </w:pPr>
            <w:r>
              <w:rPr>
                <w:rFonts w:ascii="Arial" w:cs="Arial" w:eastAsia="Arial" w:hAnsi="Arial"/>
                <w:sz w:val="13"/>
                <w:szCs w:val="13"/>
                <w:b w:val="1"/>
                <w:bCs w:val="1"/>
                <w:color w:val="auto"/>
                <w:w w:val="96"/>
              </w:rPr>
              <w:t>Year ended</w:t>
            </w:r>
          </w:p>
        </w:tc>
        <w:tc>
          <w:tcPr>
            <w:tcW w:w="220" w:type="dxa"/>
            <w:vAlign w:val="bottom"/>
          </w:tcPr>
          <w:p>
            <w:pPr>
              <w:spacing w:after="0"/>
              <w:rPr>
                <w:sz w:val="13"/>
                <w:szCs w:val="13"/>
                <w:color w:val="auto"/>
              </w:rPr>
            </w:pPr>
          </w:p>
        </w:tc>
        <w:tc>
          <w:tcPr>
            <w:tcW w:w="1480" w:type="dxa"/>
            <w:vAlign w:val="bottom"/>
          </w:tcPr>
          <w:p>
            <w:pPr>
              <w:jc w:val="center"/>
              <w:ind w:right="286"/>
              <w:spacing w:after="0"/>
              <w:rPr>
                <w:sz w:val="20"/>
                <w:szCs w:val="20"/>
                <w:color w:val="auto"/>
              </w:rPr>
            </w:pPr>
            <w:r>
              <w:rPr>
                <w:rFonts w:ascii="Arial" w:cs="Arial" w:eastAsia="Arial" w:hAnsi="Arial"/>
                <w:sz w:val="13"/>
                <w:szCs w:val="13"/>
                <w:b w:val="1"/>
                <w:bCs w:val="1"/>
                <w:color w:val="auto"/>
                <w:w w:val="96"/>
              </w:rPr>
              <w:t>Year ended</w:t>
            </w:r>
          </w:p>
        </w:tc>
      </w:tr>
      <w:tr>
        <w:trPr>
          <w:trHeight w:val="141"/>
        </w:trPr>
        <w:tc>
          <w:tcPr>
            <w:tcW w:w="5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tcPr>
          <w:p>
            <w:pPr>
              <w:jc w:val="center"/>
              <w:ind w:right="52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220" w:type="dxa"/>
            <w:vAlign w:val="bottom"/>
          </w:tcPr>
          <w:p>
            <w:pPr>
              <w:spacing w:after="0"/>
              <w:rPr>
                <w:sz w:val="12"/>
                <w:szCs w:val="12"/>
                <w:color w:val="auto"/>
              </w:rPr>
            </w:pPr>
          </w:p>
        </w:tc>
        <w:tc>
          <w:tcPr>
            <w:tcW w:w="1480" w:type="dxa"/>
            <w:vAlign w:val="bottom"/>
          </w:tcPr>
          <w:p>
            <w:pPr>
              <w:jc w:val="center"/>
              <w:ind w:right="286"/>
              <w:spacing w:after="0" w:line="141" w:lineRule="exact"/>
              <w:rPr>
                <w:sz w:val="20"/>
                <w:szCs w:val="20"/>
                <w:color w:val="auto"/>
              </w:rPr>
            </w:pPr>
            <w:r>
              <w:rPr>
                <w:rFonts w:ascii="Arial" w:cs="Arial" w:eastAsia="Arial" w:hAnsi="Arial"/>
                <w:sz w:val="13"/>
                <w:szCs w:val="13"/>
                <w:b w:val="1"/>
                <w:bCs w:val="1"/>
                <w:color w:val="auto"/>
                <w:w w:val="94"/>
              </w:rPr>
              <w:t>December 31,</w:t>
            </w:r>
          </w:p>
        </w:tc>
      </w:tr>
      <w:tr>
        <w:trPr>
          <w:trHeight w:val="153"/>
        </w:trPr>
        <w:tc>
          <w:tcPr>
            <w:tcW w:w="5480" w:type="dxa"/>
            <w:vAlign w:val="bottom"/>
            <w:tcBorders>
              <w:bottom w:val="single" w:sz="8" w:color="CFF0FC"/>
            </w:tcBorders>
          </w:tcPr>
          <w:p>
            <w:pPr>
              <w:spacing w:after="0"/>
              <w:rPr>
                <w:sz w:val="13"/>
                <w:szCs w:val="13"/>
                <w:color w:val="auto"/>
              </w:rPr>
            </w:pPr>
          </w:p>
        </w:tc>
        <w:tc>
          <w:tcPr>
            <w:tcW w:w="24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266"/>
              <w:spacing w:after="0"/>
              <w:rPr>
                <w:sz w:val="20"/>
                <w:szCs w:val="20"/>
                <w:color w:val="auto"/>
              </w:rPr>
            </w:pPr>
            <w:r>
              <w:rPr>
                <w:rFonts w:ascii="Arial" w:cs="Arial" w:eastAsia="Arial" w:hAnsi="Arial"/>
                <w:sz w:val="13"/>
                <w:szCs w:val="13"/>
                <w:b w:val="1"/>
                <w:bCs w:val="1"/>
                <w:color w:val="auto"/>
                <w:w w:val="96"/>
              </w:rPr>
              <w:t>2019</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286"/>
              <w:spacing w:after="0"/>
              <w:rPr>
                <w:sz w:val="20"/>
                <w:szCs w:val="20"/>
                <w:color w:val="auto"/>
              </w:rPr>
            </w:pPr>
            <w:r>
              <w:rPr>
                <w:rFonts w:ascii="Arial" w:cs="Arial" w:eastAsia="Arial" w:hAnsi="Arial"/>
                <w:sz w:val="13"/>
                <w:szCs w:val="13"/>
                <w:b w:val="1"/>
                <w:bCs w:val="1"/>
                <w:color w:val="auto"/>
                <w:w w:val="96"/>
              </w:rPr>
              <w:t>2018</w:t>
            </w:r>
          </w:p>
        </w:tc>
      </w:tr>
      <w:tr>
        <w:trPr>
          <w:trHeight w:val="179"/>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240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6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1,474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1,317</w:t>
            </w:r>
          </w:p>
        </w:tc>
      </w:tr>
      <w:tr>
        <w:trPr>
          <w:trHeight w:val="188"/>
        </w:trPr>
        <w:tc>
          <w:tcPr>
            <w:tcW w:w="548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6"/>
              <w:spacing w:after="0"/>
              <w:rPr>
                <w:sz w:val="20"/>
                <w:szCs w:val="20"/>
                <w:color w:val="auto"/>
              </w:rPr>
            </w:pPr>
            <w:r>
              <w:rPr>
                <w:rFonts w:ascii="Arial" w:cs="Arial" w:eastAsia="Arial" w:hAnsi="Arial"/>
                <w:sz w:val="16"/>
                <w:szCs w:val="16"/>
                <w:b w:val="1"/>
                <w:bCs w:val="1"/>
                <w:color w:val="auto"/>
              </w:rPr>
              <w:t>30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6"/>
              <w:spacing w:after="0"/>
              <w:rPr>
                <w:sz w:val="20"/>
                <w:szCs w:val="20"/>
                <w:color w:val="auto"/>
              </w:rPr>
            </w:pPr>
            <w:r>
              <w:rPr>
                <w:rFonts w:ascii="Arial" w:cs="Arial" w:eastAsia="Arial" w:hAnsi="Arial"/>
                <w:sz w:val="16"/>
                <w:szCs w:val="16"/>
                <w:color w:val="auto"/>
              </w:rPr>
              <w:t>93</w:t>
            </w:r>
          </w:p>
        </w:tc>
      </w:tr>
      <w:tr>
        <w:trPr>
          <w:trHeight w:val="188"/>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2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151</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158</w:t>
            </w:r>
          </w:p>
        </w:tc>
      </w:tr>
      <w:tr>
        <w:trPr>
          <w:trHeight w:val="188"/>
        </w:trPr>
        <w:tc>
          <w:tcPr>
            <w:tcW w:w="548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2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46"/>
              <w:spacing w:after="0"/>
              <w:rPr>
                <w:sz w:val="20"/>
                <w:szCs w:val="20"/>
                <w:color w:val="auto"/>
              </w:rPr>
            </w:pPr>
            <w:r>
              <w:rPr>
                <w:rFonts w:ascii="Arial" w:cs="Arial" w:eastAsia="Arial" w:hAnsi="Arial"/>
                <w:sz w:val="16"/>
                <w:szCs w:val="16"/>
                <w:b w:val="1"/>
                <w:bCs w:val="1"/>
                <w:color w:val="auto"/>
              </w:rPr>
              <w:t>390</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6"/>
              <w:spacing w:after="0"/>
              <w:rPr>
                <w:sz w:val="20"/>
                <w:szCs w:val="20"/>
                <w:color w:val="auto"/>
              </w:rPr>
            </w:pPr>
            <w:r>
              <w:rPr>
                <w:rFonts w:ascii="Arial" w:cs="Arial" w:eastAsia="Arial" w:hAnsi="Arial"/>
                <w:sz w:val="16"/>
                <w:szCs w:val="16"/>
                <w:color w:val="auto"/>
              </w:rPr>
              <w:t>383</w:t>
            </w:r>
          </w:p>
        </w:tc>
      </w:tr>
      <w:tr>
        <w:trPr>
          <w:trHeight w:val="188"/>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2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109</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129</w:t>
            </w:r>
          </w:p>
        </w:tc>
      </w:tr>
      <w:tr>
        <w:trPr>
          <w:trHeight w:val="188"/>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24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544</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633</w:t>
            </w:r>
          </w:p>
        </w:tc>
      </w:tr>
      <w:tr>
        <w:trPr>
          <w:trHeight w:val="179"/>
        </w:trPr>
        <w:tc>
          <w:tcPr>
            <w:tcW w:w="54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24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2,698</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2,713</w:t>
            </w:r>
          </w:p>
        </w:tc>
      </w:tr>
      <w:tr>
        <w:trPr>
          <w:trHeight w:val="20"/>
        </w:trPr>
        <w:tc>
          <w:tcPr>
            <w:tcW w:w="54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Disaggregated revenue by end market is further described as follows: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North America On-Highway</w:t>
      </w:r>
    </w:p>
    <w:p>
      <w:pPr>
        <w:spacing w:after="0" w:line="149" w:lineRule="exact"/>
        <w:rPr>
          <w:sz w:val="20"/>
          <w:szCs w:val="20"/>
          <w:color w:val="auto"/>
        </w:rPr>
      </w:pPr>
    </w:p>
    <w:p>
      <w:pPr>
        <w:ind w:right="80" w:firstLine="531"/>
        <w:spacing w:after="0" w:line="251" w:lineRule="auto"/>
        <w:rPr>
          <w:sz w:val="20"/>
          <w:szCs w:val="20"/>
          <w:color w:val="auto"/>
        </w:rPr>
      </w:pPr>
      <w:r>
        <w:rPr>
          <w:rFonts w:ascii="Arial" w:cs="Arial" w:eastAsia="Arial" w:hAnsi="Arial"/>
          <w:sz w:val="15"/>
          <w:szCs w:val="15"/>
          <w:color w:val="auto"/>
        </w:rPr>
        <w:t>Revenue from the North America On-Highway end market is driven by the sale of transmissions to Original Equipment Manufacturers (“OEMs”), distributors and dealers that install the product into Class 4-5, Class 6-7 and Class 8 straight trucks, conventional transit, shuttle and coach buses, school buses and motorhome applications. Revenue from the North America On-Highway end market also includes the sale of electric-hybrid and fully-electric propulsion solutions. Revenue is recognized at the point in time when control passes to the customer, which is based on shipping terms when the order is fulfilled by the Company.</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North America Off-Highway</w:t>
      </w:r>
    </w:p>
    <w:p>
      <w:pPr>
        <w:spacing w:after="0" w:line="149" w:lineRule="exact"/>
        <w:rPr>
          <w:sz w:val="20"/>
          <w:szCs w:val="20"/>
          <w:color w:val="auto"/>
        </w:rPr>
      </w:pPr>
    </w:p>
    <w:p>
      <w:pPr>
        <w:jc w:val="both"/>
        <w:ind w:right="280" w:firstLine="531"/>
        <w:spacing w:after="0" w:line="234" w:lineRule="auto"/>
        <w:rPr>
          <w:sz w:val="20"/>
          <w:szCs w:val="20"/>
          <w:color w:val="auto"/>
        </w:rPr>
      </w:pPr>
      <w:r>
        <w:rPr>
          <w:rFonts w:ascii="Arial" w:cs="Arial" w:eastAsia="Arial" w:hAnsi="Arial"/>
          <w:sz w:val="16"/>
          <w:szCs w:val="16"/>
          <w:color w:val="auto"/>
        </w:rPr>
        <w:t>Revenue from the North America Off-Highway end market is driven by sales of transmissions to OEMs and distributors that serve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Defense</w:t>
      </w:r>
    </w:p>
    <w:p>
      <w:pPr>
        <w:spacing w:after="0" w:line="149" w:lineRule="exact"/>
        <w:rPr>
          <w:sz w:val="20"/>
          <w:szCs w:val="20"/>
          <w:color w:val="auto"/>
        </w:rPr>
      </w:pPr>
    </w:p>
    <w:p>
      <w:pPr>
        <w:ind w:right="180" w:firstLine="531"/>
        <w:spacing w:after="0" w:line="234" w:lineRule="auto"/>
        <w:rPr>
          <w:sz w:val="20"/>
          <w:szCs w:val="20"/>
          <w:color w:val="auto"/>
        </w:rPr>
      </w:pPr>
      <w:r>
        <w:rPr>
          <w:rFonts w:ascii="Arial" w:cs="Arial" w:eastAsia="Arial" w:hAnsi="Arial"/>
          <w:sz w:val="16"/>
          <w:szCs w:val="16"/>
          <w:color w:val="auto"/>
        </w:rPr>
        <w:t>Revenue from the Defense end market is driven by sales of transmissions to the U.S. Government or its contractors and sales to certain government contractors outside of the U.S. for use in both wheeled and tracked defense vehicle applications. Revenue is recognized at the point in time when control passes to the customer, which is based on shipping terms when the order is fulfilled by the Company.</w:t>
      </w:r>
    </w:p>
    <w:p>
      <w:pPr>
        <w:spacing w:after="0" w:line="131" w:lineRule="exact"/>
        <w:rPr>
          <w:sz w:val="20"/>
          <w:szCs w:val="20"/>
          <w:color w:val="auto"/>
        </w:rPr>
      </w:pPr>
    </w:p>
    <w:p>
      <w:pPr>
        <w:jc w:val="both"/>
        <w:ind w:right="320" w:firstLine="531"/>
        <w:spacing w:after="0" w:line="234" w:lineRule="auto"/>
        <w:rPr>
          <w:sz w:val="20"/>
          <w:szCs w:val="20"/>
          <w:color w:val="auto"/>
        </w:rPr>
      </w:pPr>
      <w:r>
        <w:rPr>
          <w:rFonts w:ascii="Arial" w:cs="Arial" w:eastAsia="Arial" w:hAnsi="Arial"/>
          <w:sz w:val="16"/>
          <w:szCs w:val="16"/>
          <w:color w:val="auto"/>
        </w:rPr>
        <w:t>Periodically, the Company and the U.S. Government will enter into a bill-and-hold arrangement where a completed transmission physically remains at the Company’s facility at the request of the U.S. Government. Revenue is recognized at the point in time when it is determined that the U.S. Government accepts the transmission and is able to direct its use.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4"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Outside North America On-Highway</w:t>
      </w:r>
    </w:p>
    <w:p>
      <w:pPr>
        <w:spacing w:after="0" w:line="149" w:lineRule="exact"/>
        <w:rPr>
          <w:sz w:val="20"/>
          <w:szCs w:val="20"/>
          <w:color w:val="auto"/>
        </w:rPr>
      </w:pPr>
    </w:p>
    <w:p>
      <w:pPr>
        <w:ind w:right="120" w:firstLine="531"/>
        <w:spacing w:after="0" w:line="234" w:lineRule="auto"/>
        <w:rPr>
          <w:sz w:val="20"/>
          <w:szCs w:val="20"/>
          <w:color w:val="auto"/>
        </w:rPr>
      </w:pPr>
      <w:r>
        <w:rPr>
          <w:rFonts w:ascii="Arial" w:cs="Arial" w:eastAsia="Arial" w:hAnsi="Arial"/>
          <w:sz w:val="16"/>
          <w:szCs w:val="16"/>
          <w:color w:val="auto"/>
        </w:rPr>
        <w:t>Revenue from the Outside North America On-Highway end market is driven by the sale of transmissions and propulsion solutions to OEMs and distributors that produce vehicles for commercial users in medium and heavy duty applications. Revenue is recognized at the point in time when control passes to the customer, which is based on shipping terms when the order is fulfilled by the Company.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Outside North America Off-Highway</w:t>
      </w:r>
    </w:p>
    <w:p>
      <w:pPr>
        <w:spacing w:after="0" w:line="149" w:lineRule="exact"/>
        <w:rPr>
          <w:sz w:val="20"/>
          <w:szCs w:val="20"/>
          <w:color w:val="auto"/>
        </w:rPr>
      </w:pPr>
    </w:p>
    <w:p>
      <w:pPr>
        <w:ind w:right="420" w:firstLine="531"/>
        <w:spacing w:after="0" w:line="234" w:lineRule="auto"/>
        <w:rPr>
          <w:sz w:val="20"/>
          <w:szCs w:val="20"/>
          <w:color w:val="auto"/>
        </w:rPr>
      </w:pPr>
      <w:r>
        <w:rPr>
          <w:rFonts w:ascii="Arial" w:cs="Arial" w:eastAsia="Arial" w:hAnsi="Arial"/>
          <w:sz w:val="16"/>
          <w:szCs w:val="16"/>
          <w:color w:val="auto"/>
        </w:rPr>
        <w:t>Revenue from the Outside North America Off-Highway end market is driven by sales of transmissions to OEMs and distributors serving end users who operate vehicles and auxiliary equipment in energy, mining and construction applications. Revenue is recognized at the point in time when control passes to the customer, which is based on shipping terms when the order is fulfilled by the Company.</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Service Parts, Support Equipment and Other</w:t>
      </w:r>
    </w:p>
    <w:p>
      <w:pPr>
        <w:spacing w:after="0" w:line="149" w:lineRule="exact"/>
        <w:rPr>
          <w:sz w:val="20"/>
          <w:szCs w:val="20"/>
          <w:color w:val="auto"/>
        </w:rPr>
      </w:pPr>
    </w:p>
    <w:p>
      <w:pPr>
        <w:ind w:right="40" w:firstLine="531"/>
        <w:spacing w:after="0" w:line="234" w:lineRule="auto"/>
        <w:rPr>
          <w:sz w:val="20"/>
          <w:szCs w:val="20"/>
          <w:color w:val="auto"/>
        </w:rPr>
      </w:pPr>
      <w:r>
        <w:rPr>
          <w:rFonts w:ascii="Arial" w:cs="Arial" w:eastAsia="Arial" w:hAnsi="Arial"/>
          <w:sz w:val="16"/>
          <w:szCs w:val="16"/>
          <w:color w:val="auto"/>
        </w:rPr>
        <w:t>Revenue from the Service Parts, Support Equipment and Other end market is primarily derived from the sale of transmission parts and fluid purchased for the normal maintenance and repair needs of products in service, the sale of aluminum die cast components purchased as original parts and the sale of ETC contracts which extend the warranty coverages of transmissions beyond the standard warranty period.</w:t>
      </w:r>
    </w:p>
    <w:p>
      <w:pPr>
        <w:spacing w:after="0" w:line="131" w:lineRule="exact"/>
        <w:rPr>
          <w:sz w:val="20"/>
          <w:szCs w:val="20"/>
          <w:color w:val="auto"/>
        </w:rPr>
      </w:pPr>
    </w:p>
    <w:p>
      <w:pPr>
        <w:ind w:right="100" w:firstLine="531"/>
        <w:spacing w:after="0" w:line="237" w:lineRule="auto"/>
        <w:rPr>
          <w:sz w:val="20"/>
          <w:szCs w:val="20"/>
          <w:color w:val="auto"/>
        </w:rPr>
      </w:pPr>
      <w:r>
        <w:rPr>
          <w:rFonts w:ascii="Arial" w:cs="Arial" w:eastAsia="Arial" w:hAnsi="Arial"/>
          <w:sz w:val="16"/>
          <w:szCs w:val="16"/>
          <w:color w:val="auto"/>
        </w:rPr>
        <w:t>Revenue is recognized on sales of service parts and support equipment at the point in time when control passes to the customer, which is based on shipping terms when the order is fulfilled by the Company.</w:t>
      </w:r>
    </w:p>
    <w:p>
      <w:pPr>
        <w:spacing w:after="0" w:line="129" w:lineRule="exact"/>
        <w:rPr>
          <w:sz w:val="20"/>
          <w:szCs w:val="20"/>
          <w:color w:val="auto"/>
        </w:rPr>
      </w:pPr>
    </w:p>
    <w:p>
      <w:pPr>
        <w:ind w:right="220" w:firstLine="531"/>
        <w:spacing w:after="0" w:line="232" w:lineRule="auto"/>
        <w:rPr>
          <w:sz w:val="20"/>
          <w:szCs w:val="20"/>
          <w:color w:val="auto"/>
        </w:rPr>
      </w:pPr>
      <w:r>
        <w:rPr>
          <w:rFonts w:ascii="Arial" w:cs="Arial" w:eastAsia="Arial" w:hAnsi="Arial"/>
          <w:sz w:val="16"/>
          <w:szCs w:val="16"/>
          <w:color w:val="auto"/>
        </w:rPr>
        <w:t>Revenue from the sale of ETC contracts is recognized ratably over the time period that corresponds with the period of coverage, as the Company has determined this method best depicts the progress towards satisfaction of its performance obligation. ETC contracts are sold in one to five year durations within the North America On-Highway, Outside North America On-Highway, North America Off-Highway and Outside North America Off-Highway end markets. The ETC contract period begins when the standard warranty coverage period ends. All consideration allocated to an ETC performance obligation is initially deferred until the coverage period begins.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INVENTORIES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Pr>
          <w:p>
            <w:pPr>
              <w:spacing w:after="0"/>
              <w:rPr>
                <w:sz w:val="13"/>
                <w:szCs w:val="13"/>
                <w:color w:val="auto"/>
              </w:rPr>
            </w:pPr>
          </w:p>
        </w:tc>
        <w:tc>
          <w:tcPr>
            <w:tcW w:w="1560" w:type="dxa"/>
            <w:vAlign w:val="bottom"/>
          </w:tcPr>
          <w:p>
            <w:pPr>
              <w:jc w:val="right"/>
              <w:ind w:right="284"/>
              <w:spacing w:after="0"/>
              <w:rPr>
                <w:sz w:val="20"/>
                <w:szCs w:val="20"/>
                <w:color w:val="auto"/>
              </w:rPr>
            </w:pPr>
            <w:r>
              <w:rPr>
                <w:rFonts w:ascii="Arial" w:cs="Arial" w:eastAsia="Arial" w:hAnsi="Arial"/>
                <w:sz w:val="13"/>
                <w:szCs w:val="13"/>
                <w:b w:val="1"/>
                <w:bCs w:val="1"/>
                <w:color w:val="auto"/>
              </w:rPr>
              <w:t>December 31, 2018</w:t>
            </w:r>
          </w:p>
        </w:tc>
      </w:tr>
      <w:tr>
        <w:trPr>
          <w:trHeight w:val="179"/>
        </w:trPr>
        <w:tc>
          <w:tcPr>
            <w:tcW w:w="51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27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91</w:t>
            </w:r>
          </w:p>
        </w:tc>
        <w:tc>
          <w:tcPr>
            <w:tcW w:w="1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82</w:t>
            </w:r>
          </w:p>
        </w:tc>
      </w:tr>
      <w:tr>
        <w:trPr>
          <w:trHeight w:val="188"/>
        </w:trPr>
        <w:tc>
          <w:tcPr>
            <w:tcW w:w="5140" w:type="dxa"/>
            <w:vAlign w:val="bottom"/>
          </w:tcPr>
          <w:p>
            <w:pPr>
              <w:spacing w:after="0"/>
              <w:rPr>
                <w:sz w:val="20"/>
                <w:szCs w:val="20"/>
                <w:color w:val="auto"/>
              </w:rPr>
            </w:pPr>
            <w:r>
              <w:rPr>
                <w:rFonts w:ascii="Arial" w:cs="Arial" w:eastAsia="Arial" w:hAnsi="Arial"/>
                <w:sz w:val="16"/>
                <w:szCs w:val="16"/>
                <w:color w:val="auto"/>
              </w:rPr>
              <w:t>Work in progress</w:t>
            </w: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44"/>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64"/>
              <w:spacing w:after="0"/>
              <w:rPr>
                <w:sz w:val="20"/>
                <w:szCs w:val="20"/>
                <w:color w:val="auto"/>
              </w:rPr>
            </w:pPr>
            <w:r>
              <w:rPr>
                <w:rFonts w:ascii="Arial" w:cs="Arial" w:eastAsia="Arial" w:hAnsi="Arial"/>
                <w:sz w:val="16"/>
                <w:szCs w:val="16"/>
                <w:color w:val="auto"/>
              </w:rPr>
              <w:t>8</w:t>
            </w:r>
          </w:p>
        </w:tc>
      </w:tr>
      <w:tr>
        <w:trPr>
          <w:trHeight w:val="18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27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60</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48</w:t>
            </w:r>
          </w:p>
        </w:tc>
      </w:tr>
      <w:tr>
        <w:trPr>
          <w:trHeight w:val="188"/>
        </w:trPr>
        <w:tc>
          <w:tcPr>
            <w:tcW w:w="5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274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31</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32</w:t>
            </w:r>
          </w:p>
        </w:tc>
      </w:tr>
      <w:tr>
        <w:trPr>
          <w:trHeight w:val="179"/>
        </w:trPr>
        <w:tc>
          <w:tcPr>
            <w:tcW w:w="51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27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199</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170</w:t>
            </w:r>
          </w:p>
        </w:tc>
      </w:tr>
      <w:tr>
        <w:trPr>
          <w:trHeight w:val="20"/>
        </w:trPr>
        <w:tc>
          <w:tcPr>
            <w:tcW w:w="5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80" w:firstLine="531"/>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14, “Other Current Liabilities” for more information.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cost and accumulated depreciation of property, plant and equipment are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2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Pr>
          <w:p>
            <w:pPr>
              <w:spacing w:after="0"/>
              <w:rPr>
                <w:sz w:val="13"/>
                <w:szCs w:val="13"/>
                <w:color w:val="auto"/>
              </w:rPr>
            </w:pPr>
          </w:p>
        </w:tc>
        <w:tc>
          <w:tcPr>
            <w:tcW w:w="1560" w:type="dxa"/>
            <w:vAlign w:val="bottom"/>
          </w:tcPr>
          <w:p>
            <w:pPr>
              <w:jc w:val="right"/>
              <w:ind w:right="283"/>
              <w:spacing w:after="0"/>
              <w:rPr>
                <w:sz w:val="20"/>
                <w:szCs w:val="20"/>
                <w:color w:val="auto"/>
              </w:rPr>
            </w:pPr>
            <w:r>
              <w:rPr>
                <w:rFonts w:ascii="Arial" w:cs="Arial" w:eastAsia="Arial" w:hAnsi="Arial"/>
                <w:sz w:val="13"/>
                <w:szCs w:val="13"/>
                <w:b w:val="1"/>
                <w:bCs w:val="1"/>
                <w:color w:val="auto"/>
              </w:rPr>
              <w:t>December 31, 2018</w:t>
            </w:r>
          </w:p>
        </w:tc>
      </w:tr>
      <w:tr>
        <w:trPr>
          <w:trHeight w:val="179"/>
        </w:trPr>
        <w:tc>
          <w:tcPr>
            <w:tcW w:w="52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Land and land improvements</w:t>
            </w:r>
          </w:p>
        </w:tc>
        <w:tc>
          <w:tcPr>
            <w:tcW w:w="26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top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25</w:t>
            </w:r>
          </w:p>
        </w:tc>
        <w:tc>
          <w:tcPr>
            <w:tcW w:w="1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24</w:t>
            </w:r>
          </w:p>
        </w:tc>
      </w:tr>
      <w:tr>
        <w:trPr>
          <w:trHeight w:val="188"/>
        </w:trPr>
        <w:tc>
          <w:tcPr>
            <w:tcW w:w="5260" w:type="dxa"/>
            <w:vAlign w:val="bottom"/>
          </w:tcPr>
          <w:p>
            <w:pPr>
              <w:spacing w:after="0"/>
              <w:rPr>
                <w:sz w:val="20"/>
                <w:szCs w:val="20"/>
                <w:color w:val="auto"/>
              </w:rPr>
            </w:pPr>
            <w:r>
              <w:rPr>
                <w:rFonts w:ascii="Arial" w:cs="Arial" w:eastAsia="Arial" w:hAnsi="Arial"/>
                <w:sz w:val="16"/>
                <w:szCs w:val="16"/>
                <w:color w:val="auto"/>
              </w:rPr>
              <w:t>Buildings and building improvements</w:t>
            </w: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342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336</w:t>
            </w:r>
          </w:p>
        </w:tc>
      </w:tr>
      <w:tr>
        <w:trPr>
          <w:trHeight w:val="188"/>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Machinery and equipment</w:t>
            </w:r>
          </w:p>
        </w:tc>
        <w:tc>
          <w:tcPr>
            <w:tcW w:w="2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722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643</w:t>
            </w:r>
          </w:p>
        </w:tc>
      </w:tr>
      <w:tr>
        <w:trPr>
          <w:trHeight w:val="188"/>
        </w:trPr>
        <w:tc>
          <w:tcPr>
            <w:tcW w:w="5260" w:type="dxa"/>
            <w:vAlign w:val="bottom"/>
          </w:tcPr>
          <w:p>
            <w:pPr>
              <w:spacing w:after="0"/>
              <w:rPr>
                <w:sz w:val="20"/>
                <w:szCs w:val="20"/>
                <w:color w:val="auto"/>
              </w:rPr>
            </w:pPr>
            <w:r>
              <w:rPr>
                <w:rFonts w:ascii="Arial" w:cs="Arial" w:eastAsia="Arial" w:hAnsi="Arial"/>
                <w:sz w:val="16"/>
                <w:szCs w:val="16"/>
                <w:color w:val="auto"/>
              </w:rPr>
              <w:t>Software</w:t>
            </w: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163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143</w:t>
            </w:r>
          </w:p>
        </w:tc>
      </w:tr>
      <w:tr>
        <w:trPr>
          <w:trHeight w:val="188"/>
        </w:trPr>
        <w:tc>
          <w:tcPr>
            <w:tcW w:w="5260" w:type="dxa"/>
            <w:vAlign w:val="bottom"/>
            <w:shd w:val="clear" w:color="auto" w:fill="CFF0FC"/>
          </w:tcPr>
          <w:p>
            <w:pPr>
              <w:spacing w:after="0"/>
              <w:rPr>
                <w:sz w:val="20"/>
                <w:szCs w:val="20"/>
                <w:color w:val="auto"/>
              </w:rPr>
            </w:pPr>
            <w:r>
              <w:rPr>
                <w:rFonts w:ascii="Arial" w:cs="Arial" w:eastAsia="Arial" w:hAnsi="Arial"/>
                <w:sz w:val="16"/>
                <w:szCs w:val="16"/>
                <w:color w:val="auto"/>
              </w:rPr>
              <w:t>Special tooling</w:t>
            </w:r>
          </w:p>
        </w:tc>
        <w:tc>
          <w:tcPr>
            <w:tcW w:w="2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202</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201</w:t>
            </w:r>
          </w:p>
        </w:tc>
      </w:tr>
      <w:tr>
        <w:trPr>
          <w:trHeight w:val="188"/>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Construction in progress</w:t>
            </w:r>
          </w:p>
        </w:tc>
        <w:tc>
          <w:tcPr>
            <w:tcW w:w="26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141</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52</w:t>
            </w:r>
          </w:p>
        </w:tc>
      </w:tr>
      <w:tr>
        <w:trPr>
          <w:trHeight w:val="179"/>
        </w:trPr>
        <w:tc>
          <w:tcPr>
            <w:tcW w:w="52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property, plant and equipment</w:t>
            </w:r>
          </w:p>
        </w:tc>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1,595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1,399</w:t>
            </w:r>
          </w:p>
        </w:tc>
      </w:tr>
      <w:tr>
        <w:trPr>
          <w:trHeight w:val="188"/>
        </w:trPr>
        <w:tc>
          <w:tcPr>
            <w:tcW w:w="5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Accumulated depreciation</w:t>
            </w:r>
          </w:p>
        </w:tc>
        <w:tc>
          <w:tcPr>
            <w:tcW w:w="262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(979)</w:t>
            </w:r>
          </w:p>
        </w:tc>
        <w:tc>
          <w:tcPr>
            <w:tcW w:w="1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(933)</w:t>
            </w:r>
          </w:p>
        </w:tc>
      </w:tr>
      <w:tr>
        <w:trPr>
          <w:trHeight w:val="179"/>
        </w:trPr>
        <w:tc>
          <w:tcPr>
            <w:tcW w:w="526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Property, plant and equipment, net</w:t>
            </w:r>
          </w:p>
        </w:tc>
        <w:tc>
          <w:tcPr>
            <w:tcW w:w="26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616</w:t>
            </w: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466</w:t>
            </w:r>
          </w:p>
        </w:tc>
      </w:tr>
      <w:tr>
        <w:trPr>
          <w:trHeight w:val="20"/>
        </w:trPr>
        <w:tc>
          <w:tcPr>
            <w:tcW w:w="5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720" w:firstLine="531"/>
        <w:spacing w:after="0" w:line="237" w:lineRule="auto"/>
        <w:rPr>
          <w:sz w:val="20"/>
          <w:szCs w:val="20"/>
          <w:color w:val="auto"/>
        </w:rPr>
      </w:pPr>
      <w:r>
        <w:rPr>
          <w:rFonts w:ascii="Arial" w:cs="Arial" w:eastAsia="Arial" w:hAnsi="Arial"/>
          <w:sz w:val="16"/>
          <w:szCs w:val="16"/>
          <w:color w:val="auto"/>
        </w:rPr>
        <w:t>Depreciation of property, plant and equipment was $81 million, $77 million and $80 million for the years ended December 31, 2019, 2018 and 2017, respectively.</w:t>
      </w:r>
    </w:p>
    <w:p>
      <w:pPr>
        <w:spacing w:after="0" w:line="129" w:lineRule="exact"/>
        <w:rPr>
          <w:sz w:val="20"/>
          <w:szCs w:val="20"/>
          <w:color w:val="auto"/>
        </w:rPr>
      </w:pPr>
    </w:p>
    <w:p>
      <w:pPr>
        <w:ind w:right="340" w:firstLine="531"/>
        <w:spacing w:after="0" w:line="233" w:lineRule="auto"/>
        <w:rPr>
          <w:sz w:val="20"/>
          <w:szCs w:val="20"/>
          <w:color w:val="auto"/>
        </w:rPr>
      </w:pPr>
      <w:r>
        <w:rPr>
          <w:rFonts w:ascii="Arial" w:cs="Arial" w:eastAsia="Arial" w:hAnsi="Arial"/>
          <w:sz w:val="16"/>
          <w:szCs w:val="16"/>
          <w:color w:val="auto"/>
        </w:rPr>
        <w:t>As a result of events and circumstances related to weak demand conditions for the TC10 product in the fourth quarter of 2017 and the decision to cease production of the TC10 product in the fourth quarter of 2018, the Company reviewed certain of its long-lived assets related to the production of the TC10 product, resulting in losses of $1 million and $32 million for the years ended December 31, 2018 and 2017. See NOTE 2 “Summary of Significant Accounting Policies”, Impairment of Long-Lived Assets for more information.</w:t>
      </w:r>
    </w:p>
    <w:p>
      <w:pPr>
        <w:spacing w:after="0" w:line="130" w:lineRule="exact"/>
        <w:rPr>
          <w:sz w:val="20"/>
          <w:szCs w:val="20"/>
          <w:color w:val="auto"/>
        </w:rPr>
      </w:pPr>
    </w:p>
    <w:p>
      <w:pPr>
        <w:ind w:right="640" w:firstLine="531"/>
        <w:spacing w:after="0" w:line="237" w:lineRule="auto"/>
        <w:rPr>
          <w:sz w:val="20"/>
          <w:szCs w:val="20"/>
          <w:color w:val="auto"/>
        </w:rPr>
      </w:pPr>
      <w:r>
        <w:rPr>
          <w:rFonts w:ascii="Arial" w:cs="Arial" w:eastAsia="Arial" w:hAnsi="Arial"/>
          <w:sz w:val="16"/>
          <w:szCs w:val="16"/>
          <w:color w:val="auto"/>
        </w:rPr>
        <w:t>During 2019, the Company completed three acquisitions resulting in additional property, plant and equipment. See NOTE 25 “Acquisitions” for further information on the impact of the three acquisitions to the Company’s consolidated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GOODWILL AND OTHER INTANGIBLE ASSETS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2019 and 2018, the carrying amount of the Company’s Goodwill was $2,041 million and $1,941 million, respectively.</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December 31, 2018</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32"/>
        </w:trPr>
        <w:tc>
          <w:tcPr>
            <w:tcW w:w="36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204"/>
              <w:spacing w:after="0" w:line="133" w:lineRule="exact"/>
              <w:rPr>
                <w:sz w:val="20"/>
                <w:szCs w:val="20"/>
                <w:color w:val="auto"/>
              </w:rPr>
            </w:pPr>
            <w:r>
              <w:rPr>
                <w:rFonts w:ascii="Arial" w:cs="Arial" w:eastAsia="Arial" w:hAnsi="Arial"/>
                <w:sz w:val="13"/>
                <w:szCs w:val="13"/>
                <w:b w:val="1"/>
                <w:bCs w:val="1"/>
                <w:color w:val="auto"/>
                <w:w w:val="97"/>
              </w:rPr>
              <w:t>Intangible</w:t>
            </w:r>
          </w:p>
        </w:tc>
        <w:tc>
          <w:tcPr>
            <w:tcW w:w="120" w:type="dxa"/>
            <w:vAlign w:val="bottom"/>
          </w:tcPr>
          <w:p>
            <w:pPr>
              <w:spacing w:after="0"/>
              <w:rPr>
                <w:sz w:val="11"/>
                <w:szCs w:val="11"/>
                <w:color w:val="auto"/>
              </w:rPr>
            </w:pPr>
          </w:p>
        </w:tc>
        <w:tc>
          <w:tcPr>
            <w:tcW w:w="1040" w:type="dxa"/>
            <w:vAlign w:val="bottom"/>
            <w:gridSpan w:val="2"/>
          </w:tcPr>
          <w:p>
            <w:pPr>
              <w:jc w:val="center"/>
              <w:ind w:right="62"/>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46"/>
              <w:spacing w:after="0" w:line="133" w:lineRule="exact"/>
              <w:rPr>
                <w:sz w:val="20"/>
                <w:szCs w:val="20"/>
                <w:color w:val="auto"/>
              </w:rPr>
            </w:pPr>
            <w:r>
              <w:rPr>
                <w:rFonts w:ascii="Arial" w:cs="Arial" w:eastAsia="Arial" w:hAnsi="Arial"/>
                <w:sz w:val="13"/>
                <w:szCs w:val="13"/>
                <w:b w:val="1"/>
                <w:bCs w:val="1"/>
                <w:color w:val="auto"/>
                <w:w w:val="94"/>
              </w:rPr>
              <w:t>Intangible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124"/>
              <w:spacing w:after="0" w:line="133" w:lineRule="exact"/>
              <w:rPr>
                <w:sz w:val="20"/>
                <w:szCs w:val="20"/>
                <w:color w:val="auto"/>
              </w:rPr>
            </w:pPr>
            <w:r>
              <w:rPr>
                <w:rFonts w:ascii="Arial" w:cs="Arial" w:eastAsia="Arial" w:hAnsi="Arial"/>
                <w:sz w:val="13"/>
                <w:szCs w:val="13"/>
                <w:b w:val="1"/>
                <w:bCs w:val="1"/>
                <w:color w:val="auto"/>
              </w:rPr>
              <w:t>Intangible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900" w:type="dxa"/>
            <w:vAlign w:val="bottom"/>
          </w:tcPr>
          <w:p>
            <w:pPr>
              <w:jc w:val="right"/>
              <w:ind w:right="186"/>
              <w:spacing w:after="0" w:line="133" w:lineRule="exact"/>
              <w:rPr>
                <w:sz w:val="20"/>
                <w:szCs w:val="20"/>
                <w:color w:val="auto"/>
              </w:rPr>
            </w:pPr>
            <w:r>
              <w:rPr>
                <w:rFonts w:ascii="Arial" w:cs="Arial" w:eastAsia="Arial" w:hAnsi="Arial"/>
                <w:sz w:val="13"/>
                <w:szCs w:val="13"/>
                <w:b w:val="1"/>
                <w:bCs w:val="1"/>
                <w:color w:val="auto"/>
              </w:rPr>
              <w:t>Intangible</w:t>
            </w:r>
          </w:p>
        </w:tc>
      </w:tr>
      <w:tr>
        <w:trPr>
          <w:trHeight w:val="153"/>
        </w:trPr>
        <w:tc>
          <w:tcPr>
            <w:tcW w:w="3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20" w:type="dxa"/>
            <w:vAlign w:val="bottom"/>
            <w:gridSpan w:val="2"/>
          </w:tcPr>
          <w:p>
            <w:pPr>
              <w:jc w:val="right"/>
              <w:ind w:right="104"/>
              <w:spacing w:after="0"/>
              <w:rPr>
                <w:sz w:val="20"/>
                <w:szCs w:val="20"/>
                <w:color w:val="auto"/>
              </w:rPr>
            </w:pPr>
            <w:r>
              <w:rPr>
                <w:rFonts w:ascii="Arial" w:cs="Arial" w:eastAsia="Arial" w:hAnsi="Arial"/>
                <w:sz w:val="13"/>
                <w:szCs w:val="13"/>
                <w:b w:val="1"/>
                <w:bCs w:val="1"/>
                <w:color w:val="auto"/>
                <w:w w:val="98"/>
              </w:rPr>
              <w:t>assets, gross</w:t>
            </w:r>
          </w:p>
        </w:tc>
        <w:tc>
          <w:tcPr>
            <w:tcW w:w="120" w:type="dxa"/>
            <w:vAlign w:val="bottom"/>
          </w:tcPr>
          <w:p>
            <w:pPr>
              <w:spacing w:after="0"/>
              <w:rPr>
                <w:sz w:val="13"/>
                <w:szCs w:val="13"/>
                <w:color w:val="auto"/>
              </w:rPr>
            </w:pPr>
          </w:p>
        </w:tc>
        <w:tc>
          <w:tcPr>
            <w:tcW w:w="1040" w:type="dxa"/>
            <w:vAlign w:val="bottom"/>
            <w:gridSpan w:val="2"/>
          </w:tcPr>
          <w:p>
            <w:pPr>
              <w:jc w:val="center"/>
              <w:ind w:right="62"/>
              <w:spacing w:after="0"/>
              <w:rPr>
                <w:sz w:val="20"/>
                <w:szCs w:val="20"/>
                <w:color w:val="auto"/>
              </w:rPr>
            </w:pPr>
            <w:r>
              <w:rPr>
                <w:rFonts w:ascii="Arial" w:cs="Arial" w:eastAsia="Arial" w:hAnsi="Arial"/>
                <w:sz w:val="13"/>
                <w:szCs w:val="13"/>
                <w:b w:val="1"/>
                <w:bCs w:val="1"/>
                <w:color w:val="auto"/>
                <w:w w:val="95"/>
              </w:rPr>
              <w:t>amortization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5"/>
              </w:rPr>
              <w:t>assets, net</w:t>
            </w:r>
          </w:p>
        </w:tc>
        <w:tc>
          <w:tcPr>
            <w:tcW w:w="960" w:type="dxa"/>
            <w:vAlign w:val="bottom"/>
            <w:gridSpan w:val="2"/>
          </w:tcPr>
          <w:p>
            <w:pPr>
              <w:jc w:val="right"/>
              <w:ind w:right="24"/>
              <w:spacing w:after="0"/>
              <w:rPr>
                <w:sz w:val="20"/>
                <w:szCs w:val="20"/>
                <w:color w:val="auto"/>
              </w:rPr>
            </w:pPr>
            <w:r>
              <w:rPr>
                <w:rFonts w:ascii="Arial" w:cs="Arial" w:eastAsia="Arial" w:hAnsi="Arial"/>
                <w:sz w:val="13"/>
                <w:szCs w:val="13"/>
                <w:b w:val="1"/>
                <w:bCs w:val="1"/>
                <w:color w:val="auto"/>
              </w:rPr>
              <w:t>assets, gross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900" w:type="dxa"/>
            <w:vAlign w:val="bottom"/>
          </w:tcPr>
          <w:p>
            <w:pPr>
              <w:jc w:val="right"/>
              <w:ind w:right="166"/>
              <w:spacing w:after="0"/>
              <w:rPr>
                <w:sz w:val="20"/>
                <w:szCs w:val="20"/>
                <w:color w:val="auto"/>
              </w:rPr>
            </w:pPr>
            <w:r>
              <w:rPr>
                <w:rFonts w:ascii="Arial" w:cs="Arial" w:eastAsia="Arial" w:hAnsi="Arial"/>
                <w:sz w:val="13"/>
                <w:szCs w:val="13"/>
                <w:b w:val="1"/>
                <w:bCs w:val="1"/>
                <w:color w:val="auto"/>
                <w:w w:val="95"/>
              </w:rPr>
              <w:t>assets, net</w:t>
            </w:r>
          </w:p>
        </w:tc>
      </w:tr>
      <w:tr>
        <w:trPr>
          <w:trHeight w:val="179"/>
        </w:trPr>
        <w:tc>
          <w:tcPr>
            <w:tcW w:w="368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6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Trade name</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b w:val="1"/>
                <w:bCs w:val="1"/>
                <w:color w:val="auto"/>
              </w:rPr>
              <w:t>791</w:t>
            </w:r>
          </w:p>
        </w:tc>
        <w:tc>
          <w:tcPr>
            <w:tcW w:w="400" w:type="dxa"/>
            <w:vAlign w:val="bottom"/>
            <w:gridSpan w:val="2"/>
          </w:tcPr>
          <w:p>
            <w:pPr>
              <w:jc w:val="right"/>
              <w:ind w:right="112"/>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46"/>
              <w:spacing w:after="0"/>
              <w:rPr>
                <w:sz w:val="20"/>
                <w:szCs w:val="20"/>
                <w:color w:val="auto"/>
              </w:rPr>
            </w:pPr>
            <w:r>
              <w:rPr>
                <w:rFonts w:ascii="Arial" w:cs="Arial" w:eastAsia="Arial" w:hAnsi="Arial"/>
                <w:sz w:val="16"/>
                <w:szCs w:val="16"/>
                <w:b w:val="1"/>
                <w:bCs w:val="1"/>
                <w:color w:val="auto"/>
              </w:rPr>
              <w:t>791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790</w:t>
            </w:r>
          </w:p>
        </w:tc>
        <w:tc>
          <w:tcPr>
            <w:tcW w:w="460" w:type="dxa"/>
            <w:vAlign w:val="bottom"/>
            <w:gridSpan w:val="3"/>
          </w:tcPr>
          <w:p>
            <w:pPr>
              <w:jc w:val="right"/>
              <w:ind w:right="117"/>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790</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In process research and development</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2"/>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50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w:t>
            </w:r>
          </w:p>
        </w:tc>
      </w:tr>
      <w:tr>
        <w:trPr>
          <w:trHeight w:val="188"/>
        </w:trPr>
        <w:tc>
          <w:tcPr>
            <w:tcW w:w="368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b w:val="1"/>
                <w:bCs w:val="1"/>
                <w:color w:val="auto"/>
              </w:rPr>
              <w:t>839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(664)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6"/>
              <w:spacing w:after="0"/>
              <w:rPr>
                <w:sz w:val="20"/>
                <w:szCs w:val="20"/>
                <w:color w:val="auto"/>
              </w:rPr>
            </w:pPr>
            <w:r>
              <w:rPr>
                <w:rFonts w:ascii="Arial" w:cs="Arial" w:eastAsia="Arial" w:hAnsi="Arial"/>
                <w:sz w:val="16"/>
                <w:szCs w:val="16"/>
                <w:b w:val="1"/>
                <w:bCs w:val="1"/>
                <w:color w:val="auto"/>
              </w:rPr>
              <w:t>175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6"/>
              <w:spacing w:after="0"/>
              <w:rPr>
                <w:sz w:val="20"/>
                <w:szCs w:val="20"/>
                <w:color w:val="auto"/>
              </w:rPr>
            </w:pPr>
            <w:r>
              <w:rPr>
                <w:rFonts w:ascii="Arial" w:cs="Arial" w:eastAsia="Arial" w:hAnsi="Arial"/>
                <w:sz w:val="16"/>
                <w:szCs w:val="16"/>
                <w:color w:val="auto"/>
              </w:rPr>
              <w:t>213</w:t>
            </w:r>
          </w:p>
        </w:tc>
      </w:tr>
      <w:tr>
        <w:trPr>
          <w:trHeight w:val="188"/>
        </w:trPr>
        <w:tc>
          <w:tcPr>
            <w:tcW w:w="368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481</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476</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42</w:t>
            </w:r>
          </w:p>
        </w:tc>
      </w:tr>
      <w:tr>
        <w:trPr>
          <w:trHeight w:val="188"/>
        </w:trPr>
        <w:tc>
          <w:tcPr>
            <w:tcW w:w="3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6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62</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21</w:t>
            </w:r>
          </w:p>
        </w:tc>
      </w:tr>
      <w:tr>
        <w:trPr>
          <w:trHeight w:val="179"/>
        </w:trPr>
        <w:tc>
          <w:tcPr>
            <w:tcW w:w="36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2,223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12"/>
              <w:spacing w:after="0" w:line="180" w:lineRule="exact"/>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(1,181)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1,042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2,160</w:t>
            </w:r>
          </w:p>
        </w:tc>
        <w:tc>
          <w:tcPr>
            <w:tcW w:w="460" w:type="dxa"/>
            <w:vAlign w:val="bottom"/>
            <w:gridSpan w:val="3"/>
            <w:shd w:val="clear" w:color="auto" w:fill="CFF0FC"/>
          </w:tcPr>
          <w:p>
            <w:pPr>
              <w:jc w:val="right"/>
              <w:ind w:right="117"/>
              <w:spacing w:after="0" w:line="180"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(1,094)</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1,066</w:t>
            </w: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of intangible assets was $86 million, $87 million and $90 million for the years ended December 31, 2019, 2018 and 2017, respectively.</w:t>
      </w:r>
    </w:p>
    <w:p>
      <w:pPr>
        <w:spacing w:after="0" w:line="133" w:lineRule="exact"/>
        <w:rPr>
          <w:sz w:val="20"/>
          <w:szCs w:val="20"/>
          <w:color w:val="auto"/>
        </w:rPr>
      </w:pPr>
    </w:p>
    <w:p>
      <w:pPr>
        <w:ind w:right="20" w:firstLine="531"/>
        <w:spacing w:after="0" w:line="233" w:lineRule="auto"/>
        <w:rPr>
          <w:sz w:val="20"/>
          <w:szCs w:val="20"/>
          <w:color w:val="auto"/>
        </w:rPr>
      </w:pPr>
      <w:r>
        <w:rPr>
          <w:rFonts w:ascii="Arial" w:cs="Arial" w:eastAsia="Arial" w:hAnsi="Arial"/>
          <w:sz w:val="16"/>
          <w:szCs w:val="16"/>
          <w:color w:val="auto"/>
        </w:rPr>
        <w:t>As of December 31, 2019 and 2018, the net carrying value of the Company’s Goodwill and Other intangible assets, net was $3,083 million and $3,007 million, respectively. The Company’s 2019 annual goodwill impairment test indicated that the fair value of the reporting unit more likely than not exceeded its carrying value, indicating no impairment. The Company's 2019 annual indefinite lived intangible assets impairment test indicated that the fair value of the Company’s indefinite lived intangible assets more likely than not exceeded their carrying value, indicating no impairment.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Amortization expense related to other intangible assets for the next five years is expected to be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40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2021</w:t>
            </w: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2024</w:t>
            </w:r>
          </w:p>
        </w:tc>
      </w:tr>
      <w:tr>
        <w:trPr>
          <w:trHeight w:val="179"/>
        </w:trPr>
        <w:tc>
          <w:tcPr>
            <w:tcW w:w="540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Amortization expense</w:t>
            </w: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70"/>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572"/>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45</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8</w:t>
            </w:r>
          </w:p>
        </w:tc>
      </w:tr>
    </w:tbl>
    <w:p>
      <w:pPr>
        <w:spacing w:after="0" w:line="140" w:lineRule="exact"/>
        <w:rPr>
          <w:sz w:val="20"/>
          <w:szCs w:val="20"/>
          <w:color w:val="auto"/>
        </w:rPr>
      </w:pPr>
    </w:p>
    <w:p>
      <w:pPr>
        <w:ind w:right="80" w:firstLine="531"/>
        <w:spacing w:after="0" w:line="237" w:lineRule="auto"/>
        <w:rPr>
          <w:sz w:val="20"/>
          <w:szCs w:val="20"/>
          <w:color w:val="auto"/>
        </w:rPr>
      </w:pPr>
      <w:r>
        <w:rPr>
          <w:rFonts w:ascii="Arial" w:cs="Arial" w:eastAsia="Arial" w:hAnsi="Arial"/>
          <w:sz w:val="16"/>
          <w:szCs w:val="16"/>
          <w:color w:val="auto"/>
        </w:rPr>
        <w:t>During 2019, the Company completed three acquisitions resulting in additional goodwill and other intangible assets. The following presents a summary of the impact of these acquisitions on the goodwill of the Company’s single operating and reporting segment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224"/>
              <w:spacing w:after="0"/>
              <w:rPr>
                <w:sz w:val="20"/>
                <w:szCs w:val="20"/>
                <w:color w:val="auto"/>
              </w:rPr>
            </w:pPr>
            <w:r>
              <w:rPr>
                <w:rFonts w:ascii="Arial" w:cs="Arial" w:eastAsia="Arial" w:hAnsi="Arial"/>
                <w:sz w:val="13"/>
                <w:szCs w:val="13"/>
                <w:b w:val="1"/>
                <w:bCs w:val="1"/>
                <w:color w:val="auto"/>
                <w:w w:val="98"/>
              </w:rPr>
              <w:t>Allison Transmission, Inc.</w:t>
            </w:r>
          </w:p>
        </w:tc>
      </w:tr>
      <w:tr>
        <w:trPr>
          <w:trHeight w:val="179"/>
        </w:trPr>
        <w:tc>
          <w:tcPr>
            <w:tcW w:w="9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2017</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1,941</w:t>
            </w:r>
          </w:p>
        </w:tc>
      </w:tr>
      <w:tr>
        <w:trPr>
          <w:trHeight w:val="188"/>
        </w:trPr>
        <w:tc>
          <w:tcPr>
            <w:tcW w:w="94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Changes affecting goodwill</w:t>
            </w: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r>
      <w:tr>
        <w:trPr>
          <w:trHeight w:val="179"/>
        </w:trPr>
        <w:tc>
          <w:tcPr>
            <w:tcW w:w="9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Borders>
              <w:bottom w:val="single" w:sz="8" w:color="auto"/>
            </w:tcBorders>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w:t>
            </w:r>
          </w:p>
        </w:tc>
      </w:tr>
      <w:tr>
        <w:trPr>
          <w:trHeight w:val="179"/>
        </w:trPr>
        <w:tc>
          <w:tcPr>
            <w:tcW w:w="9420" w:type="dxa"/>
            <w:vAlign w:val="bottom"/>
          </w:tcPr>
          <w:p>
            <w:pPr>
              <w:spacing w:after="0" w:line="180" w:lineRule="exact"/>
              <w:rPr>
                <w:sz w:val="20"/>
                <w:szCs w:val="20"/>
                <w:color w:val="auto"/>
              </w:rPr>
            </w:pPr>
            <w:r>
              <w:rPr>
                <w:rFonts w:ascii="Arial" w:cs="Arial" w:eastAsia="Arial" w:hAnsi="Arial"/>
                <w:sz w:val="16"/>
                <w:szCs w:val="16"/>
                <w:color w:val="auto"/>
              </w:rPr>
              <w:t>Balance at December 31, 2018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tcPr>
          <w:p>
            <w:pPr>
              <w:jc w:val="right"/>
              <w:ind w:right="44"/>
              <w:spacing w:after="0" w:line="180" w:lineRule="exact"/>
              <w:rPr>
                <w:sz w:val="20"/>
                <w:szCs w:val="20"/>
                <w:color w:val="auto"/>
              </w:rPr>
            </w:pPr>
            <w:r>
              <w:rPr>
                <w:rFonts w:ascii="Arial" w:cs="Arial" w:eastAsia="Arial" w:hAnsi="Arial"/>
                <w:sz w:val="16"/>
                <w:szCs w:val="16"/>
                <w:color w:val="auto"/>
              </w:rPr>
              <w:t>1,941</w:t>
            </w:r>
          </w:p>
        </w:tc>
      </w:tr>
      <w:tr>
        <w:trPr>
          <w:trHeight w:val="188"/>
        </w:trPr>
        <w:tc>
          <w:tcPr>
            <w:tcW w:w="94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Acquisitions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100</w:t>
            </w:r>
          </w:p>
        </w:tc>
      </w:tr>
      <w:tr>
        <w:trPr>
          <w:trHeight w:val="179"/>
        </w:trPr>
        <w:tc>
          <w:tcPr>
            <w:tcW w:w="942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impact to goodwill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90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100</w:t>
            </w:r>
          </w:p>
        </w:tc>
      </w:tr>
      <w:tr>
        <w:trPr>
          <w:trHeight w:val="179"/>
        </w:trPr>
        <w:tc>
          <w:tcPr>
            <w:tcW w:w="9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2019</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9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2,041</w:t>
            </w:r>
          </w:p>
        </w:tc>
      </w:tr>
    </w:tbl>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NOTE 25 “Acquisitions” for more information on the impact of the three acquisitions to the Company’s consolidated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FAIR VALUE OF FINANCIAL INSTRUMENTS</w:t>
      </w:r>
    </w:p>
    <w:p>
      <w:pPr>
        <w:spacing w:after="0" w:line="153" w:lineRule="exact"/>
        <w:rPr>
          <w:sz w:val="20"/>
          <w:szCs w:val="20"/>
          <w:color w:val="auto"/>
        </w:rPr>
      </w:pPr>
    </w:p>
    <w:p>
      <w:pPr>
        <w:ind w:firstLine="531"/>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31" w:lineRule="exact"/>
        <w:rPr>
          <w:sz w:val="20"/>
          <w:szCs w:val="20"/>
          <w:color w:val="auto"/>
        </w:rPr>
      </w:pPr>
    </w:p>
    <w:p>
      <w:pPr>
        <w:ind w:right="60" w:firstLine="531"/>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31" w:lineRule="exact"/>
        <w:rPr>
          <w:sz w:val="20"/>
          <w:szCs w:val="20"/>
          <w:color w:val="auto"/>
        </w:rPr>
      </w:pPr>
    </w:p>
    <w:p>
      <w:pPr>
        <w:ind w:right="320" w:firstLine="531"/>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60" w:firstLine="531"/>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2019 and December 31, 2018, the Company did not have any Level 3 financial assets or liabilities.</w:t>
      </w:r>
    </w:p>
    <w:p>
      <w:pPr>
        <w:spacing w:after="0" w:line="130" w:lineRule="exact"/>
        <w:rPr>
          <w:sz w:val="20"/>
          <w:szCs w:val="20"/>
          <w:color w:val="auto"/>
        </w:rPr>
      </w:pPr>
    </w:p>
    <w:p>
      <w:pPr>
        <w:ind w:right="20" w:firstLine="531"/>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30" w:lineRule="exact"/>
        <w:rPr>
          <w:sz w:val="20"/>
          <w:szCs w:val="20"/>
          <w:color w:val="auto"/>
        </w:rPr>
      </w:pPr>
    </w:p>
    <w:p>
      <w:pPr>
        <w:ind w:right="240" w:firstLine="531"/>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30" w:lineRule="exact"/>
        <w:rPr>
          <w:sz w:val="20"/>
          <w:szCs w:val="20"/>
          <w:color w:val="auto"/>
        </w:rPr>
      </w:pPr>
    </w:p>
    <w:p>
      <w:pPr>
        <w:jc w:val="both"/>
        <w:ind w:right="240" w:firstLine="531"/>
        <w:spacing w:after="0" w:line="234"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Consolidated Balance Sheets.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summarizes the fair value of the Company’s financial assets and (liabilities) as of December 31, 2019 and 2018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3"/>
                <w:szCs w:val="13"/>
                <w:b w:val="1"/>
                <w:bCs w:val="1"/>
                <w:color w:val="auto"/>
                <w:w w:val="95"/>
              </w:rPr>
              <w:t>Fair Value Measurements Using</w:t>
            </w:r>
          </w:p>
        </w:tc>
        <w:tc>
          <w:tcPr>
            <w:tcW w:w="1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4"/>
          </w:tcPr>
          <w:p>
            <w:pPr>
              <w:jc w:val="center"/>
              <w:ind w:left="212"/>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4"/>
          </w:tcPr>
          <w:p>
            <w:pPr>
              <w:jc w:val="center"/>
              <w:ind w:left="69"/>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jc w:val="center"/>
              <w:ind w:left="232"/>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jc w:val="center"/>
              <w:ind w:left="69"/>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Borders>
              <w:bottom w:val="single" w:sz="8" w:color="auto"/>
            </w:tcBorders>
            <w:gridSpan w:val="4"/>
          </w:tcPr>
          <w:p>
            <w:pPr>
              <w:jc w:val="center"/>
              <w:ind w:left="232"/>
              <w:spacing w:after="0"/>
              <w:rPr>
                <w:sz w:val="20"/>
                <w:szCs w:val="20"/>
                <w:color w:val="auto"/>
              </w:rPr>
            </w:pPr>
            <w:r>
              <w:rPr>
                <w:rFonts w:ascii="Arial" w:cs="Arial" w:eastAsia="Arial" w:hAnsi="Arial"/>
                <w:sz w:val="13"/>
                <w:szCs w:val="13"/>
                <w:b w:val="1"/>
                <w:bCs w:val="1"/>
                <w:color w:val="auto"/>
                <w:w w:val="94"/>
              </w:rPr>
              <w:t>Assets (Level 1)</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ind w:left="69"/>
              <w:spacing w:after="0"/>
              <w:rPr>
                <w:sz w:val="20"/>
                <w:szCs w:val="20"/>
                <w:color w:val="auto"/>
              </w:rPr>
            </w:pPr>
            <w:r>
              <w:rPr>
                <w:rFonts w:ascii="Arial" w:cs="Arial" w:eastAsia="Arial" w:hAnsi="Arial"/>
                <w:sz w:val="13"/>
                <w:szCs w:val="13"/>
                <w:b w:val="1"/>
                <w:bCs w:val="1"/>
                <w:color w:val="auto"/>
                <w:w w:val="98"/>
              </w:rPr>
              <w:t>(Level 2)</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3"/>
                <w:szCs w:val="13"/>
                <w:b w:val="1"/>
                <w:bCs w:val="1"/>
                <w:color w:val="auto"/>
              </w:rPr>
              <w:t>TOTAL</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6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2019</w:t>
            </w:r>
          </w:p>
        </w:tc>
        <w:tc>
          <w:tcPr>
            <w:tcW w:w="38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2018</w:t>
            </w: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89"/>
              <w:spacing w:after="0" w:line="144" w:lineRule="exact"/>
              <w:rPr>
                <w:sz w:val="20"/>
                <w:szCs w:val="20"/>
                <w:color w:val="auto"/>
              </w:rPr>
            </w:pPr>
            <w:r>
              <w:rPr>
                <w:rFonts w:ascii="Arial" w:cs="Arial" w:eastAsia="Arial" w:hAnsi="Arial"/>
                <w:sz w:val="13"/>
                <w:szCs w:val="13"/>
                <w:b w:val="1"/>
                <w:bCs w:val="1"/>
                <w:color w:val="auto"/>
              </w:rPr>
              <w:t>2019</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ind w:right="17"/>
              <w:spacing w:after="0" w:line="144" w:lineRule="exact"/>
              <w:rPr>
                <w:sz w:val="20"/>
                <w:szCs w:val="20"/>
                <w:color w:val="auto"/>
              </w:rPr>
            </w:pPr>
            <w:r>
              <w:rPr>
                <w:rFonts w:ascii="Arial" w:cs="Arial" w:eastAsia="Arial" w:hAnsi="Arial"/>
                <w:sz w:val="13"/>
                <w:szCs w:val="13"/>
                <w:b w:val="1"/>
                <w:bCs w:val="1"/>
                <w:color w:val="auto"/>
              </w:rPr>
              <w:t>2018</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ind w:right="40"/>
              <w:spacing w:after="0" w:line="144" w:lineRule="exact"/>
              <w:rPr>
                <w:sz w:val="20"/>
                <w:szCs w:val="20"/>
                <w:color w:val="auto"/>
              </w:rPr>
            </w:pPr>
            <w:r>
              <w:rPr>
                <w:rFonts w:ascii="Arial" w:cs="Arial" w:eastAsia="Arial" w:hAnsi="Arial"/>
                <w:sz w:val="13"/>
                <w:szCs w:val="13"/>
                <w:b w:val="1"/>
                <w:bCs w:val="1"/>
                <w:color w:val="auto"/>
                <w:w w:val="96"/>
              </w:rPr>
              <w:t>2019</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3"/>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72"/>
              <w:spacing w:after="0" w:line="180" w:lineRule="exact"/>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70</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51"/>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w:t>
            </w:r>
          </w:p>
        </w:tc>
        <w:tc>
          <w:tcPr>
            <w:tcW w:w="780" w:type="dxa"/>
            <w:vAlign w:val="bottom"/>
            <w:gridSpan w:val="2"/>
            <w:shd w:val="clear" w:color="auto" w:fill="CFF0FC"/>
          </w:tcPr>
          <w:p>
            <w:pPr>
              <w:jc w:val="right"/>
              <w:ind w:right="517"/>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70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Derivative liabilities, net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16"/>
                <w:szCs w:val="16"/>
                <w:color w:val="auto"/>
              </w:rPr>
            </w:pPr>
          </w:p>
        </w:tc>
        <w:tc>
          <w:tcPr>
            <w:tcW w:w="4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Rabbi trust assets</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Deferred compensation obligation</w:t>
            </w:r>
          </w:p>
        </w:tc>
        <w:tc>
          <w:tcPr>
            <w:tcW w:w="140" w:type="dxa"/>
            <w:vAlign w:val="bottom"/>
            <w:tcBorders>
              <w:bottom w:val="single" w:sz="8" w:color="CFF0FC"/>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FF0FC"/>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72"/>
              <w:spacing w:after="0" w:line="180" w:lineRule="exact"/>
              <w:rPr>
                <w:sz w:val="20"/>
                <w:szCs w:val="20"/>
                <w:color w:val="auto"/>
              </w:rPr>
            </w:pPr>
            <w:r>
              <w:rPr>
                <w:rFonts w:ascii="Arial" w:cs="Arial" w:eastAsia="Arial" w:hAnsi="Arial"/>
                <w:sz w:val="16"/>
                <w:szCs w:val="16"/>
                <w:b w:val="1"/>
                <w:bCs w:val="1"/>
                <w:color w:val="auto"/>
                <w:w w:val="89"/>
              </w:rPr>
              <w:t>$</w:t>
            </w:r>
          </w:p>
        </w:tc>
        <w:tc>
          <w:tcPr>
            <w:tcW w:w="3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70</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51"/>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111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(34)</w:t>
            </w:r>
          </w:p>
        </w:tc>
        <w:tc>
          <w:tcPr>
            <w:tcW w:w="780" w:type="dxa"/>
            <w:vAlign w:val="bottom"/>
            <w:gridSpan w:val="2"/>
            <w:shd w:val="clear" w:color="auto" w:fill="CFF0FC"/>
          </w:tcPr>
          <w:p>
            <w:pPr>
              <w:jc w:val="right"/>
              <w:ind w:right="517"/>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8.  DEBT</w:t>
            </w:r>
          </w:p>
        </w:tc>
        <w:tc>
          <w:tcPr>
            <w:tcW w:w="1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6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5440" w:type="dxa"/>
            <w:vAlign w:val="bottom"/>
            <w:gridSpan w:val="3"/>
          </w:tcPr>
          <w:p>
            <w:pPr>
              <w:ind w:left="520"/>
              <w:spacing w:after="0"/>
              <w:rPr>
                <w:sz w:val="20"/>
                <w:szCs w:val="20"/>
                <w:color w:val="auto"/>
              </w:rPr>
            </w:pPr>
            <w:r>
              <w:rPr>
                <w:rFonts w:ascii="Arial" w:cs="Arial" w:eastAsia="Arial" w:hAnsi="Arial"/>
                <w:sz w:val="16"/>
                <w:szCs w:val="16"/>
                <w:color w:val="auto"/>
              </w:rPr>
              <w:t>Long-term debt and maturities are as follows (dollars in millions):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660" w:type="dxa"/>
            <w:vAlign w:val="bottom"/>
            <w:tcBorders>
              <w:bottom w:val="single" w:sz="8" w:color="CFF0FC"/>
            </w:tcBorders>
          </w:tcPr>
          <w:p>
            <w:pPr>
              <w:spacing w:after="0"/>
              <w:rPr>
                <w:sz w:val="24"/>
                <w:szCs w:val="24"/>
                <w:color w:val="auto"/>
              </w:rPr>
            </w:pPr>
          </w:p>
        </w:tc>
        <w:tc>
          <w:tcPr>
            <w:tcW w:w="14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38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600" w:type="dxa"/>
            <w:vAlign w:val="bottom"/>
            <w:tcBorders>
              <w:bottom w:val="single" w:sz="8" w:color="CFF0FC"/>
            </w:tcBorders>
          </w:tcPr>
          <w:p>
            <w:pPr>
              <w:spacing w:after="0"/>
              <w:rPr>
                <w:sz w:val="24"/>
                <w:szCs w:val="24"/>
                <w:color w:val="auto"/>
              </w:rPr>
            </w:pPr>
          </w:p>
        </w:tc>
        <w:tc>
          <w:tcPr>
            <w:tcW w:w="4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76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266"/>
              <w:spacing w:after="0"/>
              <w:rPr>
                <w:sz w:val="20"/>
                <w:szCs w:val="20"/>
                <w:color w:val="auto"/>
              </w:rPr>
            </w:pPr>
            <w:r>
              <w:rPr>
                <w:rFonts w:ascii="Arial" w:cs="Arial" w:eastAsia="Arial" w:hAnsi="Arial"/>
                <w:sz w:val="13"/>
                <w:szCs w:val="13"/>
                <w:b w:val="1"/>
                <w:bCs w:val="1"/>
                <w:color w:val="auto"/>
                <w:w w:val="99"/>
              </w:rPr>
              <w:t>December 31, 2019</w:t>
            </w:r>
          </w:p>
        </w:tc>
        <w:tc>
          <w:tcPr>
            <w:tcW w:w="180" w:type="dxa"/>
            <w:vAlign w:val="bottom"/>
            <w:tcBorders>
              <w:bottom w:val="single" w:sz="8" w:color="CFF0FC"/>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3"/>
                <w:szCs w:val="13"/>
                <w:b w:val="1"/>
                <w:bCs w:val="1"/>
                <w:color w:val="auto"/>
                <w:w w:val="99"/>
              </w:rPr>
              <w:t>December 31, 2018</w:t>
            </w: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Senior Secured Credit Facility Term B-3 Loan, variable, due 2022</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jc w:val="right"/>
              <w:ind w:right="46"/>
              <w:spacing w:after="0"/>
              <w:rPr>
                <w:sz w:val="20"/>
                <w:szCs w:val="20"/>
                <w:color w:val="auto"/>
              </w:rPr>
            </w:pPr>
            <w:r>
              <w:rPr>
                <w:rFonts w:ascii="Arial" w:cs="Arial" w:eastAsia="Arial" w:hAnsi="Arial"/>
                <w:sz w:val="16"/>
                <w:szCs w:val="16"/>
                <w:b w:val="1"/>
                <w:bCs w:val="1"/>
                <w:color w:val="auto"/>
                <w:w w:val="87"/>
              </w:rPr>
              <w:t>—</w:t>
            </w:r>
          </w:p>
        </w:tc>
        <w:tc>
          <w:tcPr>
            <w:tcW w:w="3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5.0%, due 2024</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1,000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gridSpan w:val="2"/>
          </w:tcPr>
          <w:p>
            <w:pPr>
              <w:jc w:val="right"/>
              <w:ind w:right="46"/>
              <w:spacing w:after="0"/>
              <w:rPr>
                <w:sz w:val="20"/>
                <w:szCs w:val="20"/>
                <w:color w:val="auto"/>
              </w:rPr>
            </w:pPr>
            <w:r>
              <w:rPr>
                <w:rFonts w:ascii="Arial" w:cs="Arial" w:eastAsia="Arial" w:hAnsi="Arial"/>
                <w:sz w:val="16"/>
                <w:szCs w:val="16"/>
                <w:b w:val="1"/>
                <w:bCs w:val="1"/>
                <w:color w:val="auto"/>
                <w:w w:val="97"/>
              </w:rPr>
              <w:t>644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4.75%, due 2027</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400" w:type="dxa"/>
            <w:vAlign w:val="bottom"/>
            <w:gridSpan w:val="2"/>
            <w:shd w:val="clear" w:color="auto" w:fill="CFF0FC"/>
          </w:tcPr>
          <w:p>
            <w:pPr>
              <w:jc w:val="right"/>
              <w:ind w:right="46"/>
              <w:spacing w:after="0"/>
              <w:rPr>
                <w:sz w:val="20"/>
                <w:szCs w:val="20"/>
                <w:color w:val="auto"/>
              </w:rPr>
            </w:pPr>
            <w:r>
              <w:rPr>
                <w:rFonts w:ascii="Arial" w:cs="Arial" w:eastAsia="Arial" w:hAnsi="Arial"/>
                <w:sz w:val="16"/>
                <w:szCs w:val="16"/>
                <w:b w:val="1"/>
                <w:bCs w:val="1"/>
                <w:color w:val="auto"/>
                <w:w w:val="97"/>
              </w:rPr>
              <w:t>400</w:t>
            </w: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Senior Notes, fixed 5.875%, due 2029</w:t>
            </w:r>
          </w:p>
        </w:tc>
        <w:tc>
          <w:tcPr>
            <w:tcW w:w="140" w:type="dxa"/>
            <w:vAlign w:val="bottom"/>
            <w:tcBorders>
              <w:bottom w:val="single" w:sz="8" w:color="CFF0FC"/>
            </w:tcBorders>
          </w:tcPr>
          <w:p>
            <w:pPr>
              <w:spacing w:after="0"/>
              <w:rPr>
                <w:sz w:val="16"/>
                <w:szCs w:val="16"/>
                <w:color w:val="auto"/>
              </w:rPr>
            </w:pPr>
          </w:p>
        </w:tc>
        <w:tc>
          <w:tcPr>
            <w:tcW w:w="640" w:type="dxa"/>
            <w:vAlign w:val="bottom"/>
            <w:tcBorders>
              <w:bottom w:val="single" w:sz="8" w:color="CFF0FC"/>
            </w:tcBorders>
          </w:tcPr>
          <w:p>
            <w:pPr>
              <w:spacing w:after="0"/>
              <w:rPr>
                <w:sz w:val="16"/>
                <w:szCs w:val="16"/>
                <w:color w:val="auto"/>
              </w:rPr>
            </w:pPr>
          </w:p>
        </w:tc>
        <w:tc>
          <w:tcPr>
            <w:tcW w:w="38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600" w:type="dxa"/>
            <w:vAlign w:val="bottom"/>
            <w:tcBorders>
              <w:bottom w:val="single" w:sz="8" w:color="CFF0FC"/>
            </w:tcBorders>
          </w:tcPr>
          <w:p>
            <w:pPr>
              <w:spacing w:after="0"/>
              <w:rPr>
                <w:sz w:val="16"/>
                <w:szCs w:val="16"/>
                <w:color w:val="auto"/>
              </w:rPr>
            </w:pPr>
          </w:p>
        </w:tc>
        <w:tc>
          <w:tcPr>
            <w:tcW w:w="4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76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b w:val="1"/>
                <w:bCs w:val="1"/>
                <w:color w:val="auto"/>
                <w:w w:val="97"/>
              </w:rPr>
              <w:t>500</w:t>
            </w:r>
          </w:p>
        </w:tc>
        <w:tc>
          <w:tcPr>
            <w:tcW w:w="18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46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2,544</w:t>
            </w:r>
          </w:p>
        </w:tc>
        <w:tc>
          <w:tcPr>
            <w:tcW w:w="340" w:type="dxa"/>
            <w:vAlign w:val="bottom"/>
            <w:gridSpan w:val="2"/>
            <w:shd w:val="clear" w:color="auto" w:fill="CFF0FC"/>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188"/>
        </w:trPr>
        <w:tc>
          <w:tcPr>
            <w:tcW w:w="4660" w:type="dxa"/>
            <w:vAlign w:val="bottom"/>
          </w:tcPr>
          <w:p>
            <w:pPr>
              <w:spacing w:after="0"/>
              <w:rPr>
                <w:sz w:val="20"/>
                <w:szCs w:val="20"/>
                <w:color w:val="auto"/>
              </w:rPr>
            </w:pPr>
            <w:r>
              <w:rPr>
                <w:rFonts w:ascii="Arial" w:cs="Arial" w:eastAsia="Arial" w:hAnsi="Arial"/>
                <w:sz w:val="16"/>
                <w:szCs w:val="16"/>
                <w:color w:val="auto"/>
              </w:rPr>
              <w:t>Less: current maturities of long-term debt</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gridSpan w:val="2"/>
          </w:tcPr>
          <w:p>
            <w:pPr>
              <w:jc w:val="right"/>
              <w:ind w:right="46"/>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6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financing costs, net (see NOTE 2)</w:t>
            </w: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gridSpan w:val="2"/>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26</w:t>
            </w:r>
          </w:p>
        </w:tc>
        <w:tc>
          <w:tcPr>
            <w:tcW w:w="18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9"/>
        </w:trPr>
        <w:tc>
          <w:tcPr>
            <w:tcW w:w="466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3"/>
          </w:tcPr>
          <w:p>
            <w:pPr>
              <w:jc w:val="right"/>
              <w:ind w:right="46"/>
              <w:spacing w:after="0" w:line="180" w:lineRule="exact"/>
              <w:rPr>
                <w:sz w:val="20"/>
                <w:szCs w:val="20"/>
                <w:color w:val="auto"/>
              </w:rPr>
            </w:pPr>
            <w:r>
              <w:rPr>
                <w:rFonts w:ascii="Arial" w:cs="Arial" w:eastAsia="Arial" w:hAnsi="Arial"/>
                <w:sz w:val="16"/>
                <w:szCs w:val="16"/>
                <w:b w:val="1"/>
                <w:bCs w:val="1"/>
                <w:color w:val="auto"/>
              </w:rPr>
              <w:t>2,512</w:t>
            </w:r>
          </w:p>
        </w:tc>
        <w:tc>
          <w:tcPr>
            <w:tcW w:w="340" w:type="dxa"/>
            <w:vAlign w:val="bottom"/>
            <w:gridSpan w:val="2"/>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63"/>
              <w:spacing w:after="0" w:line="180" w:lineRule="exact"/>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Principal payments required on long-term debt during the next five years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000" w:type="dxa"/>
            <w:vAlign w:val="bottom"/>
            <w:tcBorders>
              <w:bottom w:val="single" w:sz="8" w:color="CFF0FC"/>
            </w:tcBorders>
          </w:tcPr>
          <w:p>
            <w:pPr>
              <w:jc w:val="center"/>
              <w:ind w:right="3790"/>
              <w:spacing w:after="0"/>
              <w:rPr>
                <w:sz w:val="20"/>
                <w:szCs w:val="20"/>
                <w:color w:val="auto"/>
              </w:rPr>
            </w:pPr>
            <w:r>
              <w:rPr>
                <w:rFonts w:ascii="Arial" w:cs="Arial" w:eastAsia="Arial" w:hAnsi="Arial"/>
                <w:sz w:val="13"/>
                <w:szCs w:val="13"/>
                <w:b w:val="1"/>
                <w:bCs w:val="1"/>
                <w:color w:val="auto"/>
                <w:w w:val="95"/>
              </w:rPr>
              <w:t>(dollars in millions)</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3"/>
                <w:szCs w:val="13"/>
                <w:b w:val="1"/>
                <w:bCs w:val="1"/>
                <w:color w:val="auto"/>
              </w:rPr>
              <w:t>2022</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2023</w:t>
            </w:r>
          </w:p>
        </w:tc>
        <w:tc>
          <w:tcPr>
            <w:tcW w:w="3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2024</w:t>
            </w:r>
          </w:p>
        </w:tc>
      </w:tr>
      <w:tr>
        <w:trPr>
          <w:trHeight w:val="179"/>
        </w:trPr>
        <w:tc>
          <w:tcPr>
            <w:tcW w:w="5000" w:type="dxa"/>
            <w:vAlign w:val="bottom"/>
            <w:shd w:val="clear" w:color="auto" w:fill="CFF0FC"/>
          </w:tcPr>
          <w:p>
            <w:pPr>
              <w:jc w:val="center"/>
              <w:ind w:right="3830"/>
              <w:spacing w:after="0" w:line="180" w:lineRule="exact"/>
              <w:rPr>
                <w:sz w:val="20"/>
                <w:szCs w:val="20"/>
                <w:color w:val="auto"/>
              </w:rPr>
            </w:pPr>
            <w:r>
              <w:rPr>
                <w:rFonts w:ascii="Arial" w:cs="Arial" w:eastAsia="Arial" w:hAnsi="Arial"/>
                <w:sz w:val="16"/>
                <w:szCs w:val="16"/>
                <w:color w:val="auto"/>
                <w:w w:val="98"/>
              </w:rPr>
              <w:t>Payments</w:t>
            </w:r>
          </w:p>
        </w:tc>
        <w:tc>
          <w:tcPr>
            <w:tcW w:w="740" w:type="dxa"/>
            <w:vAlign w:val="bottom"/>
            <w:shd w:val="clear" w:color="auto" w:fill="CFF0FC"/>
          </w:tcPr>
          <w:p>
            <w:pPr>
              <w:jc w:val="right"/>
              <w:ind w:right="570"/>
              <w:spacing w:after="0" w:line="180" w:lineRule="exact"/>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9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rPr>
              <w:t>6</w:t>
            </w:r>
          </w:p>
        </w:tc>
        <w:tc>
          <w:tcPr>
            <w:tcW w:w="28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592"/>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1020" w:type="dxa"/>
            <w:vAlign w:val="bottom"/>
            <w:gridSpan w:val="2"/>
            <w:shd w:val="clear" w:color="auto" w:fill="CFF0FC"/>
          </w:tcPr>
          <w:p>
            <w:pPr>
              <w:jc w:val="right"/>
              <w:ind w:right="597"/>
              <w:spacing w:after="0" w:line="180" w:lineRule="exact"/>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w:t>
            </w:r>
          </w:p>
        </w:tc>
        <w:tc>
          <w:tcPr>
            <w:tcW w:w="480" w:type="dxa"/>
            <w:vAlign w:val="bottom"/>
            <w:gridSpan w:val="2"/>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1,006</w:t>
            </w:r>
          </w:p>
        </w:tc>
      </w:tr>
    </w:tbl>
    <w:p>
      <w:pPr>
        <w:spacing w:after="0" w:line="175"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As of December 31, 2019, the Company had $2,544 million of indebtedness associated with Allison Transmission, Inc.’s (“ATI”), the Company’s wholly-owned subsidiary, 5.0% Senior Notes due September 2024 (“5.0% Senior Notes”), ATI’s 4.75% Senior Notes due October 2027 (“4.75% Senior Notes”), ATI’s 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$644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130" w:lineRule="exact"/>
        <w:rPr>
          <w:sz w:val="20"/>
          <w:szCs w:val="20"/>
          <w:color w:val="auto"/>
        </w:rPr>
      </w:pPr>
    </w:p>
    <w:p>
      <w:pPr>
        <w:jc w:val="both"/>
        <w:ind w:right="260" w:firstLine="531"/>
        <w:spacing w:after="0" w:line="234" w:lineRule="auto"/>
        <w:rPr>
          <w:sz w:val="20"/>
          <w:szCs w:val="20"/>
          <w:color w:val="auto"/>
        </w:rPr>
      </w:pPr>
      <w:r>
        <w:rPr>
          <w:rFonts w:ascii="Arial" w:cs="Arial" w:eastAsia="Arial" w:hAnsi="Arial"/>
          <w:sz w:val="16"/>
          <w:szCs w:val="16"/>
          <w:color w:val="auto"/>
        </w:rPr>
        <w:t>The fair value of the Company’s long-term debt obligations as of December 31, 2019 was $ 2,636 million. The fair value is based on quoted Level 2 market prices of the Company’s debt as of December 31, 2019.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151" w:lineRule="exact"/>
        <w:rPr>
          <w:sz w:val="20"/>
          <w:szCs w:val="20"/>
          <w:color w:val="auto"/>
        </w:rPr>
      </w:pPr>
    </w:p>
    <w:p>
      <w:pPr>
        <w:ind w:right="40" w:firstLine="531"/>
        <w:spacing w:after="0" w:line="233" w:lineRule="auto"/>
        <w:rPr>
          <w:sz w:val="20"/>
          <w:szCs w:val="20"/>
          <w:color w:val="auto"/>
        </w:rPr>
      </w:pPr>
      <w:r>
        <w:rPr>
          <w:rFonts w:ascii="Arial" w:cs="Arial" w:eastAsia="Arial" w:hAnsi="Arial"/>
          <w:sz w:val="16"/>
          <w:szCs w:val="16"/>
          <w:color w:val="auto"/>
        </w:rPr>
        <w:t>In March 2018, ATI entered into an amendment to lower the applicable margins on the prior term loan due 2022 (“Prior Term Loan”) by 0.25%. The March 2018 amendment was treated as a modification to the prior senior secured credit facility (defined as the Prior Term Loan and the prior $550 million revolving credit facility due 2021, or the “Prior Revolving Credit Facility”) under GAAP, and thus the Company recorded $1 million as new deferred financing fees in the first quarter of 2018.</w:t>
      </w:r>
    </w:p>
    <w:p>
      <w:pPr>
        <w:spacing w:after="0" w:line="130" w:lineRule="exact"/>
        <w:rPr>
          <w:sz w:val="20"/>
          <w:szCs w:val="20"/>
          <w:color w:val="auto"/>
        </w:rPr>
      </w:pPr>
    </w:p>
    <w:p>
      <w:pPr>
        <w:jc w:val="both"/>
        <w:ind w:right="60" w:firstLine="531"/>
        <w:spacing w:after="0" w:line="231" w:lineRule="auto"/>
        <w:rPr>
          <w:sz w:val="20"/>
          <w:szCs w:val="20"/>
          <w:color w:val="auto"/>
        </w:rPr>
      </w:pPr>
      <w:r>
        <w:rPr>
          <w:rFonts w:ascii="Arial" w:cs="Arial" w:eastAsia="Arial" w:hAnsi="Arial"/>
          <w:sz w:val="16"/>
          <w:szCs w:val="16"/>
          <w:color w:val="auto"/>
        </w:rPr>
        <w:t>In March 2019, the Company and ATI entered into the Credit Agreement to reduce the commitments under the Prior Term Loan by $500 million and increase the commitments under Prior Revolving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Consolidated Statement of Comprehensive Income for the year ended December 31, 2019 and recorded $5 million as new deferred financing fees in the Condensed Consolidated Balance Sheet in the first quarter of 2019.</w:t>
      </w:r>
    </w:p>
    <w:p>
      <w:pPr>
        <w:spacing w:after="0" w:line="133" w:lineRule="exact"/>
        <w:rPr>
          <w:sz w:val="20"/>
          <w:szCs w:val="20"/>
          <w:color w:val="auto"/>
        </w:rPr>
      </w:pPr>
    </w:p>
    <w:p>
      <w:pPr>
        <w:ind w:right="260" w:firstLine="531"/>
        <w:spacing w:after="0" w:line="234" w:lineRule="auto"/>
        <w:rPr>
          <w:sz w:val="20"/>
          <w:szCs w:val="20"/>
          <w:color w:val="auto"/>
        </w:rPr>
      </w:pPr>
      <w:r>
        <w:rPr>
          <w:rFonts w:ascii="Arial" w:cs="Arial" w:eastAsia="Arial" w:hAnsi="Arial"/>
          <w:sz w:val="16"/>
          <w:szCs w:val="16"/>
          <w:color w:val="auto"/>
        </w:rPr>
        <w:t>In October 2019, ATI entered into an amendment to the Credit Agreement with the New Term Loan lenders under its New Senior Secured Credit Facility to lower the applicable margins on the New Term Loan by 0.25%. The October 2019 amendment was treated as a modification to the New Senior Secured Credit Facility under GAAP.</w:t>
      </w:r>
    </w:p>
    <w:p>
      <w:pPr>
        <w:spacing w:after="0" w:line="131"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December 31, 2019, is either (a) 1.75% over a LIBOR rate on deposits in U.S. dollars for one-, two-, three- or six-month periods (or twelve-month or shorter periods if, at the time of the borrowing, available from all relevant lenders) (the "LIBOR Rate"), or (b) 0.75% over the greater of the prime lending rate as quoted by the administrative agent, the LIBOR Rate for an interest period of one month plus 1.00% and the federal funds effective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5" w:name="page76"/>
    <w:bookmarkEnd w:id="75"/>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6"/>
        <w:spacing w:after="0" w:line="231" w:lineRule="auto"/>
        <w:rPr>
          <w:sz w:val="20"/>
          <w:szCs w:val="20"/>
          <w:color w:val="auto"/>
        </w:rPr>
      </w:pPr>
      <w:r>
        <w:rPr>
          <w:rFonts w:ascii="Arial" w:cs="Arial" w:eastAsia="Arial" w:hAnsi="Arial"/>
          <w:sz w:val="16"/>
          <w:szCs w:val="16"/>
          <w:color w:val="auto"/>
        </w:rPr>
        <w:t>rate published by the Federal Reserve Bank of New York plus 0.50%, subject to a 1.00% floor (the "Base Rate"). As of December 31, 2019, the Company elected to pay the lowest all-in rate of LIBOR plus the applicable margin, or 3.54%, on the New Term Loan. The Credit Agreement requires minimum quarterly principal payments on the New Term Loan starting with the fiscal quarter which ended September 30, 2019,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December 31, 2019, there had been no payments required for certain net cash proceeds of non-ordinary course asset sales and casualty and condemnation events. The remaining principal balance is due upon maturity.</w:t>
      </w:r>
    </w:p>
    <w:p>
      <w:pPr>
        <w:spacing w:after="0" w:line="133" w:lineRule="exact"/>
        <w:rPr>
          <w:sz w:val="20"/>
          <w:szCs w:val="20"/>
          <w:color w:val="auto"/>
        </w:rPr>
      </w:pPr>
    </w:p>
    <w:p>
      <w:pPr>
        <w:ind w:left="6" w:right="20" w:firstLine="531"/>
        <w:spacing w:after="0" w:line="244" w:lineRule="auto"/>
        <w:rPr>
          <w:sz w:val="20"/>
          <w:szCs w:val="20"/>
          <w:color w:val="auto"/>
        </w:rPr>
      </w:pPr>
      <w:r>
        <w:rPr>
          <w:rFonts w:ascii="Arial" w:cs="Arial" w:eastAsia="Arial" w:hAnsi="Arial"/>
          <w:sz w:val="15"/>
          <w:szCs w:val="15"/>
          <w:color w:val="auto"/>
        </w:rPr>
        <w:t>The New Senior Secured Credit Facility also provides a New Revolving Credit Facility, net of an allowance for up to $75 million in outstanding letters of credit commitments. Throughout the year ended December 31, 2019, the Company made periodic withdrawals and payments on the New Revolving Credit Facility as part of the Company's debt management plans. The maximum amount outstanding at any time during the year ended December 31, 2019 was $90 million. As of December 31, 2019, the Company had $595 million available under the New Revolving Credit Facility, net of $5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w:t>
      </w:r>
    </w:p>
    <w:p>
      <w:pPr>
        <w:spacing w:after="0" w:line="5" w:lineRule="exact"/>
        <w:rPr>
          <w:sz w:val="20"/>
          <w:szCs w:val="20"/>
          <w:color w:val="auto"/>
        </w:rPr>
      </w:pPr>
    </w:p>
    <w:p>
      <w:pPr>
        <w:ind w:left="6" w:right="20" w:hanging="6"/>
        <w:spacing w:after="0" w:line="232" w:lineRule="auto"/>
        <w:tabs>
          <w:tab w:leader="none" w:pos="223" w:val="left"/>
        </w:tabs>
        <w:numPr>
          <w:ilvl w:val="0"/>
          <w:numId w:val="16"/>
        </w:numPr>
        <w:rPr>
          <w:rFonts w:ascii="Arial" w:cs="Arial" w:eastAsia="Arial" w:hAnsi="Arial"/>
          <w:sz w:val="16"/>
          <w:szCs w:val="16"/>
          <w:color w:val="auto"/>
        </w:rPr>
      </w:pPr>
      <w:r>
        <w:rPr>
          <w:rFonts w:ascii="Arial" w:cs="Arial" w:eastAsia="Arial" w:hAnsi="Arial"/>
          <w:sz w:val="16"/>
          <w:szCs w:val="16"/>
          <w:color w:val="auto"/>
        </w:rPr>
        <w:t>1.50% over the LIBOR Rate; and when the Company’s first lien net leverage ratio is equal to or below 3.50x, interest on the New Revolving Credit Facility is (y) 0.25% over the Base Rate or (z) 1.25% over the LIBOR Rate. As of December 31, 2019, the applicable margin for the New Revolving Credit Facility was 1.25%. In addition, there is an annual commitment fee, based on the Company’s first lien net leverage ratio, on the average unused revolving credit borrowings available under the New Revolving Credit Facility. As of December 31, 2019, the commitment fee is 0.25%. Borrowings under the New Revolving Credit Facility are payable at the option of the Company throughout the term of the New Senior Secured Credit Facility with the balance due in September 2024.</w:t>
      </w:r>
    </w:p>
    <w:p>
      <w:pPr>
        <w:spacing w:after="0" w:line="132" w:lineRule="exact"/>
        <w:rPr>
          <w:sz w:val="20"/>
          <w:szCs w:val="20"/>
          <w:color w:val="auto"/>
        </w:rPr>
      </w:pPr>
    </w:p>
    <w:p>
      <w:pPr>
        <w:ind w:left="6" w:right="20" w:firstLine="531"/>
        <w:spacing w:after="0" w:line="232"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December 31, 2019, the Company had no amounts outstanding under the New Revolving Credit Facility; however, the Company would have been in compliance with the maximum first lien net leverage ratio, achieving a 0.42x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132" w:lineRule="exact"/>
        <w:rPr>
          <w:sz w:val="20"/>
          <w:szCs w:val="20"/>
          <w:color w:val="auto"/>
        </w:rPr>
      </w:pPr>
    </w:p>
    <w:p>
      <w:pPr>
        <w:ind w:left="6" w:firstLine="531"/>
        <w:spacing w:after="0" w:line="234" w:lineRule="auto"/>
        <w:rPr>
          <w:sz w:val="20"/>
          <w:szCs w:val="20"/>
          <w:color w:val="auto"/>
        </w:rPr>
      </w:pPr>
      <w:r>
        <w:rPr>
          <w:rFonts w:ascii="Arial" w:cs="Arial" w:eastAsia="Arial" w:hAnsi="Arial"/>
          <w:sz w:val="16"/>
          <w:szCs w:val="16"/>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December 31, 2019, the Company was in compliance with all covenants under the Credit Agreement.</w:t>
      </w:r>
    </w:p>
    <w:p>
      <w:pPr>
        <w:spacing w:after="0" w:line="160"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5.0% Senior Notes</w:t>
      </w:r>
    </w:p>
    <w:p>
      <w:pPr>
        <w:spacing w:after="0" w:line="151" w:lineRule="exact"/>
        <w:rPr>
          <w:sz w:val="20"/>
          <w:szCs w:val="20"/>
          <w:color w:val="auto"/>
        </w:rPr>
      </w:pPr>
    </w:p>
    <w:p>
      <w:pPr>
        <w:ind w:left="6" w:right="60" w:firstLine="531"/>
        <w:spacing w:after="0" w:line="233" w:lineRule="auto"/>
        <w:rPr>
          <w:sz w:val="20"/>
          <w:szCs w:val="20"/>
          <w:color w:val="auto"/>
        </w:rPr>
      </w:pPr>
      <w:r>
        <w:rPr>
          <w:rFonts w:ascii="Arial" w:cs="Arial" w:eastAsia="Arial" w:hAnsi="Arial"/>
          <w:sz w:val="16"/>
          <w:szCs w:val="16"/>
          <w:color w:val="auto"/>
        </w:rPr>
        <w:t>ATI may from time to time seek to retire the 5.0%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ATI may redeem some or all of the 5.0% Senior Notes at specified redemption prices in the governing indenture.</w:t>
      </w:r>
    </w:p>
    <w:p>
      <w:pPr>
        <w:spacing w:after="0" w:line="200" w:lineRule="exact"/>
        <w:rPr>
          <w:sz w:val="20"/>
          <w:szCs w:val="20"/>
          <w:color w:val="auto"/>
        </w:rPr>
      </w:pPr>
    </w:p>
    <w:p>
      <w:pPr>
        <w:spacing w:after="0" w:line="306"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6"/>
          </w:cols>
          <w:pgMar w:left="234" w:top="140"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80" w:firstLine="531"/>
        <w:spacing w:after="0" w:line="231"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2019, the Company was in compliance with all covenants under the indenture governing the 5.0% Senior Notes.</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51" w:lineRule="exact"/>
        <w:rPr>
          <w:sz w:val="20"/>
          <w:szCs w:val="20"/>
          <w:color w:val="auto"/>
        </w:rPr>
      </w:pPr>
    </w:p>
    <w:p>
      <w:pPr>
        <w:ind w:right="40" w:firstLine="531"/>
        <w:spacing w:after="0" w:line="232" w:lineRule="auto"/>
        <w:rPr>
          <w:sz w:val="20"/>
          <w:szCs w:val="20"/>
          <w:color w:val="auto"/>
        </w:rPr>
      </w:pPr>
      <w:r>
        <w:rPr>
          <w:rFonts w:ascii="Arial" w:cs="Arial" w:eastAsia="Arial" w:hAnsi="Arial"/>
          <w:sz w:val="16"/>
          <w:szCs w:val="16"/>
          <w:color w:val="auto"/>
        </w:rPr>
        <w:t>ATI may from time to time seek to retire the 4.75%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2020, ATI may redeem up to 40% of the 4.75% Senior Notes by paying a price equal to 104.75% of the principal amount being redeemed. Prior to October 1, 2022, ATI may redeem some or all of the 4.75% Senior Notes by paying a price equal to 100.00% of the principal amount being redeemed, plus an “applicable premium”. At any time on or after October 1, 2022, ATI may redeem some or all of the 4.75% Senior Notes at specified redemption prices in the governing indenture.</w:t>
      </w:r>
    </w:p>
    <w:p>
      <w:pPr>
        <w:spacing w:after="0" w:line="130" w:lineRule="exact"/>
        <w:rPr>
          <w:sz w:val="20"/>
          <w:szCs w:val="20"/>
          <w:color w:val="auto"/>
        </w:rPr>
      </w:pPr>
    </w:p>
    <w:p>
      <w:pPr>
        <w:ind w:right="180" w:firstLine="531"/>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2019, the Company was in compliance with all covenants under the indenture governing the 4.75% Senior Notes.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51"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in the first quarter of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ATI may from time to time seek to retire the 5.875% Senior Notes through cash purchase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June 1, 2022, ATI may redeem up to 40% of the 5.875% Senior Notes by paying a price equal to 105.875% of the principal amount being redeemed. Prior to June 1, 2024, ATI may redeem some of all of the 5.875% Senior Notes by paying a price equal to 100.00% of the principal amount being redeemed, plus an “applicable premium”. At any time on or after June 1, 2024, ATI may redeem some of all of the 5.875% Senior Notes at specified redemption prices in the governing indenture.</w:t>
      </w:r>
    </w:p>
    <w:p>
      <w:pPr>
        <w:spacing w:after="0" w:line="130" w:lineRule="exact"/>
        <w:rPr>
          <w:sz w:val="20"/>
          <w:szCs w:val="20"/>
          <w:color w:val="auto"/>
        </w:rPr>
      </w:pPr>
    </w:p>
    <w:p>
      <w:pPr>
        <w:ind w:right="160" w:firstLine="531"/>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December 31, 2019, the Company was in compliance with all covenants under the indenture governing the 5.875% Senior Notes.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DERIVATIVES</w:t>
      </w:r>
    </w:p>
    <w:p>
      <w:pPr>
        <w:spacing w:after="0" w:line="153" w:lineRule="exact"/>
        <w:rPr>
          <w:sz w:val="20"/>
          <w:szCs w:val="20"/>
          <w:color w:val="auto"/>
        </w:rPr>
      </w:pPr>
    </w:p>
    <w:p>
      <w:pPr>
        <w:ind w:right="100" w:firstLine="531"/>
        <w:spacing w:after="0" w:line="231" w:lineRule="auto"/>
        <w:rPr>
          <w:sz w:val="20"/>
          <w:szCs w:val="20"/>
          <w:color w:val="auto"/>
        </w:rPr>
      </w:pPr>
      <w:r>
        <w:rPr>
          <w:rFonts w:ascii="Arial" w:cs="Arial" w:eastAsia="Arial" w:hAnsi="Arial"/>
          <w:sz w:val="16"/>
          <w:szCs w:val="16"/>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December 31, 2019, the Company held interest rate swaps effective from (i) September 2019 to September 2022 with notional values totaling $250 million and a weighted average LIBOR fixed rate of 3.01%, (ii) from September 2019 to September 2025 with notional values totaling $250 million and a weighted average LIBOR fixed rate of 3.04% and (iii) September 2022 to September 2025 with notional values totaling $250 million and a weighted average LIBOR fixed rate of 2.82%. See NOTE 7 “Fair Value of Financial Instruments” for information regarding the fair value of the Company’s interest rate swaps.</w:t>
      </w:r>
    </w:p>
    <w:p>
      <w:pPr>
        <w:spacing w:after="0" w:line="131" w:lineRule="exact"/>
        <w:rPr>
          <w:sz w:val="20"/>
          <w:szCs w:val="20"/>
          <w:color w:val="auto"/>
        </w:rPr>
      </w:pPr>
    </w:p>
    <w:p>
      <w:pPr>
        <w:ind w:right="80" w:firstLine="531"/>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20" w:type="dxa"/>
            <w:vAlign w:val="bottom"/>
          </w:tcPr>
          <w:p>
            <w:pPr>
              <w:spacing w:after="0"/>
              <w:rPr>
                <w:sz w:val="13"/>
                <w:szCs w:val="13"/>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2019</w:t>
            </w:r>
          </w:p>
        </w:tc>
        <w:tc>
          <w:tcPr>
            <w:tcW w:w="10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December 31, 2018</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620" w:type="dxa"/>
            <w:vAlign w:val="bottom"/>
          </w:tcPr>
          <w:p>
            <w:pPr>
              <w:spacing w:after="0"/>
              <w:rPr>
                <w:sz w:val="11"/>
                <w:szCs w:val="11"/>
                <w:color w:val="auto"/>
              </w:rPr>
            </w:pPr>
          </w:p>
        </w:tc>
        <w:tc>
          <w:tcPr>
            <w:tcW w:w="2240" w:type="dxa"/>
            <w:vAlign w:val="bottom"/>
            <w:gridSpan w:val="3"/>
          </w:tcPr>
          <w:p>
            <w:pPr>
              <w:jc w:val="right"/>
              <w:ind w:right="822"/>
              <w:spacing w:after="0" w:line="133" w:lineRule="exact"/>
              <w:rPr>
                <w:sz w:val="20"/>
                <w:szCs w:val="20"/>
                <w:color w:val="auto"/>
              </w:rPr>
            </w:pPr>
            <w:r>
              <w:rPr>
                <w:rFonts w:ascii="Arial" w:cs="Arial" w:eastAsia="Arial" w:hAnsi="Arial"/>
                <w:sz w:val="13"/>
                <w:szCs w:val="13"/>
                <w:b w:val="1"/>
                <w:bCs w:val="1"/>
                <w:color w:val="auto"/>
              </w:rPr>
              <w:t>Balance Sheet</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40" w:type="dxa"/>
            <w:vAlign w:val="bottom"/>
            <w:gridSpan w:val="3"/>
          </w:tcPr>
          <w:p>
            <w:pPr>
              <w:jc w:val="right"/>
              <w:ind w:right="920"/>
              <w:spacing w:after="0" w:line="133" w:lineRule="exact"/>
              <w:rPr>
                <w:sz w:val="20"/>
                <w:szCs w:val="20"/>
                <w:color w:val="auto"/>
              </w:rPr>
            </w:pPr>
            <w:r>
              <w:rPr>
                <w:rFonts w:ascii="Arial" w:cs="Arial" w:eastAsia="Arial" w:hAnsi="Arial"/>
                <w:sz w:val="13"/>
                <w:szCs w:val="13"/>
                <w:b w:val="1"/>
                <w:bCs w:val="1"/>
                <w:color w:val="auto"/>
              </w:rPr>
              <w:t>Balance Sheet</w:t>
            </w: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2240" w:type="dxa"/>
            <w:vAlign w:val="bottom"/>
            <w:gridSpan w:val="3"/>
          </w:tcPr>
          <w:p>
            <w:pPr>
              <w:jc w:val="right"/>
              <w:ind w:right="982"/>
              <w:spacing w:after="0"/>
              <w:rPr>
                <w:sz w:val="20"/>
                <w:szCs w:val="20"/>
                <w:color w:val="auto"/>
              </w:rPr>
            </w:pPr>
            <w:r>
              <w:rPr>
                <w:rFonts w:ascii="Arial" w:cs="Arial" w:eastAsia="Arial" w:hAnsi="Arial"/>
                <w:sz w:val="13"/>
                <w:szCs w:val="13"/>
                <w:b w:val="1"/>
                <w:bCs w:val="1"/>
                <w:color w:val="auto"/>
              </w:rPr>
              <w:t>Location</w:t>
            </w:r>
          </w:p>
        </w:tc>
        <w:tc>
          <w:tcPr>
            <w:tcW w:w="1080" w:type="dxa"/>
            <w:vAlign w:val="bottom"/>
          </w:tcPr>
          <w:p>
            <w:pPr>
              <w:jc w:val="right"/>
              <w:ind w:right="366"/>
              <w:spacing w:after="0"/>
              <w:rPr>
                <w:sz w:val="20"/>
                <w:szCs w:val="20"/>
                <w:color w:val="auto"/>
              </w:rPr>
            </w:pPr>
            <w:r>
              <w:rPr>
                <w:rFonts w:ascii="Arial" w:cs="Arial" w:eastAsia="Arial" w:hAnsi="Arial"/>
                <w:sz w:val="13"/>
                <w:szCs w:val="13"/>
                <w:b w:val="1"/>
                <w:bCs w:val="1"/>
                <w:color w:val="auto"/>
                <w:w w:val="99"/>
              </w:rPr>
              <w:t>Fair Value</w:t>
            </w:r>
          </w:p>
        </w:tc>
        <w:tc>
          <w:tcPr>
            <w:tcW w:w="160" w:type="dxa"/>
            <w:vAlign w:val="bottom"/>
          </w:tcPr>
          <w:p>
            <w:pPr>
              <w:spacing w:after="0"/>
              <w:rPr>
                <w:sz w:val="13"/>
                <w:szCs w:val="13"/>
                <w:color w:val="auto"/>
              </w:rPr>
            </w:pPr>
          </w:p>
        </w:tc>
        <w:tc>
          <w:tcPr>
            <w:tcW w:w="2240" w:type="dxa"/>
            <w:vAlign w:val="bottom"/>
            <w:gridSpan w:val="3"/>
          </w:tcPr>
          <w:p>
            <w:pPr>
              <w:jc w:val="right"/>
              <w:ind w:right="1080"/>
              <w:spacing w:after="0"/>
              <w:rPr>
                <w:sz w:val="20"/>
                <w:szCs w:val="20"/>
                <w:color w:val="auto"/>
              </w:rPr>
            </w:pPr>
            <w:r>
              <w:rPr>
                <w:rFonts w:ascii="Arial" w:cs="Arial" w:eastAsia="Arial" w:hAnsi="Arial"/>
                <w:sz w:val="13"/>
                <w:szCs w:val="13"/>
                <w:b w:val="1"/>
                <w:bCs w:val="1"/>
                <w:color w:val="auto"/>
              </w:rPr>
              <w:t>Location</w:t>
            </w:r>
          </w:p>
        </w:tc>
        <w:tc>
          <w:tcPr>
            <w:tcW w:w="1100" w:type="dxa"/>
            <w:vAlign w:val="bottom"/>
          </w:tcPr>
          <w:p>
            <w:pPr>
              <w:jc w:val="right"/>
              <w:ind w:right="386"/>
              <w:spacing w:after="0"/>
              <w:rPr>
                <w:sz w:val="20"/>
                <w:szCs w:val="20"/>
                <w:color w:val="auto"/>
              </w:rPr>
            </w:pPr>
            <w:r>
              <w:rPr>
                <w:rFonts w:ascii="Arial" w:cs="Arial" w:eastAsia="Arial" w:hAnsi="Arial"/>
                <w:sz w:val="13"/>
                <w:szCs w:val="13"/>
                <w:b w:val="1"/>
                <w:bCs w:val="1"/>
                <w:color w:val="auto"/>
                <w:w w:val="99"/>
              </w:rPr>
              <w:t>Fair Value</w:t>
            </w:r>
          </w:p>
        </w:tc>
        <w:tc>
          <w:tcPr>
            <w:tcW w:w="0" w:type="dxa"/>
            <w:vAlign w:val="bottom"/>
          </w:tcPr>
          <w:p>
            <w:pPr>
              <w:spacing w:after="0"/>
              <w:rPr>
                <w:sz w:val="1"/>
                <w:szCs w:val="1"/>
                <w:color w:val="auto"/>
              </w:rPr>
            </w:pPr>
          </w:p>
        </w:tc>
      </w:tr>
      <w:tr>
        <w:trPr>
          <w:trHeight w:val="179"/>
        </w:trPr>
        <w:tc>
          <w:tcPr>
            <w:tcW w:w="46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1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8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620" w:type="dxa"/>
            <w:vAlign w:val="bottom"/>
          </w:tcPr>
          <w:p>
            <w:pPr>
              <w:ind w:left="200"/>
              <w:spacing w:after="0" w:line="167" w:lineRule="exact"/>
              <w:rPr>
                <w:sz w:val="20"/>
                <w:szCs w:val="20"/>
                <w:color w:val="auto"/>
              </w:rPr>
            </w:pPr>
            <w:r>
              <w:rPr>
                <w:rFonts w:ascii="Arial" w:cs="Arial" w:eastAsia="Arial" w:hAnsi="Arial"/>
                <w:sz w:val="16"/>
                <w:szCs w:val="16"/>
                <w:color w:val="auto"/>
              </w:rPr>
              <w:t>Interest rate swaps</w:t>
            </w:r>
          </w:p>
        </w:tc>
        <w:tc>
          <w:tcPr>
            <w:tcW w:w="2240" w:type="dxa"/>
            <w:vAlign w:val="bottom"/>
            <w:gridSpan w:val="3"/>
          </w:tcPr>
          <w:p>
            <w:pPr>
              <w:jc w:val="right"/>
              <w:ind w:right="342"/>
              <w:spacing w:after="0" w:line="167" w:lineRule="exact"/>
              <w:rPr>
                <w:sz w:val="20"/>
                <w:szCs w:val="20"/>
                <w:color w:val="auto"/>
              </w:rPr>
            </w:pPr>
            <w:r>
              <w:rPr>
                <w:rFonts w:ascii="Arial" w:cs="Arial" w:eastAsia="Arial" w:hAnsi="Arial"/>
                <w:sz w:val="16"/>
                <w:szCs w:val="16"/>
                <w:color w:val="auto"/>
              </w:rPr>
              <w:t>Other current</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3"/>
          </w:tcPr>
          <w:p>
            <w:pPr>
              <w:jc w:val="right"/>
              <w:ind w:right="440"/>
              <w:spacing w:after="0" w:line="167" w:lineRule="exact"/>
              <w:rPr>
                <w:sz w:val="20"/>
                <w:szCs w:val="20"/>
                <w:color w:val="auto"/>
              </w:rPr>
            </w:pPr>
            <w:r>
              <w:rPr>
                <w:rFonts w:ascii="Arial" w:cs="Arial" w:eastAsia="Arial" w:hAnsi="Arial"/>
                <w:sz w:val="16"/>
                <w:szCs w:val="16"/>
                <w:color w:val="auto"/>
              </w:rPr>
              <w:t>Other current</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2240" w:type="dxa"/>
            <w:vAlign w:val="bottom"/>
            <w:gridSpan w:val="3"/>
          </w:tcPr>
          <w:p>
            <w:pPr>
              <w:jc w:val="right"/>
              <w:ind w:right="102"/>
              <w:spacing w:after="0"/>
              <w:rPr>
                <w:sz w:val="20"/>
                <w:szCs w:val="20"/>
                <w:color w:val="auto"/>
              </w:rPr>
            </w:pPr>
            <w:r>
              <w:rPr>
                <w:rFonts w:ascii="Arial" w:cs="Arial" w:eastAsia="Arial" w:hAnsi="Arial"/>
                <w:sz w:val="16"/>
                <w:szCs w:val="16"/>
                <w:color w:val="auto"/>
              </w:rPr>
              <w:t xml:space="preserve">liabilities  </w:t>
            </w:r>
            <w:r>
              <w:rPr>
                <w:rFonts w:ascii="Arial" w:cs="Arial" w:eastAsia="Arial" w:hAnsi="Arial"/>
                <w:sz w:val="16"/>
                <w:szCs w:val="16"/>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7"/>
                <w:szCs w:val="17"/>
                <w:color w:val="auto"/>
              </w:rPr>
            </w:pPr>
          </w:p>
        </w:tc>
        <w:tc>
          <w:tcPr>
            <w:tcW w:w="2240" w:type="dxa"/>
            <w:vAlign w:val="bottom"/>
            <w:gridSpan w:val="3"/>
          </w:tcPr>
          <w:p>
            <w:pPr>
              <w:jc w:val="right"/>
              <w:ind w:right="200"/>
              <w:spacing w:after="0"/>
              <w:rPr>
                <w:sz w:val="20"/>
                <w:szCs w:val="20"/>
                <w:color w:val="auto"/>
              </w:rPr>
            </w:pPr>
            <w:r>
              <w:rPr>
                <w:rFonts w:ascii="Arial" w:cs="Arial" w:eastAsia="Arial" w:hAnsi="Arial"/>
                <w:sz w:val="16"/>
                <w:szCs w:val="16"/>
                <w:color w:val="auto"/>
              </w:rPr>
              <w:t>liabilities  $</w:t>
            </w: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7"/>
        </w:trPr>
        <w:tc>
          <w:tcPr>
            <w:tcW w:w="4620" w:type="dxa"/>
            <w:vAlign w:val="bottom"/>
            <w:shd w:val="clear" w:color="auto" w:fill="CFF0FC"/>
          </w:tcPr>
          <w:p>
            <w:pPr>
              <w:spacing w:after="0"/>
              <w:rPr>
                <w:sz w:val="16"/>
                <w:szCs w:val="16"/>
                <w:color w:val="auto"/>
              </w:rPr>
            </w:pPr>
          </w:p>
        </w:tc>
        <w:tc>
          <w:tcPr>
            <w:tcW w:w="2240" w:type="dxa"/>
            <w:vAlign w:val="bottom"/>
            <w:gridSpan w:val="3"/>
            <w:shd w:val="clear" w:color="auto" w:fill="CFF0FC"/>
          </w:tcPr>
          <w:p>
            <w:pPr>
              <w:jc w:val="right"/>
              <w:ind w:right="342"/>
              <w:spacing w:after="0"/>
              <w:rPr>
                <w:sz w:val="20"/>
                <w:szCs w:val="20"/>
                <w:color w:val="auto"/>
              </w:rPr>
            </w:pPr>
            <w:r>
              <w:rPr>
                <w:rFonts w:ascii="Arial" w:cs="Arial" w:eastAsia="Arial" w:hAnsi="Arial"/>
                <w:sz w:val="16"/>
                <w:szCs w:val="16"/>
                <w:color w:val="auto"/>
              </w:rPr>
              <w:t>Other non-current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6"/>
                <w:szCs w:val="16"/>
                <w:b w:val="1"/>
                <w:bCs w:val="1"/>
                <w:color w:val="auto"/>
              </w:rPr>
              <w:t>(27)</w:t>
            </w:r>
          </w:p>
        </w:tc>
        <w:tc>
          <w:tcPr>
            <w:tcW w:w="160" w:type="dxa"/>
            <w:vAlign w:val="bottom"/>
            <w:shd w:val="clear" w:color="auto" w:fill="CFF0FC"/>
          </w:tcPr>
          <w:p>
            <w:pPr>
              <w:spacing w:after="0"/>
              <w:rPr>
                <w:sz w:val="16"/>
                <w:szCs w:val="16"/>
                <w:color w:val="auto"/>
              </w:rPr>
            </w:pPr>
          </w:p>
        </w:tc>
        <w:tc>
          <w:tcPr>
            <w:tcW w:w="2240" w:type="dxa"/>
            <w:vAlign w:val="bottom"/>
            <w:gridSpan w:val="3"/>
            <w:shd w:val="clear" w:color="auto" w:fill="CFF0FC"/>
          </w:tcPr>
          <w:p>
            <w:pPr>
              <w:jc w:val="right"/>
              <w:ind w:right="440"/>
              <w:spacing w:after="0"/>
              <w:rPr>
                <w:sz w:val="20"/>
                <w:szCs w:val="20"/>
                <w:color w:val="auto"/>
              </w:rPr>
            </w:pPr>
            <w:r>
              <w:rPr>
                <w:rFonts w:ascii="Arial" w:cs="Arial" w:eastAsia="Arial" w:hAnsi="Arial"/>
                <w:sz w:val="16"/>
                <w:szCs w:val="16"/>
                <w:color w:val="auto"/>
              </w:rPr>
              <w:t>Other non-current</w:t>
            </w: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2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140"/>
              <w:spacing w:after="0" w:line="177" w:lineRule="exact"/>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160"/>
              <w:spacing w:after="0" w:line="177" w:lineRule="exact"/>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line="177"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9"/>
        </w:trPr>
        <w:tc>
          <w:tcPr>
            <w:tcW w:w="462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jc w:val="right"/>
              <w:ind w:right="102"/>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(34)</w:t>
            </w:r>
          </w:p>
        </w:tc>
        <w:tc>
          <w:tcPr>
            <w:tcW w:w="2400" w:type="dxa"/>
            <w:vAlign w:val="bottom"/>
            <w:gridSpan w:val="4"/>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20" w:type="dxa"/>
            <w:vAlign w:val="bottom"/>
            <w:vMerge w:val="restart"/>
          </w:tcPr>
          <w:p>
            <w:pPr>
              <w:jc w:val="right"/>
              <w:ind w:right="568"/>
              <w:spacing w:after="0"/>
              <w:rPr>
                <w:sz w:val="20"/>
                <w:szCs w:val="20"/>
                <w:color w:val="auto"/>
              </w:rPr>
            </w:pPr>
            <w:r>
              <w:rPr>
                <w:rFonts w:ascii="Arial" w:cs="Arial" w:eastAsia="Arial" w:hAnsi="Arial"/>
                <w:sz w:val="16"/>
                <w:szCs w:val="16"/>
                <w:color w:val="auto"/>
              </w:rPr>
              <w:t>77</w:t>
            </w: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6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2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The balance of derivative losses recorded in AOCL as of December 31, 2019 and 2018 was $34 million and $9 million, respectively. During the year ended December 31, 2019, the Company reclassified $1 million from AOCL to earnings, which was recorded as Interest expense, net on the Consolidated Statements of Comprehensive Income. The Company had $6 million of derivative losses recorded in AOCL expected to be reclassified to earnings within the next twelve months as of December 31, 2019. See NOTE 17 “Accumulated Other Comprehensive Loss” for information regarding activity recorded as a component of AOCL during the year ended December 31, 2019.</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PRODUCT WARRANTY LIABILITIES</w:t>
      </w:r>
    </w:p>
    <w:p>
      <w:pPr>
        <w:spacing w:after="0" w:line="153" w:lineRule="exact"/>
        <w:rPr>
          <w:sz w:val="20"/>
          <w:szCs w:val="20"/>
          <w:color w:val="auto"/>
        </w:rPr>
      </w:pPr>
    </w:p>
    <w:p>
      <w:pPr>
        <w:ind w:right="240" w:firstLine="531"/>
        <w:spacing w:after="0" w:line="234" w:lineRule="auto"/>
        <w:rPr>
          <w:sz w:val="20"/>
          <w:szCs w:val="20"/>
          <w:color w:val="auto"/>
        </w:rPr>
      </w:pPr>
      <w:r>
        <w:rPr>
          <w:rFonts w:ascii="Arial" w:cs="Arial" w:eastAsia="Arial" w:hAnsi="Arial"/>
          <w:sz w:val="16"/>
          <w:szCs w:val="16"/>
          <w:color w:val="auto"/>
        </w:rPr>
        <w:t>As of December 31, 2019, the current and non-current product warranty liabilities were $24 million and $28 million, respectively. As of December 31, 2018, the current and non-current product warranty liabilities were $26 million and $40 million, respectively. Product warranty liability activities consist of the following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00" w:type="dxa"/>
            <w:vAlign w:val="bottom"/>
          </w:tcPr>
          <w:p>
            <w:pPr>
              <w:jc w:val="center"/>
              <w:ind w:left="170"/>
              <w:spacing w:after="0"/>
              <w:rPr>
                <w:sz w:val="20"/>
                <w:szCs w:val="20"/>
                <w:color w:val="auto"/>
              </w:rPr>
            </w:pPr>
            <w:r>
              <w:rPr>
                <w:rFonts w:ascii="Arial" w:cs="Arial" w:eastAsia="Arial" w:hAnsi="Arial"/>
                <w:sz w:val="13"/>
                <w:szCs w:val="13"/>
                <w:b w:val="1"/>
                <w:bCs w:val="1"/>
                <w:color w:val="auto"/>
                <w:w w:val="94"/>
              </w:rPr>
              <w:t>Year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Year ended</w:t>
            </w:r>
          </w:p>
        </w:tc>
        <w:tc>
          <w:tcPr>
            <w:tcW w:w="180" w:type="dxa"/>
            <w:vAlign w:val="bottom"/>
          </w:tcPr>
          <w:p>
            <w:pPr>
              <w:spacing w:after="0"/>
              <w:rPr>
                <w:sz w:val="13"/>
                <w:szCs w:val="13"/>
                <w:color w:val="auto"/>
              </w:rPr>
            </w:pPr>
          </w:p>
        </w:tc>
        <w:tc>
          <w:tcPr>
            <w:tcW w:w="1280" w:type="dxa"/>
            <w:vAlign w:val="bottom"/>
          </w:tcPr>
          <w:p>
            <w:pPr>
              <w:jc w:val="center"/>
              <w:ind w:right="228"/>
              <w:spacing w:after="0"/>
              <w:rPr>
                <w:sz w:val="20"/>
                <w:szCs w:val="20"/>
                <w:color w:val="auto"/>
              </w:rPr>
            </w:pPr>
            <w:r>
              <w:rPr>
                <w:rFonts w:ascii="Arial" w:cs="Arial" w:eastAsia="Arial" w:hAnsi="Arial"/>
                <w:sz w:val="13"/>
                <w:szCs w:val="13"/>
                <w:b w:val="1"/>
                <w:bCs w:val="1"/>
                <w:color w:val="auto"/>
                <w:w w:val="94"/>
              </w:rPr>
              <w:t>Year ended</w:t>
            </w:r>
          </w:p>
        </w:tc>
      </w:tr>
      <w:tr>
        <w:trPr>
          <w:trHeight w:val="141"/>
        </w:trPr>
        <w:tc>
          <w:tcPr>
            <w:tcW w:w="51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00" w:type="dxa"/>
            <w:vAlign w:val="bottom"/>
          </w:tcPr>
          <w:p>
            <w:pPr>
              <w:jc w:val="center"/>
              <w:ind w:left="17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80" w:type="dxa"/>
            <w:vAlign w:val="bottom"/>
          </w:tcPr>
          <w:p>
            <w:pPr>
              <w:spacing w:after="0"/>
              <w:rPr>
                <w:sz w:val="12"/>
                <w:szCs w:val="12"/>
                <w:color w:val="auto"/>
              </w:rPr>
            </w:pPr>
          </w:p>
        </w:tc>
        <w:tc>
          <w:tcPr>
            <w:tcW w:w="1280" w:type="dxa"/>
            <w:vAlign w:val="bottom"/>
          </w:tcPr>
          <w:p>
            <w:pPr>
              <w:jc w:val="center"/>
              <w:ind w:right="228"/>
              <w:spacing w:after="0" w:line="141" w:lineRule="exact"/>
              <w:rPr>
                <w:sz w:val="20"/>
                <w:szCs w:val="20"/>
                <w:color w:val="auto"/>
              </w:rPr>
            </w:pPr>
            <w:r>
              <w:rPr>
                <w:rFonts w:ascii="Arial" w:cs="Arial" w:eastAsia="Arial" w:hAnsi="Arial"/>
                <w:sz w:val="13"/>
                <w:szCs w:val="13"/>
                <w:b w:val="1"/>
                <w:bCs w:val="1"/>
                <w:color w:val="auto"/>
                <w:w w:val="96"/>
              </w:rPr>
              <w:t>December 31,</w:t>
            </w:r>
          </w:p>
        </w:tc>
      </w:tr>
      <w:tr>
        <w:trPr>
          <w:trHeight w:val="153"/>
        </w:trPr>
        <w:tc>
          <w:tcPr>
            <w:tcW w:w="5120" w:type="dxa"/>
            <w:vAlign w:val="bottom"/>
          </w:tcPr>
          <w:p>
            <w:pPr>
              <w:spacing w:after="0"/>
              <w:rPr>
                <w:sz w:val="13"/>
                <w:szCs w:val="13"/>
                <w:color w:val="auto"/>
              </w:rPr>
            </w:pPr>
          </w:p>
        </w:tc>
        <w:tc>
          <w:tcPr>
            <w:tcW w:w="2760" w:type="dxa"/>
            <w:vAlign w:val="bottom"/>
            <w:gridSpan w:val="2"/>
          </w:tcPr>
          <w:p>
            <w:pPr>
              <w:jc w:val="center"/>
              <w:ind w:left="1837"/>
              <w:spacing w:after="0"/>
              <w:rPr>
                <w:sz w:val="20"/>
                <w:szCs w:val="20"/>
                <w:color w:val="auto"/>
              </w:rPr>
            </w:pPr>
            <w:r>
              <w:rPr>
                <w:rFonts w:ascii="Arial" w:cs="Arial" w:eastAsia="Arial" w:hAnsi="Arial"/>
                <w:sz w:val="13"/>
                <w:szCs w:val="13"/>
                <w:b w:val="1"/>
                <w:bCs w:val="1"/>
                <w:color w:val="auto"/>
                <w:w w:val="89"/>
              </w:rPr>
              <w:t>2019</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right="228"/>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248"/>
              <w:spacing w:after="0"/>
              <w:rPr>
                <w:sz w:val="20"/>
                <w:szCs w:val="20"/>
                <w:color w:val="auto"/>
              </w:rPr>
            </w:pPr>
            <w:r>
              <w:rPr>
                <w:rFonts w:ascii="Arial" w:cs="Arial" w:eastAsia="Arial" w:hAnsi="Arial"/>
                <w:sz w:val="13"/>
                <w:szCs w:val="13"/>
                <w:b w:val="1"/>
                <w:bCs w:val="1"/>
                <w:color w:val="auto"/>
                <w:w w:val="96"/>
              </w:rPr>
              <w:t>2017</w:t>
            </w:r>
          </w:p>
        </w:tc>
      </w:tr>
      <w:tr>
        <w:trPr>
          <w:trHeight w:val="179"/>
        </w:trPr>
        <w:tc>
          <w:tcPr>
            <w:tcW w:w="51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660" w:type="dxa"/>
            <w:vAlign w:val="bottom"/>
            <w:tcBorders>
              <w:top w:val="single" w:sz="8" w:color="CFF0FC"/>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jc w:val="right"/>
              <w:ind w:right="930"/>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66</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55</w:t>
            </w:r>
          </w:p>
        </w:tc>
        <w:tc>
          <w:tcPr>
            <w:tcW w:w="16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63</w:t>
            </w:r>
          </w:p>
        </w:tc>
      </w:tr>
      <w:tr>
        <w:trPr>
          <w:trHeight w:val="188"/>
        </w:trPr>
        <w:tc>
          <w:tcPr>
            <w:tcW w:w="5120" w:type="dxa"/>
            <w:vAlign w:val="bottom"/>
          </w:tcPr>
          <w:p>
            <w:pPr>
              <w:spacing w:after="0"/>
              <w:rPr>
                <w:sz w:val="20"/>
                <w:szCs w:val="20"/>
                <w:color w:val="auto"/>
              </w:rPr>
            </w:pPr>
            <w:r>
              <w:rPr>
                <w:rFonts w:ascii="Arial" w:cs="Arial" w:eastAsia="Arial" w:hAnsi="Arial"/>
                <w:sz w:val="16"/>
                <w:szCs w:val="16"/>
                <w:color w:val="auto"/>
              </w:rPr>
              <w:t>Payments</w:t>
            </w:r>
          </w:p>
        </w:tc>
        <w:tc>
          <w:tcPr>
            <w:tcW w:w="16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w w:val="98"/>
              </w:rPr>
              <w:t>(26)</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88"/>
        </w:trPr>
        <w:tc>
          <w:tcPr>
            <w:tcW w:w="512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6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21</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18</w:t>
            </w:r>
          </w:p>
        </w:tc>
      </w:tr>
      <w:tr>
        <w:trPr>
          <w:trHeight w:val="188"/>
        </w:trPr>
        <w:tc>
          <w:tcPr>
            <w:tcW w:w="5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660" w:type="dxa"/>
            <w:vAlign w:val="bottom"/>
            <w:tcBorders>
              <w:bottom w:val="single" w:sz="8" w:color="CFF0FC"/>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4</w:t>
            </w:r>
          </w:p>
        </w:tc>
      </w:tr>
      <w:tr>
        <w:trPr>
          <w:trHeight w:val="179"/>
        </w:trPr>
        <w:tc>
          <w:tcPr>
            <w:tcW w:w="51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66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930"/>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52</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
              <w:spacing w:after="0" w:line="180" w:lineRule="exact"/>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66</w:t>
            </w: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55</w:t>
            </w:r>
          </w:p>
        </w:tc>
      </w:tr>
      <w:tr>
        <w:trPr>
          <w:trHeight w:val="20"/>
        </w:trPr>
        <w:tc>
          <w:tcPr>
            <w:tcW w:w="5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80" w:firstLine="531"/>
        <w:spacing w:after="0" w:line="237" w:lineRule="auto"/>
        <w:rPr>
          <w:sz w:val="20"/>
          <w:szCs w:val="20"/>
          <w:color w:val="auto"/>
        </w:rPr>
      </w:pPr>
      <w:r>
        <w:rPr>
          <w:rFonts w:ascii="Arial" w:cs="Arial" w:eastAsia="Arial" w:hAnsi="Arial"/>
          <w:sz w:val="16"/>
          <w:szCs w:val="16"/>
          <w:color w:val="auto"/>
        </w:rPr>
        <w:t>The adjustments to the total liability in 2019, 2018 and 2017 were the result of general changes in estimates for various products and specific field action programs as additional claims data and field information became available.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DEFERRED REVENUE</w:t>
      </w:r>
    </w:p>
    <w:p>
      <w:pPr>
        <w:spacing w:after="0" w:line="153" w:lineRule="exact"/>
        <w:rPr>
          <w:sz w:val="20"/>
          <w:szCs w:val="20"/>
          <w:color w:val="auto"/>
        </w:rPr>
      </w:pPr>
    </w:p>
    <w:p>
      <w:pPr>
        <w:ind w:right="440" w:firstLine="603"/>
        <w:spacing w:after="0" w:line="265" w:lineRule="auto"/>
        <w:rPr>
          <w:sz w:val="20"/>
          <w:szCs w:val="20"/>
          <w:color w:val="auto"/>
        </w:rPr>
      </w:pPr>
      <w:r>
        <w:rPr>
          <w:rFonts w:ascii="Arial" w:cs="Arial" w:eastAsia="Arial" w:hAnsi="Arial"/>
          <w:sz w:val="15"/>
          <w:szCs w:val="15"/>
          <w:color w:val="auto"/>
        </w:rPr>
        <w:t>As of December 31, 2019, the current and non-current deferred revenue were $ 35 million and $104 million, respectively. As of December 31, 2018, the current and non-current deferred revenue were $34 million and $88 million, respectively. Deferred revenue activity consists of the following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80" w:type="dxa"/>
            <w:vAlign w:val="bottom"/>
          </w:tcPr>
          <w:p>
            <w:pPr>
              <w:jc w:val="center"/>
              <w:ind w:left="192"/>
              <w:spacing w:after="0"/>
              <w:rPr>
                <w:sz w:val="20"/>
                <w:szCs w:val="20"/>
                <w:color w:val="auto"/>
              </w:rPr>
            </w:pPr>
            <w:r>
              <w:rPr>
                <w:rFonts w:ascii="Arial" w:cs="Arial" w:eastAsia="Arial" w:hAnsi="Arial"/>
                <w:sz w:val="13"/>
                <w:szCs w:val="13"/>
                <w:b w:val="1"/>
                <w:bCs w:val="1"/>
                <w:color w:val="auto"/>
                <w:w w:val="94"/>
              </w:rPr>
              <w:t>Year ended</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left="191"/>
              <w:spacing w:after="0"/>
              <w:rPr>
                <w:sz w:val="20"/>
                <w:szCs w:val="20"/>
                <w:color w:val="auto"/>
              </w:rPr>
            </w:pPr>
            <w:r>
              <w:rPr>
                <w:rFonts w:ascii="Arial" w:cs="Arial" w:eastAsia="Arial" w:hAnsi="Arial"/>
                <w:sz w:val="13"/>
                <w:szCs w:val="13"/>
                <w:b w:val="1"/>
                <w:bCs w:val="1"/>
                <w:color w:val="auto"/>
                <w:w w:val="94"/>
              </w:rPr>
              <w:t>Year ended</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229"/>
              <w:spacing w:after="0"/>
              <w:rPr>
                <w:sz w:val="20"/>
                <w:szCs w:val="20"/>
                <w:color w:val="auto"/>
              </w:rPr>
            </w:pPr>
            <w:r>
              <w:rPr>
                <w:rFonts w:ascii="Arial" w:cs="Arial" w:eastAsia="Arial" w:hAnsi="Arial"/>
                <w:sz w:val="13"/>
                <w:szCs w:val="13"/>
                <w:b w:val="1"/>
                <w:bCs w:val="1"/>
                <w:color w:val="auto"/>
                <w:w w:val="94"/>
              </w:rPr>
              <w:t>Year ended</w:t>
            </w:r>
          </w:p>
        </w:tc>
      </w:tr>
      <w:tr>
        <w:trPr>
          <w:trHeight w:val="141"/>
        </w:trPr>
        <w:tc>
          <w:tcPr>
            <w:tcW w:w="4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80" w:type="dxa"/>
            <w:vAlign w:val="bottom"/>
          </w:tcPr>
          <w:p>
            <w:pPr>
              <w:jc w:val="center"/>
              <w:ind w:left="192"/>
              <w:spacing w:after="0" w:line="141" w:lineRule="exact"/>
              <w:rPr>
                <w:sz w:val="20"/>
                <w:szCs w:val="20"/>
                <w:color w:val="auto"/>
              </w:rPr>
            </w:pPr>
            <w:r>
              <w:rPr>
                <w:rFonts w:ascii="Arial" w:cs="Arial" w:eastAsia="Arial" w:hAnsi="Arial"/>
                <w:sz w:val="13"/>
                <w:szCs w:val="13"/>
                <w:b w:val="1"/>
                <w:bCs w:val="1"/>
                <w:color w:val="auto"/>
                <w:w w:val="96"/>
              </w:rPr>
              <w:t>December 31,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left="191"/>
              <w:spacing w:after="0" w:line="141" w:lineRule="exact"/>
              <w:rPr>
                <w:sz w:val="20"/>
                <w:szCs w:val="20"/>
                <w:color w:val="auto"/>
              </w:rPr>
            </w:pPr>
            <w:r>
              <w:rPr>
                <w:rFonts w:ascii="Arial" w:cs="Arial" w:eastAsia="Arial" w:hAnsi="Arial"/>
                <w:sz w:val="13"/>
                <w:szCs w:val="13"/>
                <w:b w:val="1"/>
                <w:bCs w:val="1"/>
                <w:color w:val="auto"/>
                <w:w w:val="96"/>
              </w:rPr>
              <w:t>December 31,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jc w:val="center"/>
              <w:ind w:right="229"/>
              <w:spacing w:after="0" w:line="141" w:lineRule="exact"/>
              <w:rPr>
                <w:sz w:val="20"/>
                <w:szCs w:val="20"/>
                <w:color w:val="auto"/>
              </w:rPr>
            </w:pPr>
            <w:r>
              <w:rPr>
                <w:rFonts w:ascii="Arial" w:cs="Arial" w:eastAsia="Arial" w:hAnsi="Arial"/>
                <w:sz w:val="13"/>
                <w:szCs w:val="13"/>
                <w:b w:val="1"/>
                <w:bCs w:val="1"/>
                <w:color w:val="auto"/>
                <w:w w:val="96"/>
              </w:rPr>
              <w:t>December 31,</w:t>
            </w:r>
          </w:p>
        </w:tc>
      </w:tr>
      <w:tr>
        <w:trPr>
          <w:trHeight w:val="153"/>
        </w:trPr>
        <w:tc>
          <w:tcPr>
            <w:tcW w:w="4020" w:type="dxa"/>
            <w:vAlign w:val="bottom"/>
          </w:tcPr>
          <w:p>
            <w:pPr>
              <w:spacing w:after="0"/>
              <w:rPr>
                <w:sz w:val="13"/>
                <w:szCs w:val="13"/>
                <w:color w:val="auto"/>
              </w:rPr>
            </w:pPr>
          </w:p>
        </w:tc>
        <w:tc>
          <w:tcPr>
            <w:tcW w:w="3840" w:type="dxa"/>
            <w:vAlign w:val="bottom"/>
            <w:gridSpan w:val="2"/>
          </w:tcPr>
          <w:p>
            <w:pPr>
              <w:jc w:val="center"/>
              <w:ind w:left="2937"/>
              <w:spacing w:after="0"/>
              <w:rPr>
                <w:sz w:val="20"/>
                <w:szCs w:val="20"/>
                <w:color w:val="auto"/>
              </w:rPr>
            </w:pPr>
            <w:r>
              <w:rPr>
                <w:rFonts w:ascii="Arial" w:cs="Arial" w:eastAsia="Arial" w:hAnsi="Arial"/>
                <w:sz w:val="13"/>
                <w:szCs w:val="13"/>
                <w:b w:val="1"/>
                <w:bCs w:val="1"/>
                <w:color w:val="auto"/>
                <w:w w:val="96"/>
              </w:rPr>
              <w:t>2019</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2018</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249"/>
              <w:spacing w:after="0"/>
              <w:rPr>
                <w:sz w:val="20"/>
                <w:szCs w:val="20"/>
                <w:color w:val="auto"/>
              </w:rPr>
            </w:pPr>
            <w:r>
              <w:rPr>
                <w:rFonts w:ascii="Arial" w:cs="Arial" w:eastAsia="Arial" w:hAnsi="Arial"/>
                <w:sz w:val="13"/>
                <w:szCs w:val="13"/>
                <w:b w:val="1"/>
                <w:bCs w:val="1"/>
                <w:color w:val="auto"/>
                <w:w w:val="96"/>
              </w:rPr>
              <w:t>2017</w:t>
            </w:r>
          </w:p>
        </w:tc>
      </w:tr>
      <w:tr>
        <w:trPr>
          <w:trHeight w:val="179"/>
        </w:trPr>
        <w:tc>
          <w:tcPr>
            <w:tcW w:w="40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276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ind w:right="93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122</w:t>
            </w:r>
          </w:p>
        </w:tc>
        <w:tc>
          <w:tcPr>
            <w:tcW w:w="140" w:type="dxa"/>
            <w:vAlign w:val="bottom"/>
            <w:tcBorders>
              <w:top w:val="single" w:sz="8" w:color="CFF0FC"/>
            </w:tcBorders>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jc w:val="right"/>
              <w:ind w:right="911"/>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110</w:t>
            </w:r>
          </w:p>
        </w:tc>
        <w:tc>
          <w:tcPr>
            <w:tcW w:w="1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69"/>
              <w:spacing w:after="0" w:line="180" w:lineRule="exact"/>
              <w:rPr>
                <w:sz w:val="20"/>
                <w:szCs w:val="20"/>
                <w:color w:val="auto"/>
              </w:rPr>
            </w:pPr>
            <w:r>
              <w:rPr>
                <w:rFonts w:ascii="Arial" w:cs="Arial" w:eastAsia="Arial" w:hAnsi="Arial"/>
                <w:sz w:val="16"/>
                <w:szCs w:val="16"/>
                <w:color w:val="auto"/>
              </w:rPr>
              <w:t>93</w:t>
            </w:r>
          </w:p>
        </w:tc>
      </w:tr>
      <w:tr>
        <w:trPr>
          <w:trHeight w:val="188"/>
        </w:trPr>
        <w:tc>
          <w:tcPr>
            <w:tcW w:w="4020" w:type="dxa"/>
            <w:vAlign w:val="bottom"/>
          </w:tcPr>
          <w:p>
            <w:pPr>
              <w:spacing w:after="0"/>
              <w:rPr>
                <w:sz w:val="20"/>
                <w:szCs w:val="20"/>
                <w:color w:val="auto"/>
              </w:rPr>
            </w:pPr>
            <w:r>
              <w:rPr>
                <w:rFonts w:ascii="Arial" w:cs="Arial" w:eastAsia="Arial" w:hAnsi="Arial"/>
                <w:sz w:val="16"/>
                <w:szCs w:val="16"/>
                <w:color w:val="auto"/>
              </w:rPr>
              <w:t>Increases</w:t>
            </w:r>
          </w:p>
        </w:tc>
        <w:tc>
          <w:tcPr>
            <w:tcW w:w="2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ind w:right="42"/>
              <w:spacing w:after="0"/>
              <w:rPr>
                <w:sz w:val="20"/>
                <w:szCs w:val="20"/>
                <w:color w:val="auto"/>
              </w:rPr>
            </w:pPr>
            <w:r>
              <w:rPr>
                <w:rFonts w:ascii="Arial" w:cs="Arial" w:eastAsia="Arial" w:hAnsi="Arial"/>
                <w:sz w:val="16"/>
                <w:szCs w:val="16"/>
                <w:b w:val="1"/>
                <w:bCs w:val="1"/>
                <w:color w:val="auto"/>
              </w:rPr>
              <w:t>55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jc w:val="right"/>
              <w:ind w:right="42"/>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69"/>
              <w:spacing w:after="0"/>
              <w:rPr>
                <w:sz w:val="20"/>
                <w:szCs w:val="20"/>
                <w:color w:val="auto"/>
              </w:rPr>
            </w:pPr>
            <w:r>
              <w:rPr>
                <w:rFonts w:ascii="Arial" w:cs="Arial" w:eastAsia="Arial" w:hAnsi="Arial"/>
                <w:sz w:val="16"/>
                <w:szCs w:val="16"/>
                <w:color w:val="auto"/>
              </w:rPr>
              <w:t>52</w:t>
            </w:r>
          </w:p>
        </w:tc>
      </w:tr>
      <w:tr>
        <w:trPr>
          <w:trHeight w:val="188"/>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276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w:t>
            </w:r>
          </w:p>
        </w:tc>
        <w:tc>
          <w:tcPr>
            <w:tcW w:w="14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6"/>
                <w:szCs w:val="16"/>
                <w:color w:val="auto"/>
              </w:rPr>
              <w:t>(29)</w:t>
            </w:r>
          </w:p>
        </w:tc>
      </w:tr>
      <w:tr>
        <w:trPr>
          <w:trHeight w:val="179"/>
        </w:trPr>
        <w:tc>
          <w:tcPr>
            <w:tcW w:w="402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2760" w:type="dxa"/>
            <w:vAlign w:val="bottom"/>
          </w:tcPr>
          <w:p>
            <w:pPr>
              <w:spacing w:after="0"/>
              <w:rPr>
                <w:sz w:val="15"/>
                <w:szCs w:val="15"/>
                <w:color w:val="auto"/>
              </w:rPr>
            </w:pPr>
          </w:p>
        </w:tc>
        <w:tc>
          <w:tcPr>
            <w:tcW w:w="1080" w:type="dxa"/>
            <w:vAlign w:val="bottom"/>
            <w:tcBorders>
              <w:bottom w:val="single" w:sz="8" w:color="auto"/>
            </w:tcBorders>
          </w:tcPr>
          <w:p>
            <w:pPr>
              <w:jc w:val="right"/>
              <w:ind w:right="932"/>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w w:val="89"/>
              </w:rPr>
              <w:t>139</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ind w:right="911"/>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122</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69"/>
              <w:spacing w:after="0" w:line="180" w:lineRule="exact"/>
              <w:rPr>
                <w:sz w:val="20"/>
                <w:szCs w:val="20"/>
                <w:color w:val="auto"/>
              </w:rPr>
            </w:pPr>
            <w:r>
              <w:rPr>
                <w:rFonts w:ascii="Arial" w:cs="Arial" w:eastAsia="Arial" w:hAnsi="Arial"/>
                <w:sz w:val="16"/>
                <w:szCs w:val="16"/>
                <w:color w:val="auto"/>
              </w:rPr>
              <w:t>116</w:t>
            </w:r>
          </w:p>
        </w:tc>
      </w:tr>
      <w:tr>
        <w:trPr>
          <w:trHeight w:val="20"/>
        </w:trPr>
        <w:tc>
          <w:tcPr>
            <w:tcW w:w="40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180" w:firstLine="531"/>
        <w:spacing w:after="0" w:line="234" w:lineRule="auto"/>
        <w:rPr>
          <w:sz w:val="20"/>
          <w:szCs w:val="20"/>
          <w:color w:val="auto"/>
        </w:rPr>
      </w:pPr>
      <w:r>
        <w:rPr>
          <w:rFonts w:ascii="Arial" w:cs="Arial" w:eastAsia="Arial" w:hAnsi="Arial"/>
          <w:sz w:val="16"/>
          <w:szCs w:val="16"/>
          <w:color w:val="auto"/>
        </w:rPr>
        <w:t>New authoritative accounting guidance for revenue was adopted by the Company effective January 1, 2018. The Company recorded a one-time adjustment related to sales of ETC contracts open as of the date of adoption, which decreased deferred revenue by $6 million as of January 1, 2018. See NOTE 3, "Revenue" for information regarding the impact of the adoption of this guidance.</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Deferred revenue recorded in current and non-current liabilities related to ETC as of December 31, 2019 were $29 million and $84 million, respectively.</w:t>
      </w:r>
    </w:p>
    <w:p>
      <w:pPr>
        <w:spacing w:after="0"/>
        <w:rPr>
          <w:sz w:val="20"/>
          <w:szCs w:val="20"/>
          <w:color w:val="auto"/>
        </w:rPr>
      </w:pPr>
      <w:r>
        <w:rPr>
          <w:rFonts w:ascii="Arial" w:cs="Arial" w:eastAsia="Arial" w:hAnsi="Arial"/>
          <w:sz w:val="16"/>
          <w:szCs w:val="16"/>
          <w:color w:val="auto"/>
        </w:rPr>
        <w:t>Deferred revenue recorded in current and non-current liabilities related to ETC as of December 31, 2018 were $30 million and $73 million,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LEASES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Adoption of New Lease Guidance</w:t>
      </w:r>
    </w:p>
    <w:p>
      <w:pPr>
        <w:spacing w:after="0" w:line="151" w:lineRule="exact"/>
        <w:rPr>
          <w:sz w:val="20"/>
          <w:szCs w:val="20"/>
          <w:color w:val="auto"/>
        </w:rPr>
      </w:pPr>
    </w:p>
    <w:p>
      <w:pPr>
        <w:ind w:right="40" w:firstLine="537"/>
        <w:spacing w:after="0" w:line="234" w:lineRule="auto"/>
        <w:rPr>
          <w:sz w:val="20"/>
          <w:szCs w:val="20"/>
          <w:color w:val="auto"/>
        </w:rPr>
      </w:pPr>
      <w:r>
        <w:rPr>
          <w:rFonts w:ascii="Arial" w:cs="Arial" w:eastAsia="Arial" w:hAnsi="Arial"/>
          <w:sz w:val="16"/>
          <w:szCs w:val="16"/>
          <w:color w:val="auto"/>
        </w:rPr>
        <w:t>New authoritative guidance for leases was adopted by the Company effective January 1, 2019 using the optional transition method. Balances as of December 31, 2019 and results for the year ended December 31, 2019 are presented in conformity with the new authoritative accounting guidance, while prior period balances and results are presented in conformity with prior accounting guidance for leases.</w:t>
      </w:r>
    </w:p>
    <w:p>
      <w:pPr>
        <w:spacing w:after="0" w:line="131" w:lineRule="exact"/>
        <w:rPr>
          <w:sz w:val="20"/>
          <w:szCs w:val="20"/>
          <w:color w:val="auto"/>
        </w:rPr>
      </w:pPr>
    </w:p>
    <w:p>
      <w:pPr>
        <w:ind w:right="200" w:firstLine="537"/>
        <w:spacing w:after="0" w:line="237" w:lineRule="auto"/>
        <w:rPr>
          <w:sz w:val="20"/>
          <w:szCs w:val="20"/>
          <w:color w:val="auto"/>
        </w:rPr>
      </w:pPr>
      <w:r>
        <w:rPr>
          <w:rFonts w:ascii="Arial" w:cs="Arial" w:eastAsia="Arial" w:hAnsi="Arial"/>
          <w:sz w:val="16"/>
          <w:szCs w:val="16"/>
          <w:color w:val="auto"/>
        </w:rPr>
        <w:t>The Company recognized ROU assets for operating leases of $14 million and current and non-current operating lease liabilities of $4 million and $9 million, respectively, as of January 1, 2019. At the time of adoption, the Company was not party to any finance leases.</w:t>
      </w:r>
    </w:p>
    <w:p>
      <w:pPr>
        <w:spacing w:after="0" w:line="129" w:lineRule="exact"/>
        <w:rPr>
          <w:sz w:val="20"/>
          <w:szCs w:val="20"/>
          <w:color w:val="auto"/>
        </w:rPr>
      </w:pPr>
    </w:p>
    <w:p>
      <w:pPr>
        <w:ind w:right="260" w:firstLine="537"/>
        <w:spacing w:after="0" w:line="265" w:lineRule="auto"/>
        <w:rPr>
          <w:sz w:val="20"/>
          <w:szCs w:val="20"/>
          <w:color w:val="auto"/>
        </w:rPr>
      </w:pPr>
      <w:r>
        <w:rPr>
          <w:rFonts w:ascii="Arial" w:cs="Arial" w:eastAsia="Arial" w:hAnsi="Arial"/>
          <w:sz w:val="15"/>
          <w:szCs w:val="15"/>
          <w:color w:val="auto"/>
        </w:rPr>
        <w:t>The Company elected to employ practical expedients allowed by this guidance which included not reassessing existing or expired contracts for leases, not reassessing existing or expired leases for classification, not reassessing indirect costs for any existing leases and using hindsight when determining lease terms.</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Lessee Accounting</w:t>
      </w:r>
    </w:p>
    <w:p>
      <w:pPr>
        <w:spacing w:after="0" w:line="151" w:lineRule="exact"/>
        <w:rPr>
          <w:sz w:val="20"/>
          <w:szCs w:val="20"/>
          <w:color w:val="auto"/>
        </w:rPr>
      </w:pPr>
    </w:p>
    <w:p>
      <w:pPr>
        <w:ind w:right="80" w:firstLine="537"/>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either operating or finance leases. As of December 31, 2019, the Company was not a party to any finance leases. Contracts that contain leases are assessed to determine if the consideration in the contract is related to a lease component, non-lease component or other components not related to the lease. Lease components are recorded as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130" w:lineRule="exact"/>
        <w:rPr>
          <w:sz w:val="20"/>
          <w:szCs w:val="20"/>
          <w:color w:val="auto"/>
        </w:rPr>
      </w:pPr>
    </w:p>
    <w:p>
      <w:pPr>
        <w:jc w:val="both"/>
        <w:ind w:right="40" w:firstLine="537"/>
        <w:spacing w:after="0" w:line="234" w:lineRule="auto"/>
        <w:rPr>
          <w:sz w:val="20"/>
          <w:szCs w:val="20"/>
          <w:color w:val="auto"/>
        </w:rPr>
      </w:pPr>
      <w:r>
        <w:rPr>
          <w:rFonts w:ascii="Arial" w:cs="Arial" w:eastAsia="Arial" w:hAnsi="Arial"/>
          <w:sz w:val="16"/>
          <w:szCs w:val="16"/>
          <w:color w:val="auto"/>
        </w:rPr>
        <w:t>Certain lease agreements may contain an option to extend or terminate the lease. The Company considers the economic impact of extension and termination options for each lease agreement. If the Company concludes it is reasonably certain an option will be exercised, that option is included in the lease term and impacts the amount recorded as an ROU asset and lease liability upon inception of the contract.</w:t>
      </w:r>
    </w:p>
    <w:p>
      <w:pPr>
        <w:spacing w:after="0" w:line="131" w:lineRule="exact"/>
        <w:rPr>
          <w:sz w:val="20"/>
          <w:szCs w:val="20"/>
          <w:color w:val="auto"/>
        </w:rPr>
      </w:pPr>
    </w:p>
    <w:p>
      <w:pPr>
        <w:ind w:right="160" w:firstLine="537"/>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by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Any lease liability is classified between current and non-current liabilities based on the terms of the underlying leases. The weighted average discount rate on operating leases as of December 31, 2019 was 4.36%.</w:t>
      </w:r>
    </w:p>
    <w:p>
      <w:pPr>
        <w:spacing w:after="0" w:line="132" w:lineRule="exact"/>
        <w:rPr>
          <w:sz w:val="20"/>
          <w:szCs w:val="20"/>
          <w:color w:val="auto"/>
        </w:rPr>
      </w:pPr>
    </w:p>
    <w:p>
      <w:pPr>
        <w:ind w:right="200" w:firstLine="537"/>
        <w:spacing w:after="0" w:line="237" w:lineRule="auto"/>
        <w:rPr>
          <w:sz w:val="20"/>
          <w:szCs w:val="20"/>
          <w:color w:val="auto"/>
        </w:rPr>
      </w:pPr>
      <w:r>
        <w:rPr>
          <w:rFonts w:ascii="Arial" w:cs="Arial" w:eastAsia="Arial" w:hAnsi="Arial"/>
          <w:sz w:val="16"/>
          <w:szCs w:val="16"/>
          <w:color w:val="auto"/>
        </w:rPr>
        <w:t>As of December 31, 2018, future undiscounted payments under operating leases (as defined by prior guidance) were expected to be as follows for the next five annual periods and thereafter following December 31, 2018: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jc w:val="right"/>
              <w:ind w:right="665"/>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340" w:type="dxa"/>
            <w:vAlign w:val="bottom"/>
            <w:tcBorders>
              <w:bottom w:val="single" w:sz="8" w:color="CFF0FC"/>
            </w:tcBorders>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925"/>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33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2019</w:t>
            </w:r>
          </w:p>
        </w:tc>
        <w:tc>
          <w:tcPr>
            <w:tcW w:w="59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2020</w:t>
            </w:r>
          </w:p>
        </w:tc>
        <w:tc>
          <w:tcPr>
            <w:tcW w:w="5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65"/>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8"/>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59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5"/>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6"/>
                <w:szCs w:val="16"/>
                <w:color w:val="auto"/>
              </w:rPr>
              <w:t>2022</w:t>
            </w:r>
          </w:p>
        </w:tc>
        <w:tc>
          <w:tcPr>
            <w:tcW w:w="5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65"/>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8"/>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59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5"/>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8"/>
        </w:trPr>
        <w:tc>
          <w:tcPr>
            <w:tcW w:w="3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59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79"/>
        </w:trPr>
        <w:tc>
          <w:tcPr>
            <w:tcW w:w="334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59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5940" w:type="dxa"/>
            <w:vAlign w:val="bottom"/>
            <w:vMerge w:val="restart"/>
          </w:tcPr>
          <w:p>
            <w:pPr>
              <w:jc w:val="right"/>
              <w:ind w:right="3402"/>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334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40" w:type="dxa"/>
            <w:vAlign w:val="bottom"/>
            <w:tcBorders>
              <w:bottom w:val="single" w:sz="8" w:color="9A9A9A"/>
            </w:tcBorders>
          </w:tcPr>
          <w:p>
            <w:pPr>
              <w:spacing w:after="0"/>
              <w:rPr>
                <w:sz w:val="7"/>
                <w:szCs w:val="7"/>
                <w:color w:val="auto"/>
              </w:rPr>
            </w:pPr>
          </w:p>
        </w:tc>
        <w:tc>
          <w:tcPr>
            <w:tcW w:w="59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right="160" w:firstLine="531"/>
        <w:spacing w:after="0" w:line="237" w:lineRule="auto"/>
        <w:rPr>
          <w:sz w:val="20"/>
          <w:szCs w:val="20"/>
          <w:color w:val="auto"/>
        </w:rPr>
      </w:pPr>
      <w:r>
        <w:rPr>
          <w:rFonts w:ascii="Arial" w:cs="Arial" w:eastAsia="Arial" w:hAnsi="Arial"/>
          <w:sz w:val="16"/>
          <w:szCs w:val="16"/>
          <w:color w:val="auto"/>
        </w:rPr>
        <w:t>As of December 31, 2019, the Company recorded current and non-current operating lease liabilities of $5 million and $18 million, respectively. The following table reconciles total operating lease liabilities as of December 31, 2019 to future undiscounted cash flows for operating leases: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4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665"/>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5840" w:type="dxa"/>
            <w:vAlign w:val="bottom"/>
            <w:tcBorders>
              <w:bottom w:val="single" w:sz="8" w:color="CFF0FC"/>
            </w:tcBorders>
          </w:tcPr>
          <w:p>
            <w:pPr>
              <w:spacing w:after="0"/>
              <w:rPr>
                <w:sz w:val="13"/>
                <w:szCs w:val="13"/>
                <w:color w:val="auto"/>
              </w:rPr>
            </w:pPr>
          </w:p>
        </w:tc>
        <w:tc>
          <w:tcPr>
            <w:tcW w:w="34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925"/>
              <w:spacing w:after="0"/>
              <w:rPr>
                <w:sz w:val="20"/>
                <w:szCs w:val="20"/>
                <w:color w:val="auto"/>
              </w:rPr>
            </w:pPr>
            <w:r>
              <w:rPr>
                <w:rFonts w:ascii="Arial" w:cs="Arial" w:eastAsia="Arial" w:hAnsi="Arial"/>
                <w:sz w:val="13"/>
                <w:szCs w:val="13"/>
                <w:b w:val="1"/>
                <w:bCs w:val="1"/>
                <w:color w:val="auto"/>
              </w:rPr>
              <w:t>2019</w:t>
            </w:r>
          </w:p>
        </w:tc>
      </w:tr>
      <w:tr>
        <w:trPr>
          <w:trHeight w:val="179"/>
        </w:trPr>
        <w:tc>
          <w:tcPr>
            <w:tcW w:w="5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2020</w:t>
            </w:r>
          </w:p>
        </w:tc>
        <w:tc>
          <w:tcPr>
            <w:tcW w:w="34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6</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2021</w:t>
            </w:r>
          </w:p>
        </w:tc>
        <w:tc>
          <w:tcPr>
            <w:tcW w:w="3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65"/>
              <w:spacing w:after="0"/>
              <w:rPr>
                <w:sz w:val="20"/>
                <w:szCs w:val="20"/>
                <w:color w:val="auto"/>
              </w:rPr>
            </w:pPr>
            <w:r>
              <w:rPr>
                <w:rFonts w:ascii="Arial" w:cs="Arial" w:eastAsia="Arial" w:hAnsi="Arial"/>
                <w:sz w:val="16"/>
                <w:szCs w:val="16"/>
                <w:b w:val="1"/>
                <w:bCs w:val="1"/>
                <w:color w:val="auto"/>
              </w:rPr>
              <w:t>4</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5"/>
              <w:spacing w:after="0"/>
              <w:rPr>
                <w:sz w:val="20"/>
                <w:szCs w:val="20"/>
                <w:color w:val="auto"/>
              </w:rPr>
            </w:pPr>
            <w:r>
              <w:rPr>
                <w:rFonts w:ascii="Arial" w:cs="Arial" w:eastAsia="Arial" w:hAnsi="Arial"/>
                <w:sz w:val="16"/>
                <w:szCs w:val="16"/>
                <w:b w:val="1"/>
                <w:bCs w:val="1"/>
                <w:color w:val="auto"/>
              </w:rPr>
              <w:t>3</w:t>
            </w:r>
          </w:p>
        </w:tc>
      </w:tr>
      <w:tr>
        <w:trPr>
          <w:trHeight w:val="188"/>
        </w:trPr>
        <w:tc>
          <w:tcPr>
            <w:tcW w:w="5840" w:type="dxa"/>
            <w:vAlign w:val="bottom"/>
          </w:tcPr>
          <w:p>
            <w:pPr>
              <w:spacing w:after="0"/>
              <w:rPr>
                <w:sz w:val="20"/>
                <w:szCs w:val="20"/>
                <w:color w:val="auto"/>
              </w:rPr>
            </w:pPr>
            <w:r>
              <w:rPr>
                <w:rFonts w:ascii="Arial" w:cs="Arial" w:eastAsia="Arial" w:hAnsi="Arial"/>
                <w:sz w:val="16"/>
                <w:szCs w:val="16"/>
                <w:color w:val="auto"/>
              </w:rPr>
              <w:t>2023</w:t>
            </w:r>
          </w:p>
        </w:tc>
        <w:tc>
          <w:tcPr>
            <w:tcW w:w="3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65"/>
              <w:spacing w:after="0"/>
              <w:rPr>
                <w:sz w:val="20"/>
                <w:szCs w:val="20"/>
                <w:color w:val="auto"/>
              </w:rPr>
            </w:pPr>
            <w:r>
              <w:rPr>
                <w:rFonts w:ascii="Arial" w:cs="Arial" w:eastAsia="Arial" w:hAnsi="Arial"/>
                <w:sz w:val="16"/>
                <w:szCs w:val="16"/>
                <w:b w:val="1"/>
                <w:bCs w:val="1"/>
                <w:color w:val="auto"/>
              </w:rPr>
              <w:t>3</w:t>
            </w:r>
          </w:p>
        </w:tc>
      </w:tr>
      <w:tr>
        <w:trPr>
          <w:trHeight w:val="188"/>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4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5"/>
              <w:spacing w:after="0"/>
              <w:rPr>
                <w:sz w:val="20"/>
                <w:szCs w:val="20"/>
                <w:color w:val="auto"/>
              </w:rPr>
            </w:pPr>
            <w:r>
              <w:rPr>
                <w:rFonts w:ascii="Arial" w:cs="Arial" w:eastAsia="Arial" w:hAnsi="Arial"/>
                <w:sz w:val="16"/>
                <w:szCs w:val="16"/>
                <w:b w:val="1"/>
                <w:bCs w:val="1"/>
                <w:color w:val="auto"/>
              </w:rPr>
              <w:t>2</w:t>
            </w:r>
          </w:p>
        </w:tc>
      </w:tr>
      <w:tr>
        <w:trPr>
          <w:trHeight w:val="188"/>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4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9</w:t>
            </w:r>
          </w:p>
        </w:tc>
      </w:tr>
      <w:tr>
        <w:trPr>
          <w:trHeight w:val="179"/>
        </w:trPr>
        <w:tc>
          <w:tcPr>
            <w:tcW w:w="58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34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27</w:t>
            </w:r>
          </w:p>
        </w:tc>
      </w:tr>
      <w:tr>
        <w:trPr>
          <w:trHeight w:val="188"/>
        </w:trPr>
        <w:tc>
          <w:tcPr>
            <w:tcW w:w="58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34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4</w:t>
            </w:r>
          </w:p>
        </w:tc>
      </w:tr>
      <w:tr>
        <w:trPr>
          <w:trHeight w:val="179"/>
        </w:trPr>
        <w:tc>
          <w:tcPr>
            <w:tcW w:w="58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34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FF0FC"/>
          </w:tcPr>
          <w:p>
            <w:pPr>
              <w:jc w:val="right"/>
              <w:ind w:right="65"/>
              <w:spacing w:after="0" w:line="180" w:lineRule="exact"/>
              <w:rPr>
                <w:sz w:val="20"/>
                <w:szCs w:val="20"/>
                <w:color w:val="auto"/>
              </w:rPr>
            </w:pPr>
            <w:r>
              <w:rPr>
                <w:rFonts w:ascii="Arial" w:cs="Arial" w:eastAsia="Arial" w:hAnsi="Arial"/>
                <w:sz w:val="16"/>
                <w:szCs w:val="16"/>
                <w:b w:val="1"/>
                <w:bCs w:val="1"/>
                <w:color w:val="auto"/>
              </w:rPr>
              <w:t>23</w:t>
            </w:r>
          </w:p>
        </w:tc>
      </w:tr>
      <w:tr>
        <w:trPr>
          <w:trHeight w:val="20"/>
        </w:trPr>
        <w:tc>
          <w:tcPr>
            <w:tcW w:w="5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80" w:firstLine="531"/>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tcPr>
          <w:p>
            <w:pPr>
              <w:jc w:val="right"/>
              <w:ind w:right="66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5480" w:type="dxa"/>
            <w:vAlign w:val="bottom"/>
            <w:tcBorders>
              <w:bottom w:val="single" w:sz="8" w:color="CFF0FC"/>
            </w:tcBorders>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926"/>
              <w:spacing w:after="0"/>
              <w:rPr>
                <w:sz w:val="20"/>
                <w:szCs w:val="20"/>
                <w:color w:val="auto"/>
              </w:rPr>
            </w:pPr>
            <w:r>
              <w:rPr>
                <w:rFonts w:ascii="Arial" w:cs="Arial" w:eastAsia="Arial" w:hAnsi="Arial"/>
                <w:sz w:val="13"/>
                <w:szCs w:val="13"/>
                <w:b w:val="1"/>
                <w:bCs w:val="1"/>
                <w:color w:val="auto"/>
              </w:rPr>
              <w:t>2019</w:t>
            </w:r>
          </w:p>
        </w:tc>
      </w:tr>
      <w:tr>
        <w:trPr>
          <w:trHeight w:val="179"/>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80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b w:val="1"/>
                <w:bCs w:val="1"/>
                <w:color w:val="auto"/>
              </w:rPr>
              <w:t>21</w:t>
            </w:r>
          </w:p>
        </w:tc>
      </w:tr>
      <w:tr>
        <w:trPr>
          <w:trHeight w:val="188"/>
        </w:trPr>
        <w:tc>
          <w:tcPr>
            <w:tcW w:w="5480" w:type="dxa"/>
            <w:vAlign w:val="bottom"/>
          </w:tcPr>
          <w:p>
            <w:pPr>
              <w:spacing w:after="0"/>
              <w:rPr>
                <w:sz w:val="20"/>
                <w:szCs w:val="20"/>
                <w:color w:val="auto"/>
              </w:rPr>
            </w:pPr>
            <w:r>
              <w:rPr>
                <w:rFonts w:ascii="Arial" w:cs="Arial" w:eastAsia="Arial" w:hAnsi="Arial"/>
                <w:sz w:val="16"/>
                <w:szCs w:val="16"/>
                <w:color w:val="auto"/>
              </w:rPr>
              <w:t>Land</w:t>
            </w:r>
          </w:p>
        </w:tc>
        <w:tc>
          <w:tcPr>
            <w:tcW w:w="3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tcPr>
          <w:p>
            <w:pPr>
              <w:jc w:val="right"/>
              <w:ind w:right="66"/>
              <w:spacing w:after="0"/>
              <w:rPr>
                <w:sz w:val="20"/>
                <w:szCs w:val="20"/>
                <w:color w:val="auto"/>
              </w:rPr>
            </w:pPr>
            <w:r>
              <w:rPr>
                <w:rFonts w:ascii="Arial" w:cs="Arial" w:eastAsia="Arial" w:hAnsi="Arial"/>
                <w:sz w:val="16"/>
                <w:szCs w:val="16"/>
                <w:b w:val="1"/>
                <w:bCs w:val="1"/>
                <w:color w:val="auto"/>
              </w:rPr>
              <w:t>1</w:t>
            </w:r>
          </w:p>
        </w:tc>
      </w:tr>
      <w:tr>
        <w:trPr>
          <w:trHeight w:val="188"/>
        </w:trPr>
        <w:tc>
          <w:tcPr>
            <w:tcW w:w="548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8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0" w:type="dxa"/>
            <w:vAlign w:val="bottom"/>
            <w:shd w:val="clear" w:color="auto" w:fill="CFF0FC"/>
          </w:tcPr>
          <w:p>
            <w:pPr>
              <w:jc w:val="right"/>
              <w:ind w:right="66"/>
              <w:spacing w:after="0"/>
              <w:rPr>
                <w:sz w:val="20"/>
                <w:szCs w:val="20"/>
                <w:color w:val="auto"/>
              </w:rPr>
            </w:pPr>
            <w:r>
              <w:rPr>
                <w:rFonts w:ascii="Arial" w:cs="Arial" w:eastAsia="Arial" w:hAnsi="Arial"/>
                <w:sz w:val="16"/>
                <w:szCs w:val="16"/>
                <w:b w:val="1"/>
                <w:bCs w:val="1"/>
                <w:color w:val="auto"/>
              </w:rPr>
              <w:t>1</w:t>
            </w:r>
          </w:p>
        </w:tc>
      </w:tr>
      <w:tr>
        <w:trPr>
          <w:trHeight w:val="188"/>
        </w:trPr>
        <w:tc>
          <w:tcPr>
            <w:tcW w:w="5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Equipment</w:t>
            </w:r>
          </w:p>
        </w:tc>
        <w:tc>
          <w:tcPr>
            <w:tcW w:w="380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b w:val="1"/>
                <w:bCs w:val="1"/>
                <w:color w:val="auto"/>
              </w:rPr>
              <w:t>1</w:t>
            </w:r>
          </w:p>
        </w:tc>
      </w:tr>
      <w:tr>
        <w:trPr>
          <w:trHeight w:val="179"/>
        </w:trPr>
        <w:tc>
          <w:tcPr>
            <w:tcW w:w="5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right-of-use assets</w:t>
            </w:r>
          </w:p>
        </w:tc>
        <w:tc>
          <w:tcPr>
            <w:tcW w:w="38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182"/>
              <w:spacing w:after="0" w:line="180" w:lineRule="exact"/>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b w:val="1"/>
                <w:bCs w:val="1"/>
                <w:color w:val="auto"/>
              </w:rPr>
              <w:t>24</w:t>
            </w: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remaining lease term as of December 31, 2019 was 7.70 years.</w:t>
      </w:r>
    </w:p>
    <w:p>
      <w:pPr>
        <w:spacing w:after="0" w:line="133" w:lineRule="exact"/>
        <w:rPr>
          <w:sz w:val="20"/>
          <w:szCs w:val="20"/>
          <w:color w:val="auto"/>
        </w:rPr>
      </w:pPr>
    </w:p>
    <w:p>
      <w:pPr>
        <w:ind w:right="120" w:firstLine="531"/>
        <w:spacing w:after="0" w:line="233" w:lineRule="auto"/>
        <w:rPr>
          <w:sz w:val="20"/>
          <w:szCs w:val="20"/>
          <w:color w:val="auto"/>
        </w:rPr>
      </w:pPr>
      <w:r>
        <w:rPr>
          <w:rFonts w:ascii="Arial" w:cs="Arial" w:eastAsia="Arial" w:hAnsi="Arial"/>
          <w:sz w:val="16"/>
          <w:szCs w:val="16"/>
          <w:color w:val="auto"/>
        </w:rPr>
        <w:t>Operating lease expense was $5 million for the year ended December 31, 2019, and was recorded within Selling, general and administrative expense and Engineering - research and development on the Company's Consolidated Statements of Comprehensive Income. There was no short-term operating lease expense for the year ended December 31, 2019. Rent expense under prior accounting guidance for non-cancelable operating leases was $5 million for each of the years ended December 31, 2018 and 2017.</w:t>
      </w:r>
    </w:p>
    <w:p>
      <w:pPr>
        <w:spacing w:after="0" w:line="130" w:lineRule="exact"/>
        <w:rPr>
          <w:sz w:val="20"/>
          <w:szCs w:val="20"/>
          <w:color w:val="auto"/>
        </w:rPr>
      </w:pPr>
    </w:p>
    <w:p>
      <w:pPr>
        <w:ind w:right="540" w:firstLine="531"/>
        <w:spacing w:after="0" w:line="237" w:lineRule="auto"/>
        <w:rPr>
          <w:sz w:val="20"/>
          <w:szCs w:val="20"/>
          <w:color w:val="auto"/>
        </w:rPr>
      </w:pPr>
      <w:r>
        <w:rPr>
          <w:rFonts w:ascii="Arial" w:cs="Arial" w:eastAsia="Arial" w:hAnsi="Arial"/>
          <w:sz w:val="16"/>
          <w:szCs w:val="16"/>
          <w:color w:val="auto"/>
        </w:rPr>
        <w:t>The calculation of the Company's ROU assets and lease liabilities did not include cash consideration as of December 31, 2019. During the year ended December 31, 2019, the Company recorded $14 million of new ROU assets obtained through non-cash transactions.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OTHER INCOME (EXPENSE), NET</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income (expense), net consists of the following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460" w:type="dxa"/>
            <w:vAlign w:val="bottom"/>
            <w:tcBorders>
              <w:bottom w:val="single" w:sz="8" w:color="CFF0FC"/>
            </w:tcBorders>
          </w:tcPr>
          <w:p>
            <w:pPr>
              <w:spacing w:after="0"/>
              <w:rPr>
                <w:sz w:val="12"/>
                <w:szCs w:val="12"/>
                <w:color w:val="auto"/>
              </w:rPr>
            </w:pPr>
          </w:p>
        </w:tc>
        <w:tc>
          <w:tcPr>
            <w:tcW w:w="2320" w:type="dxa"/>
            <w:vAlign w:val="bottom"/>
            <w:tcBorders>
              <w:bottom w:val="single" w:sz="8" w:color="CFF0FC"/>
            </w:tcBorders>
          </w:tcPr>
          <w:p>
            <w:pPr>
              <w:spacing w:after="0"/>
              <w:rPr>
                <w:sz w:val="12"/>
                <w:szCs w:val="12"/>
                <w:color w:val="auto"/>
              </w:rPr>
            </w:pPr>
          </w:p>
        </w:tc>
        <w:tc>
          <w:tcPr>
            <w:tcW w:w="980" w:type="dxa"/>
            <w:vAlign w:val="bottom"/>
            <w:tcBorders>
              <w:bottom w:val="single" w:sz="8" w:color="auto"/>
            </w:tcBorders>
          </w:tcPr>
          <w:p>
            <w:pPr>
              <w:jc w:val="right"/>
              <w:ind w:right="107"/>
              <w:spacing w:after="0" w:line="144"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4"/>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44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Post-retirement benefit plan amendment credits</w:t>
            </w:r>
          </w:p>
        </w:tc>
        <w:tc>
          <w:tcPr>
            <w:tcW w:w="23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07"/>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11</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460" w:type="dxa"/>
            <w:vAlign w:val="bottom"/>
          </w:tcPr>
          <w:p>
            <w:pPr>
              <w:spacing w:after="0"/>
              <w:rPr>
                <w:sz w:val="20"/>
                <w:szCs w:val="20"/>
                <w:color w:val="auto"/>
              </w:rPr>
            </w:pPr>
            <w:r>
              <w:rPr>
                <w:rFonts w:ascii="Arial" w:cs="Arial" w:eastAsia="Arial" w:hAnsi="Arial"/>
                <w:sz w:val="16"/>
                <w:szCs w:val="16"/>
                <w:color w:val="auto"/>
              </w:rPr>
              <w:t>Vendor settlements</w:t>
            </w:r>
          </w:p>
        </w:tc>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4460" w:type="dxa"/>
            <w:vAlign w:val="bottom"/>
            <w:shd w:val="clear" w:color="auto" w:fill="CFF0FC"/>
          </w:tcPr>
          <w:p>
            <w:pPr>
              <w:spacing w:after="0"/>
              <w:rPr>
                <w:sz w:val="20"/>
                <w:szCs w:val="20"/>
                <w:color w:val="auto"/>
              </w:rPr>
            </w:pPr>
            <w:r>
              <w:rPr>
                <w:rFonts w:ascii="Arial" w:cs="Arial" w:eastAsia="Arial" w:hAnsi="Arial"/>
                <w:sz w:val="16"/>
                <w:szCs w:val="16"/>
                <w:color w:val="auto"/>
              </w:rPr>
              <w:t>Technology-related investment expense</w:t>
            </w:r>
          </w:p>
        </w:tc>
        <w:tc>
          <w:tcPr>
            <w:tcW w:w="23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8"/>
        </w:trPr>
        <w:tc>
          <w:tcPr>
            <w:tcW w:w="4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2320" w:type="dxa"/>
            <w:vAlign w:val="bottom"/>
            <w:tcBorders>
              <w:bottom w:val="single" w:sz="8" w:color="CFF0FC"/>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9"/>
        </w:trPr>
        <w:tc>
          <w:tcPr>
            <w:tcW w:w="44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23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807"/>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10</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4460" w:type="dxa"/>
            <w:vAlign w:val="bottom"/>
            <w:tcBorders>
              <w:top w:val="single" w:sz="8" w:color="CFF0FC"/>
            </w:tcBorders>
          </w:tcPr>
          <w:p>
            <w:pPr>
              <w:spacing w:after="0" w:line="20" w:lineRule="exact"/>
              <w:rPr>
                <w:sz w:val="1"/>
                <w:szCs w:val="1"/>
                <w:color w:val="auto"/>
              </w:rPr>
            </w:pPr>
          </w:p>
        </w:tc>
        <w:tc>
          <w:tcPr>
            <w:tcW w:w="2320" w:type="dxa"/>
            <w:vAlign w:val="bottom"/>
            <w:tcBorders>
              <w:top w:val="single" w:sz="8" w:color="CFF0FC"/>
              <w:bottom w:val="single" w:sz="8" w:color="CFF0FC"/>
            </w:tcBorders>
            <w:vMerge w:val="restart"/>
          </w:tcPr>
          <w:p>
            <w:pPr>
              <w:jc w:val="right"/>
              <w:ind w:right="902"/>
              <w:spacing w:after="0"/>
              <w:rPr>
                <w:sz w:val="20"/>
                <w:szCs w:val="20"/>
                <w:color w:val="auto"/>
              </w:rPr>
            </w:pPr>
            <w:r>
              <w:rPr>
                <w:rFonts w:ascii="Arial" w:cs="Arial" w:eastAsia="Arial" w:hAnsi="Arial"/>
                <w:sz w:val="16"/>
                <w:szCs w:val="16"/>
                <w:color w:val="auto"/>
              </w:rPr>
              <w:t>80</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44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OTHER CURRENT LIABILITIES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6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3"/>
                <w:szCs w:val="13"/>
                <w:b w:val="1"/>
                <w:bCs w:val="1"/>
                <w:color w:val="auto"/>
              </w:rPr>
              <w:t>As of December 31,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424"/>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7260" w:type="dxa"/>
            <w:vAlign w:val="bottom"/>
            <w:tcBorders>
              <w:bottom w:val="single" w:sz="8" w:color="CFF0FC"/>
            </w:tcBorders>
          </w:tcPr>
          <w:p>
            <w:pPr>
              <w:spacing w:after="0"/>
              <w:rPr>
                <w:sz w:val="13"/>
                <w:szCs w:val="13"/>
                <w:color w:val="auto"/>
              </w:rPr>
            </w:pPr>
          </w:p>
        </w:tc>
        <w:tc>
          <w:tcPr>
            <w:tcW w:w="156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2019</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64"/>
              <w:spacing w:after="0"/>
              <w:rPr>
                <w:sz w:val="20"/>
                <w:szCs w:val="20"/>
                <w:color w:val="auto"/>
              </w:rPr>
            </w:pPr>
            <w:r>
              <w:rPr>
                <w:rFonts w:ascii="Arial" w:cs="Arial" w:eastAsia="Arial" w:hAnsi="Arial"/>
                <w:sz w:val="13"/>
                <w:szCs w:val="13"/>
                <w:b w:val="1"/>
                <w:bCs w:val="1"/>
                <w:color w:val="auto"/>
              </w:rPr>
              <w:t>2018</w:t>
            </w:r>
          </w:p>
        </w:tc>
      </w:tr>
      <w:tr>
        <w:trPr>
          <w:trHeight w:val="179"/>
        </w:trPr>
        <w:tc>
          <w:tcPr>
            <w:tcW w:w="7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1560" w:type="dxa"/>
            <w:vAlign w:val="bottom"/>
            <w:shd w:val="clear" w:color="auto" w:fill="CFF0FC"/>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87</w:t>
            </w: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78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81</w:t>
            </w:r>
          </w:p>
        </w:tc>
      </w:tr>
      <w:tr>
        <w:trPr>
          <w:trHeight w:val="188"/>
        </w:trPr>
        <w:tc>
          <w:tcPr>
            <w:tcW w:w="7260" w:type="dxa"/>
            <w:vAlign w:val="bottom"/>
          </w:tcPr>
          <w:p>
            <w:pPr>
              <w:spacing w:after="0"/>
              <w:rPr>
                <w:sz w:val="20"/>
                <w:szCs w:val="20"/>
                <w:color w:val="auto"/>
              </w:rPr>
            </w:pPr>
            <w:r>
              <w:rPr>
                <w:rFonts w:ascii="Arial" w:cs="Arial" w:eastAsia="Arial" w:hAnsi="Arial"/>
                <w:sz w:val="16"/>
                <w:szCs w:val="16"/>
                <w:color w:val="auto"/>
              </w:rPr>
              <w:t>Sales allowances</w:t>
            </w:r>
          </w:p>
        </w:tc>
        <w:tc>
          <w:tcPr>
            <w:tcW w:w="156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32</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39</w:t>
            </w:r>
          </w:p>
        </w:tc>
      </w:tr>
      <w:tr>
        <w:trPr>
          <w:trHeight w:val="188"/>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payable</w:t>
            </w:r>
          </w:p>
        </w:tc>
        <w:tc>
          <w:tcPr>
            <w:tcW w:w="15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21</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19</w:t>
            </w:r>
          </w:p>
        </w:tc>
      </w:tr>
      <w:tr>
        <w:trPr>
          <w:trHeight w:val="188"/>
        </w:trPr>
        <w:tc>
          <w:tcPr>
            <w:tcW w:w="7260" w:type="dxa"/>
            <w:vAlign w:val="bottom"/>
          </w:tcPr>
          <w:p>
            <w:pPr>
              <w:spacing w:after="0"/>
              <w:rPr>
                <w:sz w:val="20"/>
                <w:szCs w:val="20"/>
                <w:color w:val="auto"/>
              </w:rPr>
            </w:pPr>
            <w:r>
              <w:rPr>
                <w:rFonts w:ascii="Arial" w:cs="Arial" w:eastAsia="Arial" w:hAnsi="Arial"/>
                <w:sz w:val="16"/>
                <w:szCs w:val="16"/>
                <w:color w:val="auto"/>
              </w:rPr>
              <w:t>Vendor buyback obligation</w:t>
            </w:r>
          </w:p>
        </w:tc>
        <w:tc>
          <w:tcPr>
            <w:tcW w:w="156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16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15</w:t>
            </w:r>
          </w:p>
        </w:tc>
      </w:tr>
      <w:tr>
        <w:trPr>
          <w:trHeight w:val="188"/>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Taxes payable</w:t>
            </w:r>
          </w:p>
        </w:tc>
        <w:tc>
          <w:tcPr>
            <w:tcW w:w="15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10</w:t>
            </w:r>
          </w:p>
        </w:tc>
      </w:tr>
      <w:tr>
        <w:trPr>
          <w:trHeight w:val="188"/>
        </w:trPr>
        <w:tc>
          <w:tcPr>
            <w:tcW w:w="7260" w:type="dxa"/>
            <w:vAlign w:val="bottom"/>
          </w:tcPr>
          <w:p>
            <w:pPr>
              <w:spacing w:after="0"/>
              <w:rPr>
                <w:sz w:val="20"/>
                <w:szCs w:val="20"/>
                <w:color w:val="auto"/>
              </w:rPr>
            </w:pPr>
            <w:r>
              <w:rPr>
                <w:rFonts w:ascii="Arial" w:cs="Arial" w:eastAsia="Arial" w:hAnsi="Arial"/>
                <w:sz w:val="16"/>
                <w:szCs w:val="16"/>
                <w:color w:val="auto"/>
              </w:rPr>
              <w:t>Derivative liabilities</w:t>
            </w:r>
          </w:p>
        </w:tc>
        <w:tc>
          <w:tcPr>
            <w:tcW w:w="156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1</w:t>
            </w:r>
          </w:p>
        </w:tc>
      </w:tr>
      <w:tr>
        <w:trPr>
          <w:trHeight w:val="188"/>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Lease liability</w:t>
            </w:r>
          </w:p>
        </w:tc>
        <w:tc>
          <w:tcPr>
            <w:tcW w:w="15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w:t>
            </w:r>
          </w:p>
        </w:tc>
      </w:tr>
      <w:tr>
        <w:trPr>
          <w:trHeight w:val="188"/>
        </w:trPr>
        <w:tc>
          <w:tcPr>
            <w:tcW w:w="7260" w:type="dxa"/>
            <w:vAlign w:val="bottom"/>
          </w:tcPr>
          <w:p>
            <w:pPr>
              <w:spacing w:after="0"/>
              <w:rPr>
                <w:sz w:val="20"/>
                <w:szCs w:val="20"/>
                <w:color w:val="auto"/>
              </w:rPr>
            </w:pPr>
            <w:r>
              <w:rPr>
                <w:rFonts w:ascii="Arial" w:cs="Arial" w:eastAsia="Arial" w:hAnsi="Arial"/>
                <w:sz w:val="16"/>
                <w:szCs w:val="16"/>
                <w:color w:val="auto"/>
              </w:rPr>
              <w:t>Vendor liability</w:t>
            </w:r>
          </w:p>
        </w:tc>
        <w:tc>
          <w:tcPr>
            <w:tcW w:w="156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5</w:t>
            </w:r>
          </w:p>
        </w:tc>
      </w:tr>
      <w:tr>
        <w:trPr>
          <w:trHeight w:val="188"/>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Non-trade payables</w:t>
            </w:r>
          </w:p>
        </w:tc>
        <w:tc>
          <w:tcPr>
            <w:tcW w:w="156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w:t>
            </w:r>
          </w:p>
        </w:tc>
      </w:tr>
      <w:tr>
        <w:trPr>
          <w:trHeight w:val="188"/>
        </w:trPr>
        <w:tc>
          <w:tcPr>
            <w:tcW w:w="7260" w:type="dxa"/>
            <w:vAlign w:val="bottom"/>
          </w:tcPr>
          <w:p>
            <w:pPr>
              <w:spacing w:after="0"/>
              <w:rPr>
                <w:sz w:val="20"/>
                <w:szCs w:val="20"/>
                <w:color w:val="auto"/>
              </w:rPr>
            </w:pPr>
            <w:r>
              <w:rPr>
                <w:rFonts w:ascii="Arial" w:cs="Arial" w:eastAsia="Arial" w:hAnsi="Arial"/>
                <w:sz w:val="16"/>
                <w:szCs w:val="16"/>
                <w:color w:val="auto"/>
              </w:rPr>
              <w:t>Defense price reduction reserve</w:t>
            </w:r>
          </w:p>
        </w:tc>
        <w:tc>
          <w:tcPr>
            <w:tcW w:w="156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780" w:type="dxa"/>
            <w:vAlign w:val="bottom"/>
          </w:tcPr>
          <w:p>
            <w:pPr>
              <w:jc w:val="right"/>
              <w:ind w:right="64"/>
              <w:spacing w:after="0"/>
              <w:rPr>
                <w:sz w:val="20"/>
                <w:szCs w:val="20"/>
                <w:color w:val="auto"/>
              </w:rPr>
            </w:pPr>
            <w:r>
              <w:rPr>
                <w:rFonts w:ascii="Arial" w:cs="Arial" w:eastAsia="Arial" w:hAnsi="Arial"/>
                <w:sz w:val="16"/>
                <w:szCs w:val="16"/>
                <w:color w:val="auto"/>
              </w:rPr>
              <w:t>9</w:t>
            </w:r>
          </w:p>
        </w:tc>
      </w:tr>
      <w:tr>
        <w:trPr>
          <w:trHeight w:val="188"/>
        </w:trPr>
        <w:tc>
          <w:tcPr>
            <w:tcW w:w="726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56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17</w:t>
            </w:r>
          </w:p>
        </w:tc>
        <w:tc>
          <w:tcPr>
            <w:tcW w:w="16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78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6"/>
                <w:szCs w:val="16"/>
                <w:color w:val="auto"/>
              </w:rPr>
              <w:t>15</w:t>
            </w:r>
          </w:p>
        </w:tc>
      </w:tr>
      <w:tr>
        <w:trPr>
          <w:trHeight w:val="179"/>
        </w:trPr>
        <w:tc>
          <w:tcPr>
            <w:tcW w:w="726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ind w:right="1412"/>
              <w:spacing w:after="0"/>
              <w:rPr>
                <w:sz w:val="20"/>
                <w:szCs w:val="20"/>
                <w:color w:val="auto"/>
              </w:rPr>
            </w:pPr>
            <w:r>
              <w:rPr>
                <w:rFonts w:ascii="Arial" w:cs="Arial" w:eastAsia="Arial" w:hAnsi="Arial"/>
                <w:sz w:val="15"/>
                <w:szCs w:val="15"/>
                <w:b w:val="1"/>
                <w:bCs w:val="1"/>
                <w:color w:val="auto"/>
                <w:w w:val="71"/>
              </w:rPr>
              <w:t>$</w:t>
            </w:r>
          </w:p>
        </w:tc>
        <w:tc>
          <w:tcPr>
            <w:tcW w:w="44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202</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64"/>
              <w:spacing w:after="0" w:line="180" w:lineRule="exact"/>
              <w:rPr>
                <w:sz w:val="20"/>
                <w:szCs w:val="20"/>
                <w:color w:val="auto"/>
              </w:rPr>
            </w:pPr>
            <w:r>
              <w:rPr>
                <w:rFonts w:ascii="Arial" w:cs="Arial" w:eastAsia="Arial" w:hAnsi="Arial"/>
                <w:sz w:val="16"/>
                <w:szCs w:val="16"/>
                <w:color w:val="auto"/>
              </w:rPr>
              <w:t>197</w:t>
            </w:r>
          </w:p>
        </w:tc>
      </w:tr>
      <w:tr>
        <w:trPr>
          <w:trHeight w:val="20"/>
        </w:trPr>
        <w:tc>
          <w:tcPr>
            <w:tcW w:w="72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EMPLOYEE BENEFIT PLANS</w:t>
      </w:r>
    </w:p>
    <w:p>
      <w:pPr>
        <w:spacing w:after="0" w:line="153"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The Company’s hourly defined benefit pension plan generally provides benefits of negotiated, stated amounts for each year of service as well as significant supplemental benefits for employees who were hired on or before May 18, 2008 and retire with 30 years of service before normal retirement age.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30" w:lineRule="exact"/>
        <w:rPr>
          <w:sz w:val="20"/>
          <w:szCs w:val="20"/>
          <w:color w:val="auto"/>
        </w:rPr>
      </w:pPr>
    </w:p>
    <w:p>
      <w:pPr>
        <w:ind w:right="80" w:firstLine="531"/>
        <w:spacing w:after="0" w:line="232" w:lineRule="auto"/>
        <w:rPr>
          <w:sz w:val="20"/>
          <w:szCs w:val="20"/>
          <w:color w:val="auto"/>
        </w:rPr>
      </w:pPr>
      <w:r>
        <w:rPr>
          <w:rFonts w:ascii="Arial" w:cs="Arial" w:eastAsia="Arial" w:hAnsi="Arial"/>
          <w:sz w:val="16"/>
          <w:szCs w:val="16"/>
          <w:color w:val="auto"/>
        </w:rPr>
        <w:t>The Company’s salaried defined benefit plan covering salaried employees with a service date prior to January 1, 2001 is generally based on years of service and compensation history.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accounting disclosures, and certain allocation methodologies such as population demographics.</w:t>
      </w:r>
    </w:p>
    <w:p>
      <w:pPr>
        <w:spacing w:after="0" w:line="132" w:lineRule="exact"/>
        <w:rPr>
          <w:sz w:val="20"/>
          <w:szCs w:val="20"/>
          <w:color w:val="auto"/>
        </w:rPr>
      </w:pPr>
    </w:p>
    <w:p>
      <w:pPr>
        <w:ind w:right="40" w:firstLine="531"/>
        <w:spacing w:after="0" w:line="234" w:lineRule="auto"/>
        <w:rPr>
          <w:sz w:val="20"/>
          <w:szCs w:val="20"/>
          <w:color w:val="auto"/>
        </w:rPr>
      </w:pPr>
      <w:r>
        <w:rPr>
          <w:rFonts w:ascii="Arial" w:cs="Arial" w:eastAsia="Arial" w:hAnsi="Arial"/>
          <w:sz w:val="16"/>
          <w:szCs w:val="16"/>
          <w:color w:val="auto"/>
        </w:rPr>
        <w:t>The Company sponsors defined contribution retirement savings plans for eligible employees, based on employee location and status. The Company’s salaried defined contribution retirement savings plans provide for a Company match of employee contributions up to certain limits based upon eligible base salary. As a result of the business acquisitions in 2019, the number of employees eligible to participate in the plans has increased from prior years.</w:t>
      </w:r>
    </w:p>
    <w:p>
      <w:pPr>
        <w:spacing w:after="0" w:line="131" w:lineRule="exact"/>
        <w:rPr>
          <w:sz w:val="20"/>
          <w:szCs w:val="20"/>
          <w:color w:val="auto"/>
        </w:rPr>
      </w:pPr>
    </w:p>
    <w:p>
      <w:pPr>
        <w:ind w:right="600" w:firstLine="531"/>
        <w:spacing w:after="0" w:line="237" w:lineRule="auto"/>
        <w:rPr>
          <w:sz w:val="20"/>
          <w:szCs w:val="20"/>
          <w:color w:val="auto"/>
        </w:rPr>
      </w:pPr>
      <w:r>
        <w:rPr>
          <w:rFonts w:ascii="Arial" w:cs="Arial" w:eastAsia="Arial" w:hAnsi="Arial"/>
          <w:sz w:val="16"/>
          <w:szCs w:val="16"/>
          <w:color w:val="auto"/>
        </w:rPr>
        <w:t>The charge to expense for the Company’s defined contribution retirement savings plans was $11 million, $9 million and $8 million for the years ended December 31, 2019, 2018 and 2017, respectively.</w:t>
      </w:r>
    </w:p>
    <w:p>
      <w:pPr>
        <w:spacing w:after="0" w:line="129" w:lineRule="exact"/>
        <w:rPr>
          <w:sz w:val="20"/>
          <w:szCs w:val="20"/>
          <w:color w:val="auto"/>
        </w:rPr>
      </w:pPr>
    </w:p>
    <w:p>
      <w:pPr>
        <w:ind w:right="280" w:firstLine="531"/>
        <w:spacing w:after="0" w:line="232" w:lineRule="auto"/>
        <w:rPr>
          <w:sz w:val="20"/>
          <w:szCs w:val="20"/>
          <w:color w:val="auto"/>
        </w:rPr>
      </w:pPr>
      <w:r>
        <w:rPr>
          <w:rFonts w:ascii="Arial" w:cs="Arial" w:eastAsia="Arial" w:hAnsi="Arial"/>
          <w:sz w:val="16"/>
          <w:szCs w:val="16"/>
          <w:color w:val="auto"/>
        </w:rPr>
        <w:t>The Company is also responsible for OPEB costs (medical, dental, vision, and life insurance) for hourly employees hired prior to May 19, 2008, excluding those employees eligible to retire at the time of the sale of the Company. Post-retirement benefit costs consist of service cost and interest cost on accrued obligations. Actuarial gains and losses on liabilities and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December 31, 2019 and 2018, the Company had an estimated OPEB liability for hourly employees hired prior to May 19, 2008, excluding those employees eligible to retire at the time of the sale of the Company, of $94 million and $93 million, respectively.</w:t>
      </w:r>
    </w:p>
    <w:p>
      <w:pPr>
        <w:spacing w:after="0" w:line="129"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As part of the Affordable Care Act enacted in 2010, the Company has evaluated the impact on “High-cost Health Plans” in which employers offering health plan coverage exceeding certain thresholds must pay an excise tax equal to 40% of the value of the plan that exceeds the threshold amount. As a result of the excise tax, the Company recorded $2 million in its OPEB liability as of December 31, 2018 with a corresponding adjustment to AOCL, net of tax. In December 2019, the Further Consolidated Appropriations Act of 2020, fully repealed the aforementioned section of the Affordable Care Act and therefore the amount recorded by the Company as of December 31, 2019 was zero.</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provides contributions to certain international benefit plans; however, these contributions are not material for the periods presented.</w:t>
      </w:r>
    </w:p>
    <w:p>
      <w:pPr>
        <w:spacing w:after="0" w:line="133" w:lineRule="exact"/>
        <w:rPr>
          <w:sz w:val="20"/>
          <w:szCs w:val="20"/>
          <w:color w:val="auto"/>
        </w:rPr>
      </w:pPr>
    </w:p>
    <w:p>
      <w:pPr>
        <w:ind w:right="20" w:firstLine="603"/>
        <w:spacing w:after="0" w:line="233"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30" w:lineRule="exact"/>
        <w:rPr>
          <w:sz w:val="20"/>
          <w:szCs w:val="20"/>
          <w:color w:val="auto"/>
        </w:rPr>
      </w:pPr>
    </w:p>
    <w:p>
      <w:pPr>
        <w:ind w:right="140" w:firstLine="531"/>
        <w:spacing w:after="0" w:line="237" w:lineRule="auto"/>
        <w:rPr>
          <w:sz w:val="20"/>
          <w:szCs w:val="20"/>
          <w:color w:val="auto"/>
        </w:rPr>
      </w:pPr>
      <w:r>
        <w:rPr>
          <w:rFonts w:ascii="Arial" w:cs="Arial" w:eastAsia="Arial" w:hAnsi="Arial"/>
          <w:sz w:val="16"/>
          <w:szCs w:val="16"/>
          <w:color w:val="auto"/>
        </w:rPr>
        <w:t>Information about the net periodic benefit cost (credit) and other changes recognized in AOCL for the pension and post-retirement benefit plans is as follows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6"/>
              </w:rPr>
              <w:t>Pension Plans</w:t>
            </w: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Post-retirement Benefits</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2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Arial" w:cs="Arial" w:eastAsia="Arial" w:hAnsi="Arial"/>
                <w:sz w:val="13"/>
                <w:szCs w:val="13"/>
                <w:b w:val="1"/>
                <w:bCs w:val="1"/>
                <w:color w:val="auto"/>
                <w:w w:val="96"/>
              </w:rPr>
              <w:t>Year ended</w:t>
            </w:r>
          </w:p>
        </w:tc>
        <w:tc>
          <w:tcPr>
            <w:tcW w:w="100" w:type="dxa"/>
            <w:vAlign w:val="bottom"/>
          </w:tcPr>
          <w:p>
            <w:pPr>
              <w:spacing w:after="0"/>
              <w:rPr>
                <w:sz w:val="11"/>
                <w:szCs w:val="11"/>
                <w:color w:val="auto"/>
              </w:rPr>
            </w:pPr>
          </w:p>
        </w:tc>
        <w:tc>
          <w:tcPr>
            <w:tcW w:w="1120" w:type="dxa"/>
            <w:vAlign w:val="bottom"/>
          </w:tcPr>
          <w:p>
            <w:pPr>
              <w:jc w:val="center"/>
              <w:ind w:right="152"/>
              <w:spacing w:after="0" w:line="133" w:lineRule="exact"/>
              <w:rPr>
                <w:sz w:val="20"/>
                <w:szCs w:val="20"/>
                <w:color w:val="auto"/>
              </w:rPr>
            </w:pPr>
            <w:r>
              <w:rPr>
                <w:rFonts w:ascii="Arial" w:cs="Arial" w:eastAsia="Arial" w:hAnsi="Arial"/>
                <w:sz w:val="13"/>
                <w:szCs w:val="13"/>
                <w:b w:val="1"/>
                <w:bCs w:val="1"/>
                <w:color w:val="auto"/>
                <w:w w:val="94"/>
              </w:rPr>
              <w:t>Year ended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32"/>
              <w:spacing w:after="0" w:line="133" w:lineRule="exact"/>
              <w:rPr>
                <w:sz w:val="20"/>
                <w:szCs w:val="20"/>
                <w:color w:val="auto"/>
              </w:rPr>
            </w:pPr>
            <w:r>
              <w:rPr>
                <w:rFonts w:ascii="Arial" w:cs="Arial" w:eastAsia="Arial" w:hAnsi="Arial"/>
                <w:sz w:val="13"/>
                <w:szCs w:val="13"/>
                <w:b w:val="1"/>
                <w:bCs w:val="1"/>
                <w:color w:val="auto"/>
                <w:w w:val="94"/>
              </w:rPr>
              <w:t>Year ended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4"/>
              </w:rPr>
              <w:t>Year ended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jc w:val="center"/>
              <w:ind w:right="172"/>
              <w:spacing w:after="0" w:line="133" w:lineRule="exact"/>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41"/>
        </w:trPr>
        <w:tc>
          <w:tcPr>
            <w:tcW w:w="2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2"/>
                <w:szCs w:val="12"/>
                <w:color w:val="auto"/>
              </w:rPr>
            </w:pPr>
          </w:p>
        </w:tc>
        <w:tc>
          <w:tcPr>
            <w:tcW w:w="1120" w:type="dxa"/>
            <w:vAlign w:val="bottom"/>
          </w:tcPr>
          <w:p>
            <w:pPr>
              <w:jc w:val="center"/>
              <w:ind w:right="152"/>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32"/>
              <w:spacing w:after="0" w:line="141"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72"/>
              <w:spacing w:after="0" w:line="141"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3"/>
        </w:trPr>
        <w:tc>
          <w:tcPr>
            <w:tcW w:w="278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6"/>
              </w:rPr>
              <w:t>2017</w:t>
            </w: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96"/>
              </w:rPr>
              <w:t>2019</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52"/>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68"/>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Net Periodic Benefit Cost (Credit):</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Service cost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12</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Interest cost</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4</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Expected return on assets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Prior service credit</w:t>
            </w:r>
          </w:p>
        </w:tc>
        <w:tc>
          <w:tcPr>
            <w:tcW w:w="62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(13)</w:t>
            </w:r>
          </w:p>
        </w:tc>
        <w:tc>
          <w:tcPr>
            <w:tcW w:w="40" w:type="dxa"/>
            <w:vAlign w:val="bottom"/>
            <w:tcBorders>
              <w:bottom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8"/>
        </w:trPr>
        <w:tc>
          <w:tcPr>
            <w:tcW w:w="2780" w:type="dxa"/>
            <w:vAlign w:val="bottom"/>
          </w:tcPr>
          <w:p>
            <w:pPr>
              <w:spacing w:after="0"/>
              <w:rPr>
                <w:sz w:val="20"/>
                <w:szCs w:val="20"/>
                <w:color w:val="auto"/>
              </w:rPr>
            </w:pPr>
            <w:r>
              <w:rPr>
                <w:rFonts w:ascii="Arial" w:cs="Arial" w:eastAsia="Arial" w:hAnsi="Arial"/>
                <w:sz w:val="14"/>
                <w:szCs w:val="14"/>
                <w:color w:val="auto"/>
              </w:rPr>
              <w:t>Net Periodic Benefit Cost (Credit)</w:t>
            </w:r>
          </w:p>
        </w:tc>
        <w:tc>
          <w:tcPr>
            <w:tcW w:w="6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20" w:type="dxa"/>
            <w:vAlign w:val="bottom"/>
          </w:tcPr>
          <w:p>
            <w:pPr>
              <w:jc w:val="right"/>
              <w:ind w:right="52"/>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52"/>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8"/>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Other changes recognized in other</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w:t>
            </w: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80" w:type="dxa"/>
            <w:vAlign w:val="bottom"/>
          </w:tcPr>
          <w:p>
            <w:pPr>
              <w:spacing w:after="0"/>
              <w:rPr>
                <w:sz w:val="20"/>
                <w:szCs w:val="20"/>
                <w:color w:val="auto"/>
              </w:rPr>
            </w:pPr>
            <w:r>
              <w:rPr>
                <w:rFonts w:ascii="Arial" w:cs="Arial" w:eastAsia="Arial" w:hAnsi="Arial"/>
                <w:sz w:val="14"/>
                <w:szCs w:val="14"/>
                <w:color w:val="auto"/>
              </w:rPr>
              <w:t>Prior service cost (credit)</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Net (gain) loss</w:t>
            </w: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6"/>
        </w:trPr>
        <w:tc>
          <w:tcPr>
            <w:tcW w:w="27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Amortizations</w:t>
            </w:r>
          </w:p>
        </w:tc>
        <w:tc>
          <w:tcPr>
            <w:tcW w:w="6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spacing w:after="0"/>
              <w:rPr>
                <w:sz w:val="20"/>
                <w:szCs w:val="20"/>
                <w:color w:val="auto"/>
              </w:rPr>
            </w:pPr>
            <w:r>
              <w:rPr>
                <w:rFonts w:ascii="Arial" w:cs="Arial" w:eastAsia="Arial" w:hAnsi="Arial"/>
                <w:sz w:val="14"/>
                <w:szCs w:val="14"/>
                <w:color w:val="auto"/>
              </w:rPr>
              <w:t>Total recognized – other</w:t>
            </w: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12</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comprehensive income</w:t>
            </w:r>
          </w:p>
        </w:tc>
        <w:tc>
          <w:tcPr>
            <w:tcW w:w="720" w:type="dxa"/>
            <w:vAlign w:val="bottom"/>
            <w:gridSpan w:val="2"/>
            <w:vMerge w:val="continue"/>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9</w:t>
            </w:r>
          </w:p>
        </w:tc>
        <w:tc>
          <w:tcPr>
            <w:tcW w:w="260" w:type="dxa"/>
            <w:vAlign w:val="bottom"/>
            <w:gridSpan w:val="2"/>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30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40" w:firstLine="531"/>
        <w:spacing w:after="0" w:line="237" w:lineRule="auto"/>
        <w:rPr>
          <w:sz w:val="20"/>
          <w:szCs w:val="20"/>
          <w:color w:val="auto"/>
        </w:rPr>
      </w:pPr>
      <w:r>
        <w:rPr>
          <w:rFonts w:ascii="Arial" w:cs="Arial" w:eastAsia="Arial" w:hAnsi="Arial"/>
          <w:sz w:val="16"/>
          <w:szCs w:val="16"/>
          <w:color w:val="auto"/>
        </w:rPr>
        <w:t>The components of net periodic benefit costs other than the service cost component are included in Other income (expense), net in the Consolidated Statements of Comprehensive Income.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provides the weighted-average actuarial assumptions used to determine the net periodic benefit cost (credit).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6"/>
              </w:rPr>
              <w:t>Pension Plans</w:t>
            </w:r>
          </w:p>
        </w:tc>
        <w:tc>
          <w:tcPr>
            <w:tcW w:w="12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tcBorders>
              <w:bottom w:val="single" w:sz="8" w:color="auto"/>
            </w:tcBorders>
            <w:gridSpan w:val="4"/>
          </w:tcPr>
          <w:p>
            <w:pPr>
              <w:jc w:val="center"/>
              <w:ind w:left="1014"/>
              <w:spacing w:after="0"/>
              <w:rPr>
                <w:sz w:val="20"/>
                <w:szCs w:val="20"/>
                <w:color w:val="auto"/>
              </w:rPr>
            </w:pPr>
            <w:r>
              <w:rPr>
                <w:rFonts w:ascii="Arial" w:cs="Arial" w:eastAsia="Arial" w:hAnsi="Arial"/>
                <w:sz w:val="13"/>
                <w:szCs w:val="13"/>
                <w:b w:val="1"/>
                <w:bCs w:val="1"/>
                <w:color w:val="auto"/>
                <w:w w:val="95"/>
              </w:rPr>
              <w:t>Post-retirement Benefits</w:t>
            </w: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320" w:type="dxa"/>
            <w:vAlign w:val="bottom"/>
          </w:tcPr>
          <w:p>
            <w:pPr>
              <w:spacing w:after="0"/>
              <w:rPr>
                <w:sz w:val="11"/>
                <w:szCs w:val="11"/>
                <w:color w:val="auto"/>
              </w:rPr>
            </w:pPr>
          </w:p>
        </w:tc>
        <w:tc>
          <w:tcPr>
            <w:tcW w:w="138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38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240" w:type="dxa"/>
            <w:vAlign w:val="bottom"/>
          </w:tcPr>
          <w:p>
            <w:pPr>
              <w:jc w:val="center"/>
              <w:ind w:right="94"/>
              <w:spacing w:after="0" w:line="133" w:lineRule="exact"/>
              <w:rPr>
                <w:sz w:val="20"/>
                <w:szCs w:val="20"/>
                <w:color w:val="auto"/>
              </w:rPr>
            </w:pPr>
            <w:r>
              <w:rPr>
                <w:rFonts w:ascii="Arial" w:cs="Arial" w:eastAsia="Arial" w:hAnsi="Arial"/>
                <w:sz w:val="13"/>
                <w:szCs w:val="13"/>
                <w:b w:val="1"/>
                <w:bCs w:val="1"/>
                <w:color w:val="auto"/>
                <w:w w:val="96"/>
              </w:rPr>
              <w:t>Year ended</w:t>
            </w:r>
          </w:p>
        </w:tc>
        <w:tc>
          <w:tcPr>
            <w:tcW w:w="120" w:type="dxa"/>
            <w:vAlign w:val="bottom"/>
          </w:tcPr>
          <w:p>
            <w:pPr>
              <w:spacing w:after="0"/>
              <w:rPr>
                <w:sz w:val="11"/>
                <w:szCs w:val="11"/>
                <w:color w:val="auto"/>
              </w:rPr>
            </w:pPr>
          </w:p>
        </w:tc>
        <w:tc>
          <w:tcPr>
            <w:tcW w:w="138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3"/>
                <w:szCs w:val="13"/>
                <w:b w:val="1"/>
                <w:bCs w:val="1"/>
                <w:color w:val="auto"/>
                <w:w w:val="96"/>
              </w:rPr>
              <w:t>Year ended</w:t>
            </w:r>
          </w:p>
        </w:tc>
        <w:tc>
          <w:tcPr>
            <w:tcW w:w="1240" w:type="dxa"/>
            <w:vAlign w:val="bottom"/>
          </w:tcPr>
          <w:p>
            <w:pPr>
              <w:jc w:val="center"/>
              <w:ind w:right="114"/>
              <w:spacing w:after="0" w:line="133" w:lineRule="exact"/>
              <w:rPr>
                <w:sz w:val="20"/>
                <w:szCs w:val="20"/>
                <w:color w:val="auto"/>
              </w:rPr>
            </w:pPr>
            <w:r>
              <w:rPr>
                <w:rFonts w:ascii="Arial" w:cs="Arial" w:eastAsia="Arial" w:hAnsi="Arial"/>
                <w:sz w:val="13"/>
                <w:szCs w:val="13"/>
                <w:b w:val="1"/>
                <w:bCs w:val="1"/>
                <w:color w:val="auto"/>
                <w:w w:val="94"/>
              </w:rPr>
              <w:t>Year ended</w:t>
            </w:r>
          </w:p>
        </w:tc>
        <w:tc>
          <w:tcPr>
            <w:tcW w:w="0" w:type="dxa"/>
            <w:vAlign w:val="bottom"/>
          </w:tcPr>
          <w:p>
            <w:pPr>
              <w:spacing w:after="0"/>
              <w:rPr>
                <w:sz w:val="1"/>
                <w:szCs w:val="1"/>
                <w:color w:val="auto"/>
              </w:rPr>
            </w:pPr>
          </w:p>
        </w:tc>
      </w:tr>
      <w:tr>
        <w:trPr>
          <w:trHeight w:val="141"/>
        </w:trPr>
        <w:tc>
          <w:tcPr>
            <w:tcW w:w="3320" w:type="dxa"/>
            <w:vAlign w:val="bottom"/>
          </w:tcPr>
          <w:p>
            <w:pPr>
              <w:spacing w:after="0"/>
              <w:rPr>
                <w:sz w:val="12"/>
                <w:szCs w:val="12"/>
                <w:color w:val="auto"/>
              </w:rPr>
            </w:pPr>
          </w:p>
        </w:tc>
        <w:tc>
          <w:tcPr>
            <w:tcW w:w="13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3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36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3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380" w:type="dxa"/>
            <w:vAlign w:val="bottom"/>
            <w:gridSpan w:val="2"/>
          </w:tcPr>
          <w:p>
            <w:pPr>
              <w:jc w:val="center"/>
              <w:ind w:right="30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240" w:type="dxa"/>
            <w:vAlign w:val="bottom"/>
          </w:tcPr>
          <w:p>
            <w:pPr>
              <w:jc w:val="center"/>
              <w:ind w:right="114"/>
              <w:spacing w:after="0" w:line="141"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3"/>
        </w:trPr>
        <w:tc>
          <w:tcPr>
            <w:tcW w:w="33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54"/>
              <w:spacing w:after="0"/>
              <w:rPr>
                <w:sz w:val="20"/>
                <w:szCs w:val="20"/>
                <w:color w:val="auto"/>
              </w:rPr>
            </w:pPr>
            <w:r>
              <w:rPr>
                <w:rFonts w:ascii="Arial" w:cs="Arial" w:eastAsia="Arial" w:hAnsi="Arial"/>
                <w:sz w:val="13"/>
                <w:szCs w:val="13"/>
                <w:b w:val="1"/>
                <w:bCs w:val="1"/>
                <w:color w:val="auto"/>
                <w:w w:val="96"/>
              </w:rPr>
              <w:t>2019</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6"/>
              </w:rPr>
              <w:t>2017</w:t>
            </w:r>
          </w:p>
        </w:tc>
        <w:tc>
          <w:tcPr>
            <w:tcW w:w="12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FF0FC"/>
            </w:tcBorders>
          </w:tcPr>
          <w:p>
            <w:pPr>
              <w:spacing w:after="0"/>
              <w:rPr>
                <w:sz w:val="13"/>
                <w:szCs w:val="13"/>
                <w:color w:val="auto"/>
              </w:rPr>
            </w:pPr>
          </w:p>
        </w:tc>
        <w:tc>
          <w:tcPr>
            <w:tcW w:w="1240" w:type="dxa"/>
            <w:vAlign w:val="bottom"/>
            <w:tcBorders>
              <w:bottom w:val="single" w:sz="8" w:color="auto"/>
            </w:tcBorders>
          </w:tcPr>
          <w:p>
            <w:pPr>
              <w:jc w:val="center"/>
              <w:ind w:right="94"/>
              <w:spacing w:after="0"/>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68"/>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Discount rate</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4.20%</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4.10%</w:t>
            </w:r>
          </w:p>
        </w:tc>
        <w:tc>
          <w:tcPr>
            <w:tcW w:w="1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4.20%</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4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8"/>
        </w:trPr>
        <w:tc>
          <w:tcPr>
            <w:tcW w:w="3320" w:type="dxa"/>
            <w:vAlign w:val="bottom"/>
          </w:tcPr>
          <w:p>
            <w:pPr>
              <w:spacing w:after="0"/>
              <w:rPr>
                <w:sz w:val="20"/>
                <w:szCs w:val="20"/>
                <w:color w:val="auto"/>
              </w:rPr>
            </w:pPr>
            <w:r>
              <w:rPr>
                <w:rFonts w:ascii="Arial" w:cs="Arial" w:eastAsia="Arial" w:hAnsi="Arial"/>
                <w:sz w:val="14"/>
                <w:szCs w:val="14"/>
                <w:color w:val="auto"/>
              </w:rPr>
              <w:t>Rate of compensation</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3.00%</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N/A</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20" w:type="dxa"/>
            <w:vAlign w:val="bottom"/>
          </w:tcPr>
          <w:p>
            <w:pPr>
              <w:ind w:left="120"/>
              <w:spacing w:after="0"/>
              <w:rPr>
                <w:sz w:val="20"/>
                <w:szCs w:val="20"/>
                <w:color w:val="auto"/>
              </w:rPr>
            </w:pPr>
            <w:r>
              <w:rPr>
                <w:rFonts w:ascii="Arial" w:cs="Arial" w:eastAsia="Arial" w:hAnsi="Arial"/>
                <w:sz w:val="14"/>
                <w:szCs w:val="14"/>
                <w:color w:val="auto"/>
              </w:rPr>
              <w:t>increase (salaried)</w:t>
            </w:r>
          </w:p>
        </w:tc>
        <w:tc>
          <w:tcPr>
            <w:tcW w:w="1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w:t>
            </w:r>
          </w:p>
        </w:tc>
        <w:tc>
          <w:tcPr>
            <w:tcW w:w="1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tcPr>
          <w:p>
            <w:pPr>
              <w:ind w:left="860"/>
              <w:spacing w:after="0"/>
              <w:rPr>
                <w:sz w:val="20"/>
                <w:szCs w:val="20"/>
                <w:color w:val="auto"/>
              </w:rPr>
            </w:pPr>
            <w:r>
              <w:rPr>
                <w:rFonts w:ascii="Arial" w:cs="Arial" w:eastAsia="Arial" w:hAnsi="Arial"/>
                <w:sz w:val="14"/>
                <w:szCs w:val="14"/>
                <w:color w:val="auto"/>
              </w:rPr>
              <w:t>N/A</w:t>
            </w:r>
          </w:p>
        </w:tc>
        <w:tc>
          <w:tcPr>
            <w:tcW w:w="1240" w:type="dxa"/>
            <w:vAlign w:val="bottom"/>
          </w:tcPr>
          <w:p>
            <w:pPr>
              <w:ind w:left="8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3320" w:type="dxa"/>
            <w:vAlign w:val="bottom"/>
            <w:shd w:val="clear" w:color="auto" w:fill="CFF0FC"/>
          </w:tcPr>
          <w:p>
            <w:pPr>
              <w:spacing w:after="0"/>
              <w:rPr>
                <w:sz w:val="20"/>
                <w:szCs w:val="20"/>
                <w:color w:val="auto"/>
              </w:rPr>
            </w:pPr>
            <w:r>
              <w:rPr>
                <w:rFonts w:ascii="Arial" w:cs="Arial" w:eastAsia="Arial" w:hAnsi="Arial"/>
                <w:sz w:val="14"/>
                <w:szCs w:val="14"/>
                <w:color w:val="auto"/>
              </w:rPr>
              <w:t>Expected return on assets</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4.50%</w:t>
            </w: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4.50%</w:t>
            </w: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ind w:left="860"/>
              <w:spacing w:after="0"/>
              <w:rPr>
                <w:sz w:val="20"/>
                <w:szCs w:val="20"/>
                <w:color w:val="auto"/>
              </w:rPr>
            </w:pPr>
            <w:r>
              <w:rPr>
                <w:rFonts w:ascii="Arial" w:cs="Arial" w:eastAsia="Arial" w:hAnsi="Arial"/>
                <w:sz w:val="14"/>
                <w:szCs w:val="14"/>
                <w:b w:val="1"/>
                <w:bCs w:val="1"/>
                <w:color w:val="auto"/>
              </w:rPr>
              <w:t>N/A</w:t>
            </w:r>
          </w:p>
        </w:tc>
        <w:tc>
          <w:tcPr>
            <w:tcW w:w="1380" w:type="dxa"/>
            <w:vAlign w:val="bottom"/>
            <w:gridSpan w:val="2"/>
            <w:shd w:val="clear" w:color="auto" w:fill="CFF0FC"/>
          </w:tcPr>
          <w:p>
            <w:pPr>
              <w:ind w:left="860"/>
              <w:spacing w:after="0"/>
              <w:rPr>
                <w:sz w:val="20"/>
                <w:szCs w:val="20"/>
                <w:color w:val="auto"/>
              </w:rPr>
            </w:pPr>
            <w:r>
              <w:rPr>
                <w:rFonts w:ascii="Arial" w:cs="Arial" w:eastAsia="Arial" w:hAnsi="Arial"/>
                <w:sz w:val="14"/>
                <w:szCs w:val="14"/>
                <w:color w:val="auto"/>
              </w:rPr>
              <w:t>N/A</w:t>
            </w:r>
          </w:p>
        </w:tc>
        <w:tc>
          <w:tcPr>
            <w:tcW w:w="1240" w:type="dxa"/>
            <w:vAlign w:val="bottom"/>
            <w:shd w:val="clear" w:color="auto" w:fill="CFF0FC"/>
          </w:tcPr>
          <w:p>
            <w:pPr>
              <w:ind w:left="8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provides the weighted-average actuarial assumptions used to determine the benefit obligations of the Company’s plans.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1780" w:type="dxa"/>
            <w:vAlign w:val="bottom"/>
            <w:tcBorders>
              <w:bottom w:val="single" w:sz="8" w:color="auto"/>
            </w:tcBorders>
            <w:gridSpan w:val="3"/>
          </w:tcPr>
          <w:p>
            <w:pPr>
              <w:ind w:left="860"/>
              <w:spacing w:after="0"/>
              <w:rPr>
                <w:sz w:val="20"/>
                <w:szCs w:val="20"/>
                <w:color w:val="auto"/>
              </w:rPr>
            </w:pPr>
            <w:r>
              <w:rPr>
                <w:rFonts w:ascii="Arial" w:cs="Arial" w:eastAsia="Arial" w:hAnsi="Arial"/>
                <w:sz w:val="13"/>
                <w:szCs w:val="13"/>
                <w:b w:val="1"/>
                <w:bCs w:val="1"/>
                <w:color w:val="auto"/>
              </w:rPr>
              <w:t>Pension Plans</w:t>
            </w: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3"/>
                <w:szCs w:val="13"/>
                <w:b w:val="1"/>
                <w:bCs w:val="1"/>
                <w:color w:val="auto"/>
              </w:rPr>
              <w:t>Post-retirement Benefits</w:t>
            </w:r>
          </w:p>
        </w:tc>
      </w:tr>
      <w:tr>
        <w:trPr>
          <w:trHeight w:val="144"/>
        </w:trPr>
        <w:tc>
          <w:tcPr>
            <w:tcW w:w="5840" w:type="dxa"/>
            <w:vAlign w:val="bottom"/>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tcPr>
          <w:p>
            <w:pPr>
              <w:ind w:left="360"/>
              <w:spacing w:after="0" w:line="144" w:lineRule="exact"/>
              <w:rPr>
                <w:sz w:val="20"/>
                <w:szCs w:val="20"/>
                <w:color w:val="auto"/>
              </w:rPr>
            </w:pPr>
            <w:r>
              <w:rPr>
                <w:rFonts w:ascii="Arial" w:cs="Arial" w:eastAsia="Arial" w:hAnsi="Arial"/>
                <w:sz w:val="13"/>
                <w:szCs w:val="13"/>
                <w:b w:val="1"/>
                <w:bCs w:val="1"/>
                <w:color w:val="auto"/>
              </w:rPr>
              <w:t>As of December 31,</w:t>
            </w:r>
          </w:p>
        </w:tc>
        <w:tc>
          <w:tcPr>
            <w:tcW w:w="1300" w:type="dxa"/>
            <w:vAlign w:val="bottom"/>
            <w:tcBorders>
              <w:bottom w:val="single" w:sz="8" w:color="auto"/>
            </w:tcBorders>
          </w:tcPr>
          <w:p>
            <w:pPr>
              <w:spacing w:after="0"/>
              <w:rPr>
                <w:sz w:val="12"/>
                <w:szCs w:val="12"/>
                <w:color w:val="auto"/>
              </w:rPr>
            </w:pPr>
          </w:p>
        </w:tc>
      </w:tr>
      <w:tr>
        <w:trPr>
          <w:trHeight w:val="144"/>
        </w:trPr>
        <w:tc>
          <w:tcPr>
            <w:tcW w:w="584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530"/>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30"/>
              <w:spacing w:after="0" w:line="14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530"/>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300" w:type="dxa"/>
            <w:vAlign w:val="bottom"/>
            <w:tcBorders>
              <w:bottom w:val="single" w:sz="8" w:color="auto"/>
            </w:tcBorders>
          </w:tcPr>
          <w:p>
            <w:pPr>
              <w:jc w:val="right"/>
              <w:ind w:right="527"/>
              <w:spacing w:after="0" w:line="144" w:lineRule="exact"/>
              <w:rPr>
                <w:sz w:val="20"/>
                <w:szCs w:val="20"/>
                <w:color w:val="auto"/>
              </w:rPr>
            </w:pPr>
            <w:r>
              <w:rPr>
                <w:rFonts w:ascii="Arial" w:cs="Arial" w:eastAsia="Arial" w:hAnsi="Arial"/>
                <w:sz w:val="13"/>
                <w:szCs w:val="13"/>
                <w:b w:val="1"/>
                <w:bCs w:val="1"/>
                <w:color w:val="auto"/>
              </w:rPr>
              <w:t>2018</w:t>
            </w:r>
          </w:p>
        </w:tc>
      </w:tr>
      <w:tr>
        <w:trPr>
          <w:trHeight w:val="179"/>
        </w:trPr>
        <w:tc>
          <w:tcPr>
            <w:tcW w:w="58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Discount rate</w:t>
            </w:r>
          </w:p>
        </w:tc>
        <w:tc>
          <w:tcPr>
            <w:tcW w:w="1300" w:type="dxa"/>
            <w:vAlign w:val="bottom"/>
            <w:shd w:val="clear" w:color="auto" w:fill="CFF0FC"/>
          </w:tcPr>
          <w:p>
            <w:pPr>
              <w:ind w:left="840"/>
              <w:spacing w:after="0" w:line="180" w:lineRule="exact"/>
              <w:rPr>
                <w:sz w:val="20"/>
                <w:szCs w:val="20"/>
                <w:color w:val="auto"/>
              </w:rPr>
            </w:pPr>
            <w:r>
              <w:rPr>
                <w:rFonts w:ascii="Arial" w:cs="Arial" w:eastAsia="Arial" w:hAnsi="Arial"/>
                <w:sz w:val="16"/>
                <w:szCs w:val="16"/>
                <w:b w:val="1"/>
                <w:bCs w:val="1"/>
                <w:color w:val="auto"/>
                <w:w w:val="96"/>
              </w:rPr>
              <w:t>3.20%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4.20%</w:t>
            </w:r>
          </w:p>
        </w:tc>
        <w:tc>
          <w:tcPr>
            <w:tcW w:w="12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3.20%</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4.20%</w:t>
            </w:r>
          </w:p>
        </w:tc>
      </w:tr>
      <w:tr>
        <w:trPr>
          <w:trHeight w:val="208"/>
        </w:trPr>
        <w:tc>
          <w:tcPr>
            <w:tcW w:w="5840" w:type="dxa"/>
            <w:vAlign w:val="bottom"/>
          </w:tcPr>
          <w:p>
            <w:pPr>
              <w:spacing w:after="0"/>
              <w:rPr>
                <w:sz w:val="20"/>
                <w:szCs w:val="20"/>
                <w:color w:val="auto"/>
              </w:rPr>
            </w:pPr>
            <w:r>
              <w:rPr>
                <w:rFonts w:ascii="Arial" w:cs="Arial" w:eastAsia="Arial" w:hAnsi="Arial"/>
                <w:sz w:val="16"/>
                <w:szCs w:val="16"/>
                <w:color w:val="auto"/>
              </w:rPr>
              <w:t>Rate of compensation increase (salaried)</w:t>
            </w:r>
          </w:p>
        </w:tc>
        <w:tc>
          <w:tcPr>
            <w:tcW w:w="1300" w:type="dxa"/>
            <w:vAlign w:val="bottom"/>
          </w:tcPr>
          <w:p>
            <w:pPr>
              <w:ind w:left="840"/>
              <w:spacing w:after="0"/>
              <w:rPr>
                <w:sz w:val="20"/>
                <w:szCs w:val="20"/>
                <w:color w:val="auto"/>
              </w:rPr>
            </w:pPr>
            <w:r>
              <w:rPr>
                <w:rFonts w:ascii="Arial" w:cs="Arial" w:eastAsia="Arial" w:hAnsi="Arial"/>
                <w:sz w:val="16"/>
                <w:szCs w:val="16"/>
                <w:b w:val="1"/>
                <w:bCs w:val="1"/>
                <w:color w:val="auto"/>
                <w:w w:val="96"/>
              </w:rPr>
              <w:t>3.00%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18"/>
                <w:szCs w:val="18"/>
                <w:color w:val="auto"/>
              </w:rPr>
            </w:pPr>
          </w:p>
        </w:tc>
        <w:tc>
          <w:tcPr>
            <w:tcW w:w="1440" w:type="dxa"/>
            <w:vAlign w:val="bottom"/>
            <w:gridSpan w:val="2"/>
          </w:tcPr>
          <w:p>
            <w:pPr>
              <w:ind w:left="860"/>
              <w:spacing w:after="0"/>
              <w:rPr>
                <w:sz w:val="20"/>
                <w:szCs w:val="20"/>
                <w:color w:val="auto"/>
              </w:rPr>
            </w:pPr>
            <w:r>
              <w:rPr>
                <w:rFonts w:ascii="Arial" w:cs="Arial" w:eastAsia="Arial" w:hAnsi="Arial"/>
                <w:sz w:val="16"/>
                <w:szCs w:val="16"/>
                <w:b w:val="1"/>
                <w:bCs w:val="1"/>
                <w:color w:val="auto"/>
              </w:rPr>
              <w:t>N/A</w:t>
            </w:r>
          </w:p>
        </w:tc>
        <w:tc>
          <w:tcPr>
            <w:tcW w:w="1300" w:type="dxa"/>
            <w:vAlign w:val="bottom"/>
          </w:tcPr>
          <w:p>
            <w:pPr>
              <w:jc w:val="right"/>
              <w:ind w:right="87"/>
              <w:spacing w:after="0"/>
              <w:rPr>
                <w:sz w:val="20"/>
                <w:szCs w:val="20"/>
                <w:color w:val="auto"/>
              </w:rPr>
            </w:pPr>
            <w:r>
              <w:rPr>
                <w:rFonts w:ascii="Arial" w:cs="Arial" w:eastAsia="Arial" w:hAnsi="Arial"/>
                <w:sz w:val="16"/>
                <w:szCs w:val="16"/>
                <w:color w:val="auto"/>
              </w:rPr>
              <w:t>N/A</w:t>
            </w:r>
          </w:p>
        </w:tc>
      </w:tr>
    </w:tbl>
    <w:p>
      <w:pPr>
        <w:spacing w:after="0" w:line="155" w:lineRule="exact"/>
        <w:rPr>
          <w:sz w:val="20"/>
          <w:szCs w:val="20"/>
          <w:color w:val="auto"/>
        </w:rPr>
      </w:pPr>
    </w:p>
    <w:p>
      <w:pPr>
        <w:ind w:right="40" w:firstLine="531"/>
        <w:spacing w:after="0" w:line="234" w:lineRule="auto"/>
        <w:rPr>
          <w:sz w:val="20"/>
          <w:szCs w:val="20"/>
          <w:color w:val="auto"/>
        </w:rPr>
      </w:pPr>
      <w:r>
        <w:rPr>
          <w:rFonts w:ascii="Arial" w:cs="Arial" w:eastAsia="Arial" w:hAnsi="Arial"/>
          <w:sz w:val="16"/>
          <w:szCs w:val="16"/>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31" w:lineRule="exact"/>
        <w:rPr>
          <w:sz w:val="20"/>
          <w:szCs w:val="20"/>
          <w:color w:val="auto"/>
        </w:rPr>
      </w:pPr>
    </w:p>
    <w:p>
      <w:pPr>
        <w:ind w:right="200" w:firstLine="531"/>
        <w:spacing w:after="0" w:line="265" w:lineRule="auto"/>
        <w:rPr>
          <w:sz w:val="20"/>
          <w:szCs w:val="20"/>
          <w:color w:val="auto"/>
        </w:rPr>
      </w:pPr>
      <w:r>
        <w:rPr>
          <w:rFonts w:ascii="Arial" w:cs="Arial" w:eastAsia="Arial" w:hAnsi="Arial"/>
          <w:sz w:val="15"/>
          <w:szCs w:val="15"/>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2019.</w:t>
      </w:r>
    </w:p>
    <w:p>
      <w:pPr>
        <w:spacing w:after="0" w:line="112" w:lineRule="exact"/>
        <w:rPr>
          <w:sz w:val="20"/>
          <w:szCs w:val="20"/>
          <w:color w:val="auto"/>
        </w:rPr>
      </w:pPr>
    </w:p>
    <w:p>
      <w:pPr>
        <w:ind w:right="280" w:firstLine="531"/>
        <w:spacing w:after="0" w:line="237" w:lineRule="auto"/>
        <w:rPr>
          <w:sz w:val="20"/>
          <w:szCs w:val="20"/>
          <w:color w:val="auto"/>
        </w:rPr>
      </w:pPr>
      <w:r>
        <w:rPr>
          <w:rFonts w:ascii="Arial" w:cs="Arial" w:eastAsia="Arial" w:hAnsi="Arial"/>
          <w:sz w:val="16"/>
          <w:szCs w:val="16"/>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29" w:lineRule="exact"/>
        <w:rPr>
          <w:sz w:val="20"/>
          <w:szCs w:val="20"/>
          <w:color w:val="auto"/>
        </w:rPr>
      </w:pPr>
    </w:p>
    <w:p>
      <w:pPr>
        <w:ind w:right="40" w:firstLine="531"/>
        <w:spacing w:after="0" w:line="234" w:lineRule="auto"/>
        <w:rPr>
          <w:sz w:val="20"/>
          <w:szCs w:val="20"/>
          <w:color w:val="auto"/>
        </w:rPr>
      </w:pPr>
      <w:r>
        <w:rPr>
          <w:rFonts w:ascii="Arial" w:cs="Arial" w:eastAsia="Arial" w:hAnsi="Arial"/>
          <w:sz w:val="16"/>
          <w:szCs w:val="16"/>
          <w:color w:val="auto"/>
        </w:rPr>
        <w:t>Health care cost trends are used to project future post-retirement benefits payable from the Company’s plans. For the Company’s December 31, 2019 obligations, future post-retirement medical care costs and prescription drug costs were forecasted assuming an initial annual increase of 5.20%, decreasing to 4.50% by the year 2036.</w:t>
      </w:r>
    </w:p>
    <w:p>
      <w:pPr>
        <w:spacing w:after="0" w:line="131" w:lineRule="exact"/>
        <w:rPr>
          <w:sz w:val="20"/>
          <w:szCs w:val="20"/>
          <w:color w:val="auto"/>
        </w:rPr>
      </w:pPr>
    </w:p>
    <w:p>
      <w:pPr>
        <w:ind w:right="620" w:firstLine="531"/>
        <w:spacing w:after="0" w:line="237" w:lineRule="auto"/>
        <w:rPr>
          <w:sz w:val="20"/>
          <w:szCs w:val="20"/>
          <w:color w:val="auto"/>
        </w:rPr>
      </w:pPr>
      <w:r>
        <w:rPr>
          <w:rFonts w:ascii="Arial" w:cs="Arial" w:eastAsia="Arial" w:hAnsi="Arial"/>
          <w:sz w:val="16"/>
          <w:szCs w:val="16"/>
          <w:color w:val="auto"/>
        </w:rPr>
        <w:t>As health care costs trends have a significant effect on the amounts reported, an increase and decrease of one-percentage-point would have had the following effects in the year ended December 31, 2019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280" w:type="dxa"/>
            <w:vAlign w:val="bottom"/>
            <w:tcBorders>
              <w:bottom w:val="single" w:sz="8" w:color="CFF0FC"/>
            </w:tcBorders>
          </w:tcPr>
          <w:p>
            <w:pPr>
              <w:spacing w:after="0"/>
              <w:rPr>
                <w:sz w:val="13"/>
                <w:szCs w:val="13"/>
                <w:color w:val="auto"/>
              </w:rPr>
            </w:pPr>
          </w:p>
        </w:tc>
        <w:tc>
          <w:tcPr>
            <w:tcW w:w="36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1% Increase</w:t>
            </w:r>
          </w:p>
        </w:tc>
        <w:tc>
          <w:tcPr>
            <w:tcW w:w="1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467"/>
              <w:spacing w:after="0"/>
              <w:rPr>
                <w:sz w:val="20"/>
                <w:szCs w:val="20"/>
                <w:color w:val="auto"/>
              </w:rPr>
            </w:pPr>
            <w:r>
              <w:rPr>
                <w:rFonts w:ascii="Arial" w:cs="Arial" w:eastAsia="Arial" w:hAnsi="Arial"/>
                <w:sz w:val="13"/>
                <w:szCs w:val="13"/>
                <w:b w:val="1"/>
                <w:bCs w:val="1"/>
                <w:color w:val="auto"/>
              </w:rPr>
              <w:t>1% Decrease</w:t>
            </w:r>
          </w:p>
        </w:tc>
      </w:tr>
      <w:tr>
        <w:trPr>
          <w:trHeight w:val="179"/>
        </w:trPr>
        <w:tc>
          <w:tcPr>
            <w:tcW w:w="42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Effect on total of service and interest cost</w:t>
            </w:r>
          </w:p>
        </w:tc>
        <w:tc>
          <w:tcPr>
            <w:tcW w:w="3860" w:type="dxa"/>
            <w:vAlign w:val="bottom"/>
            <w:gridSpan w:val="2"/>
            <w:shd w:val="clear" w:color="auto" w:fill="CFF0FC"/>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ind w:right="7"/>
              <w:spacing w:after="0" w:line="180" w:lineRule="exact"/>
              <w:rPr>
                <w:sz w:val="20"/>
                <w:szCs w:val="20"/>
                <w:color w:val="auto"/>
              </w:rPr>
            </w:pPr>
            <w:r>
              <w:rPr>
                <w:rFonts w:ascii="Arial" w:cs="Arial" w:eastAsia="Arial" w:hAnsi="Arial"/>
                <w:sz w:val="16"/>
                <w:szCs w:val="16"/>
                <w:color w:val="auto"/>
              </w:rPr>
              <w:t>(1)</w:t>
            </w:r>
          </w:p>
        </w:tc>
      </w:tr>
      <w:tr>
        <w:trPr>
          <w:trHeight w:val="199"/>
        </w:trPr>
        <w:tc>
          <w:tcPr>
            <w:tcW w:w="4280" w:type="dxa"/>
            <w:vAlign w:val="bottom"/>
          </w:tcPr>
          <w:p>
            <w:pPr>
              <w:spacing w:after="0"/>
              <w:rPr>
                <w:sz w:val="20"/>
                <w:szCs w:val="20"/>
                <w:color w:val="auto"/>
              </w:rPr>
            </w:pPr>
            <w:r>
              <w:rPr>
                <w:rFonts w:ascii="Arial" w:cs="Arial" w:eastAsia="Arial" w:hAnsi="Arial"/>
                <w:sz w:val="16"/>
                <w:szCs w:val="16"/>
                <w:color w:val="auto"/>
              </w:rPr>
              <w:t>Effect on post-retirement benefit obligation</w:t>
            </w:r>
          </w:p>
        </w:tc>
        <w:tc>
          <w:tcPr>
            <w:tcW w:w="3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7"/>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ind w:right="7"/>
              <w:spacing w:after="0"/>
              <w:rPr>
                <w:sz w:val="20"/>
                <w:szCs w:val="20"/>
                <w:color w:val="auto"/>
              </w:rPr>
            </w:pPr>
            <w:r>
              <w:rPr>
                <w:rFonts w:ascii="Arial" w:cs="Arial" w:eastAsia="Arial" w:hAnsi="Arial"/>
                <w:sz w:val="16"/>
                <w:szCs w:val="16"/>
                <w:color w:val="auto"/>
              </w:rPr>
              <w:t>(11)</w:t>
            </w:r>
          </w:p>
        </w:tc>
      </w:tr>
      <w:tr>
        <w:trPr>
          <w:trHeight w:val="540"/>
        </w:trPr>
        <w:tc>
          <w:tcPr>
            <w:tcW w:w="4280" w:type="dxa"/>
            <w:vAlign w:val="bottom"/>
          </w:tcPr>
          <w:p>
            <w:pPr>
              <w:spacing w:after="0"/>
              <w:rPr>
                <w:sz w:val="24"/>
                <w:szCs w:val="24"/>
                <w:color w:val="auto"/>
              </w:rPr>
            </w:pPr>
          </w:p>
        </w:tc>
        <w:tc>
          <w:tcPr>
            <w:tcW w:w="3600" w:type="dxa"/>
            <w:vAlign w:val="bottom"/>
          </w:tcPr>
          <w:p>
            <w:pPr>
              <w:jc w:val="right"/>
              <w:ind w:right="2002"/>
              <w:spacing w:after="0"/>
              <w:rPr>
                <w:sz w:val="20"/>
                <w:szCs w:val="20"/>
                <w:color w:val="auto"/>
              </w:rPr>
            </w:pPr>
            <w:r>
              <w:rPr>
                <w:rFonts w:ascii="Arial" w:cs="Arial" w:eastAsia="Arial" w:hAnsi="Arial"/>
                <w:sz w:val="16"/>
                <w:szCs w:val="16"/>
                <w:color w:val="auto"/>
              </w:rPr>
              <w:t>83</w:t>
            </w: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7"/>
        </w:trPr>
        <w:tc>
          <w:tcPr>
            <w:tcW w:w="4280" w:type="dxa"/>
            <w:vAlign w:val="bottom"/>
            <w:tcBorders>
              <w:bottom w:val="single" w:sz="8" w:color="9A9A9A"/>
            </w:tcBorders>
          </w:tcPr>
          <w:p>
            <w:pPr>
              <w:spacing w:after="0"/>
              <w:rPr>
                <w:sz w:val="7"/>
                <w:szCs w:val="7"/>
                <w:color w:val="auto"/>
              </w:rPr>
            </w:pPr>
          </w:p>
        </w:tc>
        <w:tc>
          <w:tcPr>
            <w:tcW w:w="36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right="420" w:firstLine="531"/>
        <w:spacing w:after="0" w:line="237" w:lineRule="auto"/>
        <w:rPr>
          <w:sz w:val="20"/>
          <w:szCs w:val="20"/>
          <w:color w:val="auto"/>
        </w:rPr>
      </w:pPr>
      <w:r>
        <w:rPr>
          <w:rFonts w:ascii="Arial" w:cs="Arial" w:eastAsia="Arial" w:hAnsi="Arial"/>
          <w:sz w:val="16"/>
          <w:szCs w:val="16"/>
          <w:color w:val="auto"/>
        </w:rPr>
        <w:t>The following table provides a reconciliation of the changes in the net benefit obligations and fair value of plan assets for the years ended December 31, 2019, 2018 and 2017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Pension Plans</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6"/>
          </w:tcPr>
          <w:p>
            <w:pPr>
              <w:jc w:val="center"/>
              <w:ind w:left="625"/>
              <w:spacing w:after="0"/>
              <w:rPr>
                <w:sz w:val="20"/>
                <w:szCs w:val="20"/>
                <w:color w:val="auto"/>
              </w:rPr>
            </w:pPr>
            <w:r>
              <w:rPr>
                <w:rFonts w:ascii="Arial" w:cs="Arial" w:eastAsia="Arial" w:hAnsi="Arial"/>
                <w:sz w:val="13"/>
                <w:szCs w:val="13"/>
                <w:b w:val="1"/>
                <w:bCs w:val="1"/>
                <w:color w:val="auto"/>
                <w:w w:val="96"/>
              </w:rPr>
              <w:t>Post-retirement Benefits</w:t>
            </w: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00" w:type="dxa"/>
            <w:vAlign w:val="bottom"/>
          </w:tcPr>
          <w:p>
            <w:pPr>
              <w:spacing w:after="0"/>
              <w:rPr>
                <w:sz w:val="11"/>
                <w:szCs w:val="11"/>
                <w:color w:val="auto"/>
              </w:rPr>
            </w:pPr>
          </w:p>
        </w:tc>
        <w:tc>
          <w:tcPr>
            <w:tcW w:w="900" w:type="dxa"/>
            <w:vAlign w:val="bottom"/>
          </w:tcPr>
          <w:p>
            <w:pPr>
              <w:jc w:val="right"/>
              <w:ind w:right="144"/>
              <w:spacing w:after="0" w:line="133" w:lineRule="exact"/>
              <w:rPr>
                <w:sz w:val="20"/>
                <w:szCs w:val="20"/>
                <w:color w:val="auto"/>
              </w:rPr>
            </w:pPr>
            <w:r>
              <w:rPr>
                <w:rFonts w:ascii="Arial" w:cs="Arial" w:eastAsia="Arial" w:hAnsi="Arial"/>
                <w:sz w:val="13"/>
                <w:szCs w:val="13"/>
                <w:b w:val="1"/>
                <w:bCs w:val="1"/>
                <w:color w:val="auto"/>
                <w:w w:val="94"/>
              </w:rPr>
              <w:t>Year 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44"/>
              <w:spacing w:after="0" w:line="133" w:lineRule="exact"/>
              <w:rPr>
                <w:sz w:val="20"/>
                <w:szCs w:val="20"/>
                <w:color w:val="auto"/>
              </w:rPr>
            </w:pPr>
            <w:r>
              <w:rPr>
                <w:rFonts w:ascii="Arial" w:cs="Arial" w:eastAsia="Arial" w:hAnsi="Arial"/>
                <w:sz w:val="13"/>
                <w:szCs w:val="13"/>
                <w:b w:val="1"/>
                <w:bCs w:val="1"/>
                <w:color w:val="auto"/>
                <w:w w:val="96"/>
              </w:rPr>
              <w:t>Year ended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6"/>
              </w:rPr>
              <w:t>Year ended</w:t>
            </w:r>
          </w:p>
        </w:tc>
        <w:tc>
          <w:tcPr>
            <w:tcW w:w="10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3"/>
                <w:szCs w:val="13"/>
                <w:b w:val="1"/>
                <w:bCs w:val="1"/>
                <w:color w:val="auto"/>
                <w:w w:val="94"/>
              </w:rPr>
              <w:t>Year ended</w:t>
            </w:r>
          </w:p>
        </w:tc>
        <w:tc>
          <w:tcPr>
            <w:tcW w:w="100" w:type="dxa"/>
            <w:vAlign w:val="bottom"/>
          </w:tcPr>
          <w:p>
            <w:pPr>
              <w:spacing w:after="0"/>
              <w:rPr>
                <w:sz w:val="11"/>
                <w:szCs w:val="11"/>
                <w:color w:val="auto"/>
              </w:rPr>
            </w:pPr>
          </w:p>
        </w:tc>
        <w:tc>
          <w:tcPr>
            <w:tcW w:w="940" w:type="dxa"/>
            <w:vAlign w:val="bottom"/>
          </w:tcPr>
          <w:p>
            <w:pPr>
              <w:jc w:val="center"/>
              <w:ind w:right="144"/>
              <w:spacing w:after="0" w:line="133" w:lineRule="exact"/>
              <w:rPr>
                <w:sz w:val="20"/>
                <w:szCs w:val="20"/>
                <w:color w:val="auto"/>
              </w:rPr>
            </w:pPr>
            <w:r>
              <w:rPr>
                <w:rFonts w:ascii="Arial" w:cs="Arial" w:eastAsia="Arial" w:hAnsi="Arial"/>
                <w:sz w:val="13"/>
                <w:szCs w:val="13"/>
                <w:b w:val="1"/>
                <w:bCs w:val="1"/>
                <w:color w:val="auto"/>
                <w:w w:val="96"/>
              </w:rPr>
              <w:t>Year ended</w:t>
            </w:r>
          </w:p>
        </w:tc>
        <w:tc>
          <w:tcPr>
            <w:tcW w:w="0" w:type="dxa"/>
            <w:vAlign w:val="bottom"/>
          </w:tcPr>
          <w:p>
            <w:pPr>
              <w:spacing w:after="0"/>
              <w:rPr>
                <w:sz w:val="1"/>
                <w:szCs w:val="1"/>
                <w:color w:val="auto"/>
              </w:rPr>
            </w:pPr>
          </w:p>
        </w:tc>
      </w:tr>
      <w:tr>
        <w:trPr>
          <w:trHeight w:val="141"/>
        </w:trPr>
        <w:tc>
          <w:tcPr>
            <w:tcW w:w="3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00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110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14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4"/>
              </w:rPr>
              <w:t>December 31,</w:t>
            </w:r>
          </w:p>
        </w:tc>
        <w:tc>
          <w:tcPr>
            <w:tcW w:w="1120" w:type="dxa"/>
            <w:vAlign w:val="bottom"/>
            <w:gridSpan w:val="3"/>
          </w:tcPr>
          <w:p>
            <w:pPr>
              <w:jc w:val="center"/>
              <w:ind w:right="220"/>
              <w:spacing w:after="0" w:line="141" w:lineRule="exact"/>
              <w:rPr>
                <w:sz w:val="20"/>
                <w:szCs w:val="20"/>
                <w:color w:val="auto"/>
              </w:rPr>
            </w:pPr>
            <w:r>
              <w:rPr>
                <w:rFonts w:ascii="Arial" w:cs="Arial" w:eastAsia="Arial" w:hAnsi="Arial"/>
                <w:sz w:val="13"/>
                <w:szCs w:val="13"/>
                <w:b w:val="1"/>
                <w:bCs w:val="1"/>
                <w:color w:val="auto"/>
                <w:w w:val="96"/>
              </w:rPr>
              <w:t>December 31,</w:t>
            </w:r>
          </w:p>
        </w:tc>
        <w:tc>
          <w:tcPr>
            <w:tcW w:w="1040" w:type="dxa"/>
            <w:vAlign w:val="bottom"/>
            <w:gridSpan w:val="2"/>
          </w:tcPr>
          <w:p>
            <w:pPr>
              <w:jc w:val="center"/>
              <w:ind w:right="44"/>
              <w:spacing w:after="0" w:line="141" w:lineRule="exact"/>
              <w:rPr>
                <w:sz w:val="20"/>
                <w:szCs w:val="20"/>
                <w:color w:val="auto"/>
              </w:rPr>
            </w:pPr>
            <w:r>
              <w:rPr>
                <w:rFonts w:ascii="Arial" w:cs="Arial" w:eastAsia="Arial" w:hAnsi="Arial"/>
                <w:sz w:val="13"/>
                <w:szCs w:val="13"/>
                <w:b w:val="1"/>
                <w:bCs w:val="1"/>
                <w:color w:val="auto"/>
                <w:w w:val="94"/>
              </w:rPr>
              <w:t>December 31,</w:t>
            </w:r>
          </w:p>
        </w:tc>
        <w:tc>
          <w:tcPr>
            <w:tcW w:w="0" w:type="dxa"/>
            <w:vAlign w:val="bottom"/>
          </w:tcPr>
          <w:p>
            <w:pPr>
              <w:spacing w:after="0"/>
              <w:rPr>
                <w:sz w:val="1"/>
                <w:szCs w:val="1"/>
                <w:color w:val="auto"/>
              </w:rPr>
            </w:pPr>
          </w:p>
        </w:tc>
      </w:tr>
      <w:tr>
        <w:trPr>
          <w:trHeight w:val="153"/>
        </w:trPr>
        <w:tc>
          <w:tcPr>
            <w:tcW w:w="370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2017</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45"/>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79"/>
        </w:trPr>
        <w:tc>
          <w:tcPr>
            <w:tcW w:w="37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Benefit Obligations:</w:t>
            </w: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20"/>
                <w:szCs w:val="20"/>
                <w:color w:val="auto"/>
              </w:rPr>
            </w:pPr>
            <w:r>
              <w:rPr>
                <w:rFonts w:ascii="Arial" w:cs="Arial" w:eastAsia="Arial" w:hAnsi="Arial"/>
                <w:sz w:val="16"/>
                <w:szCs w:val="16"/>
                <w:color w:val="auto"/>
              </w:rPr>
              <w:t>Net benefit obligation at beginning of</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ind w:right="25"/>
              <w:spacing w:after="0"/>
              <w:rPr>
                <w:sz w:val="20"/>
                <w:szCs w:val="20"/>
                <w:color w:val="auto"/>
              </w:rPr>
            </w:pPr>
            <w:r>
              <w:rPr>
                <w:rFonts w:ascii="Arial" w:cs="Arial" w:eastAsia="Arial" w:hAnsi="Arial"/>
                <w:sz w:val="16"/>
                <w:szCs w:val="16"/>
                <w:b w:val="1"/>
                <w:bCs w:val="1"/>
                <w:color w:val="auto"/>
              </w:rPr>
              <w:t>93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00" w:type="dxa"/>
            <w:vAlign w:val="bottom"/>
          </w:tcPr>
          <w:p>
            <w:pPr>
              <w:ind w:left="120"/>
              <w:spacing w:after="0" w:line="177" w:lineRule="exact"/>
              <w:rPr>
                <w:sz w:val="20"/>
                <w:szCs w:val="20"/>
                <w:color w:val="auto"/>
              </w:rPr>
            </w:pPr>
            <w:r>
              <w:rPr>
                <w:rFonts w:ascii="Arial" w:cs="Arial" w:eastAsia="Arial" w:hAnsi="Arial"/>
                <w:sz w:val="16"/>
                <w:szCs w:val="16"/>
                <w:color w:val="auto"/>
              </w:rPr>
              <w:t>year</w:t>
            </w: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line="177"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ind w:right="24"/>
              <w:spacing w:after="0" w:line="177" w:lineRule="exact"/>
              <w:rPr>
                <w:sz w:val="20"/>
                <w:szCs w:val="20"/>
                <w:color w:val="auto"/>
              </w:rPr>
            </w:pPr>
            <w:r>
              <w:rPr>
                <w:rFonts w:ascii="Arial" w:cs="Arial" w:eastAsia="Arial" w:hAnsi="Arial"/>
                <w:sz w:val="16"/>
                <w:szCs w:val="16"/>
                <w:color w:val="auto"/>
              </w:rPr>
              <w:t>181</w:t>
            </w:r>
          </w:p>
        </w:tc>
        <w:tc>
          <w:tcPr>
            <w:tcW w:w="2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line="177" w:lineRule="exact"/>
              <w:rPr>
                <w:sz w:val="20"/>
                <w:szCs w:val="20"/>
                <w:color w:val="auto"/>
              </w:rPr>
            </w:pPr>
            <w:r>
              <w:rPr>
                <w:rFonts w:ascii="Arial" w:cs="Arial" w:eastAsia="Arial" w:hAnsi="Arial"/>
                <w:sz w:val="16"/>
                <w:szCs w:val="16"/>
                <w:color w:val="auto"/>
              </w:rPr>
              <w:t>155</w:t>
            </w: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4"/>
              <w:spacing w:after="0" w:line="177" w:lineRule="exact"/>
              <w:rPr>
                <w:sz w:val="20"/>
                <w:szCs w:val="20"/>
                <w:color w:val="auto"/>
              </w:rPr>
            </w:pPr>
            <w:r>
              <w:rPr>
                <w:rFonts w:ascii="Arial" w:cs="Arial" w:eastAsia="Arial" w:hAnsi="Arial"/>
                <w:sz w:val="16"/>
                <w:szCs w:val="16"/>
                <w:color w:val="auto"/>
              </w:rPr>
              <w:t>102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4"/>
              <w:spacing w:after="0" w:line="177" w:lineRule="exact"/>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8"/>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Service cost</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20"/>
                <w:szCs w:val="20"/>
                <w:color w:val="auto"/>
              </w:rPr>
            </w:pPr>
            <w:r>
              <w:rPr>
                <w:rFonts w:ascii="Arial" w:cs="Arial" w:eastAsia="Arial" w:hAnsi="Arial"/>
                <w:sz w:val="16"/>
                <w:szCs w:val="16"/>
                <w:color w:val="auto"/>
              </w:rPr>
              <w:t>Interest cost</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8"/>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Plan Amendments</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20"/>
                <w:szCs w:val="20"/>
                <w:color w:val="auto"/>
              </w:rPr>
            </w:pPr>
            <w:r>
              <w:rPr>
                <w:rFonts w:ascii="Arial" w:cs="Arial" w:eastAsia="Arial" w:hAnsi="Arial"/>
                <w:sz w:val="16"/>
                <w:szCs w:val="16"/>
                <w:color w:val="auto"/>
              </w:rPr>
              <w:t>Benefits paid</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Actuarial loss (gain)</w:t>
            </w:r>
          </w:p>
        </w:tc>
        <w:tc>
          <w:tcPr>
            <w:tcW w:w="1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19</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3700" w:type="dxa"/>
            <w:vAlign w:val="bottom"/>
          </w:tcPr>
          <w:p>
            <w:pPr>
              <w:spacing w:after="0" w:line="180" w:lineRule="exact"/>
              <w:rPr>
                <w:sz w:val="20"/>
                <w:szCs w:val="20"/>
                <w:color w:val="auto"/>
              </w:rPr>
            </w:pPr>
            <w:r>
              <w:rPr>
                <w:rFonts w:ascii="Arial" w:cs="Arial" w:eastAsia="Arial" w:hAnsi="Arial"/>
                <w:sz w:val="16"/>
                <w:szCs w:val="16"/>
                <w:color w:val="auto"/>
              </w:rPr>
              <w:t>Net benefit obligation at end of year</w:t>
            </w:r>
          </w:p>
        </w:tc>
        <w:tc>
          <w:tcPr>
            <w:tcW w:w="1100" w:type="dxa"/>
            <w:vAlign w:val="bottom"/>
          </w:tcPr>
          <w:p>
            <w:pPr>
              <w:spacing w:after="0"/>
              <w:rPr>
                <w:sz w:val="19"/>
                <w:szCs w:val="19"/>
                <w:color w:val="auto"/>
              </w:rPr>
            </w:pPr>
          </w:p>
        </w:tc>
        <w:tc>
          <w:tcPr>
            <w:tcW w:w="100" w:type="dxa"/>
            <w:vAlign w:val="bottom"/>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4"/>
              <w:spacing w:after="0" w:line="180" w:lineRule="exact"/>
              <w:rPr>
                <w:sz w:val="20"/>
                <w:szCs w:val="20"/>
                <w:color w:val="auto"/>
              </w:rPr>
            </w:pPr>
            <w:r>
              <w:rPr>
                <w:rFonts w:ascii="Arial" w:cs="Arial" w:eastAsia="Arial" w:hAnsi="Arial"/>
                <w:sz w:val="16"/>
                <w:szCs w:val="16"/>
                <w:b w:val="1"/>
                <w:bCs w:val="1"/>
                <w:color w:val="auto"/>
              </w:rPr>
              <w:t>204</w:t>
            </w:r>
          </w:p>
        </w:tc>
        <w:tc>
          <w:tcPr>
            <w:tcW w:w="100" w:type="dxa"/>
            <w:vAlign w:val="bottom"/>
          </w:tcPr>
          <w:p>
            <w:pPr>
              <w:spacing w:after="0"/>
              <w:rPr>
                <w:sz w:val="19"/>
                <w:szCs w:val="19"/>
                <w:color w:val="auto"/>
              </w:rPr>
            </w:pPr>
          </w:p>
        </w:tc>
        <w:tc>
          <w:tcPr>
            <w:tcW w:w="100" w:type="dxa"/>
            <w:vAlign w:val="bottom"/>
          </w:tcPr>
          <w:p>
            <w:pPr>
              <w:spacing w:after="0" w:line="180"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ind w:right="24"/>
              <w:spacing w:after="0" w:line="180" w:lineRule="exact"/>
              <w:rPr>
                <w:sz w:val="20"/>
                <w:szCs w:val="20"/>
                <w:color w:val="auto"/>
              </w:rPr>
            </w:pPr>
            <w:r>
              <w:rPr>
                <w:rFonts w:ascii="Arial" w:cs="Arial" w:eastAsia="Arial" w:hAnsi="Arial"/>
                <w:sz w:val="16"/>
                <w:szCs w:val="16"/>
                <w:color w:val="auto"/>
              </w:rPr>
              <w:t>177</w:t>
            </w:r>
          </w:p>
        </w:tc>
        <w:tc>
          <w:tcPr>
            <w:tcW w:w="22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line="180" w:lineRule="exact"/>
              <w:rPr>
                <w:sz w:val="20"/>
                <w:szCs w:val="20"/>
                <w:color w:val="auto"/>
              </w:rPr>
            </w:pPr>
            <w:r>
              <w:rPr>
                <w:rFonts w:ascii="Arial" w:cs="Arial" w:eastAsia="Arial" w:hAnsi="Arial"/>
                <w:sz w:val="16"/>
                <w:szCs w:val="16"/>
                <w:color w:val="auto"/>
              </w:rPr>
              <w:t>181</w:t>
            </w:r>
          </w:p>
        </w:tc>
        <w:tc>
          <w:tcPr>
            <w:tcW w:w="100" w:type="dxa"/>
            <w:vAlign w:val="bottom"/>
          </w:tcPr>
          <w:p>
            <w:pPr>
              <w:spacing w:after="0"/>
              <w:rPr>
                <w:sz w:val="19"/>
                <w:szCs w:val="19"/>
                <w:color w:val="auto"/>
              </w:rPr>
            </w:pPr>
          </w:p>
        </w:tc>
        <w:tc>
          <w:tcPr>
            <w:tcW w:w="120" w:type="dxa"/>
            <w:vAlign w:val="bottom"/>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5"/>
              <w:spacing w:after="0" w:line="180" w:lineRule="exact"/>
              <w:rPr>
                <w:sz w:val="20"/>
                <w:szCs w:val="20"/>
                <w:color w:val="auto"/>
              </w:rPr>
            </w:pPr>
            <w:r>
              <w:rPr>
                <w:rFonts w:ascii="Arial" w:cs="Arial" w:eastAsia="Arial" w:hAnsi="Arial"/>
                <w:sz w:val="16"/>
                <w:szCs w:val="16"/>
                <w:b w:val="1"/>
                <w:bCs w:val="1"/>
                <w:color w:val="auto"/>
              </w:rPr>
              <w:t>94</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4"/>
              <w:spacing w:after="0" w:line="180" w:lineRule="exact"/>
              <w:rPr>
                <w:sz w:val="20"/>
                <w:szCs w:val="20"/>
                <w:color w:val="auto"/>
              </w:rPr>
            </w:pPr>
            <w:r>
              <w:rPr>
                <w:rFonts w:ascii="Arial" w:cs="Arial" w:eastAsia="Arial" w:hAnsi="Arial"/>
                <w:sz w:val="16"/>
                <w:szCs w:val="16"/>
                <w:color w:val="auto"/>
              </w:rPr>
              <w:t>93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4"/>
              <w:spacing w:after="0" w:line="180"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63"/>
        </w:trPr>
        <w:tc>
          <w:tcPr>
            <w:tcW w:w="3700" w:type="dxa"/>
            <w:vAlign w:val="bottom"/>
            <w:tcBorders>
              <w:top w:val="single" w:sz="8" w:color="CFF0FC"/>
            </w:tcBorders>
            <w:shd w:val="clear" w:color="auto" w:fill="CFF0FC"/>
          </w:tcPr>
          <w:p>
            <w:pPr>
              <w:spacing w:after="0" w:line="163" w:lineRule="exact"/>
              <w:rPr>
                <w:sz w:val="20"/>
                <w:szCs w:val="20"/>
                <w:color w:val="auto"/>
              </w:rPr>
            </w:pPr>
            <w:r>
              <w:rPr>
                <w:rFonts w:ascii="Arial" w:cs="Arial" w:eastAsia="Arial" w:hAnsi="Arial"/>
                <w:sz w:val="16"/>
                <w:szCs w:val="16"/>
                <w:color w:val="auto"/>
              </w:rPr>
              <w:t>Fair Value of Plan Assets:</w:t>
            </w:r>
          </w:p>
        </w:tc>
        <w:tc>
          <w:tcPr>
            <w:tcW w:w="1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00" w:type="dxa"/>
            <w:vAlign w:val="bottom"/>
          </w:tcPr>
          <w:p>
            <w:pPr>
              <w:spacing w:after="0"/>
              <w:rPr>
                <w:sz w:val="20"/>
                <w:szCs w:val="20"/>
                <w:color w:val="auto"/>
              </w:rPr>
            </w:pPr>
            <w:r>
              <w:rPr>
                <w:rFonts w:ascii="Arial" w:cs="Arial" w:eastAsia="Arial" w:hAnsi="Arial"/>
                <w:sz w:val="16"/>
                <w:szCs w:val="16"/>
                <w:color w:val="auto"/>
              </w:rPr>
              <w:t>Fair value of plan assets at beginning</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196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700" w:type="dxa"/>
            <w:vAlign w:val="bottom"/>
          </w:tcPr>
          <w:p>
            <w:pPr>
              <w:ind w:left="120"/>
              <w:spacing w:after="0" w:line="177" w:lineRule="exact"/>
              <w:rPr>
                <w:sz w:val="20"/>
                <w:szCs w:val="20"/>
                <w:color w:val="auto"/>
              </w:rPr>
            </w:pPr>
            <w:r>
              <w:rPr>
                <w:rFonts w:ascii="Arial" w:cs="Arial" w:eastAsia="Arial" w:hAnsi="Arial"/>
                <w:sz w:val="16"/>
                <w:szCs w:val="16"/>
                <w:color w:val="auto"/>
              </w:rPr>
              <w:t>of year</w:t>
            </w: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line="177"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ind w:right="24"/>
              <w:spacing w:after="0" w:line="177" w:lineRule="exact"/>
              <w:rPr>
                <w:sz w:val="20"/>
                <w:szCs w:val="20"/>
                <w:color w:val="auto"/>
              </w:rPr>
            </w:pPr>
            <w:r>
              <w:rPr>
                <w:rFonts w:ascii="Arial" w:cs="Arial" w:eastAsia="Arial" w:hAnsi="Arial"/>
                <w:sz w:val="16"/>
                <w:szCs w:val="16"/>
                <w:color w:val="auto"/>
              </w:rPr>
              <w:t>188</w:t>
            </w:r>
          </w:p>
        </w:tc>
        <w:tc>
          <w:tcPr>
            <w:tcW w:w="2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line="177" w:lineRule="exact"/>
              <w:rPr>
                <w:sz w:val="20"/>
                <w:szCs w:val="20"/>
                <w:color w:val="auto"/>
              </w:rPr>
            </w:pPr>
            <w:r>
              <w:rPr>
                <w:rFonts w:ascii="Arial" w:cs="Arial" w:eastAsia="Arial" w:hAnsi="Arial"/>
                <w:sz w:val="16"/>
                <w:szCs w:val="16"/>
                <w:color w:val="auto"/>
              </w:rPr>
              <w:t>150</w:t>
            </w:r>
          </w:p>
        </w:tc>
        <w:tc>
          <w:tcPr>
            <w:tcW w:w="10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line="177"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4"/>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Actual return on plan assets</w:t>
            </w: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30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20"/>
                <w:szCs w:val="20"/>
                <w:color w:val="auto"/>
              </w:rPr>
            </w:pPr>
            <w:r>
              <w:rPr>
                <w:rFonts w:ascii="Arial" w:cs="Arial" w:eastAsia="Arial" w:hAnsi="Arial"/>
                <w:sz w:val="16"/>
                <w:szCs w:val="16"/>
                <w:color w:val="auto"/>
              </w:rPr>
              <w:t>Employer contributions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4"/>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5"/>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Benefits paid</w:t>
            </w:r>
          </w:p>
        </w:tc>
        <w:tc>
          <w:tcPr>
            <w:tcW w:w="1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9"/>
        </w:trPr>
        <w:tc>
          <w:tcPr>
            <w:tcW w:w="3700" w:type="dxa"/>
            <w:vAlign w:val="bottom"/>
          </w:tcPr>
          <w:p>
            <w:pPr>
              <w:spacing w:after="0" w:line="179" w:lineRule="exact"/>
              <w:rPr>
                <w:sz w:val="20"/>
                <w:szCs w:val="20"/>
                <w:color w:val="auto"/>
              </w:rPr>
            </w:pPr>
            <w:r>
              <w:rPr>
                <w:rFonts w:ascii="Arial" w:cs="Arial" w:eastAsia="Arial" w:hAnsi="Arial"/>
                <w:sz w:val="16"/>
                <w:szCs w:val="16"/>
                <w:color w:val="auto"/>
              </w:rPr>
              <w:t>Fair value of plan assets at end of</w:t>
            </w:r>
          </w:p>
        </w:tc>
        <w:tc>
          <w:tcPr>
            <w:tcW w:w="110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700" w:type="dxa"/>
            <w:vAlign w:val="bottom"/>
          </w:tcPr>
          <w:p>
            <w:pPr>
              <w:ind w:left="120"/>
              <w:spacing w:after="0" w:line="177" w:lineRule="exact"/>
              <w:rPr>
                <w:sz w:val="20"/>
                <w:szCs w:val="20"/>
                <w:color w:val="auto"/>
              </w:rPr>
            </w:pPr>
            <w:r>
              <w:rPr>
                <w:rFonts w:ascii="Arial" w:cs="Arial" w:eastAsia="Arial" w:hAnsi="Arial"/>
                <w:sz w:val="16"/>
                <w:szCs w:val="16"/>
                <w:color w:val="auto"/>
              </w:rPr>
              <w:t>year</w:t>
            </w:r>
          </w:p>
        </w:tc>
        <w:tc>
          <w:tcPr>
            <w:tcW w:w="1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line="177" w:lineRule="exact"/>
              <w:rPr>
                <w:sz w:val="20"/>
                <w:szCs w:val="20"/>
                <w:color w:val="auto"/>
              </w:rPr>
            </w:pPr>
            <w:r>
              <w:rPr>
                <w:rFonts w:ascii="Arial" w:cs="Arial" w:eastAsia="Arial" w:hAnsi="Arial"/>
                <w:sz w:val="16"/>
                <w:szCs w:val="16"/>
                <w:color w:val="auto"/>
                <w:w w:val="89"/>
              </w:rPr>
              <w:t>$</w:t>
            </w:r>
          </w:p>
        </w:tc>
        <w:tc>
          <w:tcPr>
            <w:tcW w:w="900" w:type="dxa"/>
            <w:vAlign w:val="bottom"/>
          </w:tcPr>
          <w:p>
            <w:pPr>
              <w:jc w:val="right"/>
              <w:ind w:right="24"/>
              <w:spacing w:after="0" w:line="177" w:lineRule="exact"/>
              <w:rPr>
                <w:sz w:val="20"/>
                <w:szCs w:val="20"/>
                <w:color w:val="auto"/>
              </w:rPr>
            </w:pPr>
            <w:r>
              <w:rPr>
                <w:rFonts w:ascii="Arial" w:cs="Arial" w:eastAsia="Arial" w:hAnsi="Arial"/>
                <w:sz w:val="16"/>
                <w:szCs w:val="16"/>
                <w:color w:val="auto"/>
              </w:rPr>
              <w:t>196</w:t>
            </w:r>
          </w:p>
        </w:tc>
        <w:tc>
          <w:tcPr>
            <w:tcW w:w="22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line="177" w:lineRule="exact"/>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line="177" w:lineRule="exact"/>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44"/>
              <w:spacing w:after="0" w:line="177"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vMerge w:val="restart"/>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70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Net Funded Status</w:t>
            </w:r>
          </w:p>
        </w:tc>
        <w:tc>
          <w:tcPr>
            <w:tcW w:w="11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b w:val="1"/>
                <w:bCs w:val="1"/>
                <w:color w:val="auto"/>
                <w:w w:val="89"/>
              </w:rPr>
              <w:t>$</w:t>
            </w:r>
          </w:p>
        </w:tc>
        <w:tc>
          <w:tcPr>
            <w:tcW w:w="920" w:type="dxa"/>
            <w:vAlign w:val="bottom"/>
            <w:shd w:val="clear" w:color="auto" w:fill="CFF0FC"/>
          </w:tcPr>
          <w:p>
            <w:pPr>
              <w:jc w:val="right"/>
              <w:ind w:right="44"/>
              <w:spacing w:after="0" w:line="163" w:lineRule="exact"/>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ind w:right="24"/>
              <w:spacing w:after="0" w:line="163" w:lineRule="exact"/>
              <w:rPr>
                <w:sz w:val="20"/>
                <w:szCs w:val="20"/>
                <w:color w:val="auto"/>
              </w:rPr>
            </w:pPr>
            <w:r>
              <w:rPr>
                <w:rFonts w:ascii="Arial" w:cs="Arial" w:eastAsia="Arial" w:hAnsi="Arial"/>
                <w:sz w:val="16"/>
                <w:szCs w:val="16"/>
                <w:color w:val="auto"/>
              </w:rPr>
              <w:t>19</w:t>
            </w:r>
          </w:p>
        </w:tc>
        <w:tc>
          <w:tcPr>
            <w:tcW w:w="22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b w:val="1"/>
                <w:bCs w:val="1"/>
                <w:color w:val="auto"/>
              </w:rPr>
              <w:t>(94)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(93)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360" w:firstLine="531"/>
        <w:spacing w:after="0" w:line="265" w:lineRule="auto"/>
        <w:rPr>
          <w:sz w:val="20"/>
          <w:szCs w:val="20"/>
          <w:color w:val="auto"/>
        </w:rPr>
      </w:pPr>
      <w:r>
        <w:rPr>
          <w:rFonts w:ascii="Arial" w:cs="Arial" w:eastAsia="Arial" w:hAnsi="Arial"/>
          <w:sz w:val="15"/>
          <w:szCs w:val="15"/>
          <w:color w:val="auto"/>
        </w:rPr>
        <w:t>The Company’s OPEB plan was amended to reflect certain limitations on participants’ annual benefits that were included in the new collective bargaining agreement ratified by International Union, United Automobile, Aerospace and Agricultural Implement Workers of America (“UAW”) Local 933 in December 2017.</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pension plan assets mostly consist of diversified equity securities and diversified debt securities. The fair values of plan assets for the</w:t>
      </w:r>
    </w:p>
    <w:p>
      <w:pPr>
        <w:spacing w:after="0"/>
        <w:rPr>
          <w:sz w:val="20"/>
          <w:szCs w:val="20"/>
          <w:color w:val="auto"/>
        </w:rPr>
      </w:pPr>
      <w:r>
        <w:rPr>
          <w:rFonts w:ascii="Arial" w:cs="Arial" w:eastAsia="Arial" w:hAnsi="Arial"/>
          <w:sz w:val="16"/>
          <w:szCs w:val="16"/>
          <w:color w:val="auto"/>
        </w:rPr>
        <w:t>Company’s pension plans as of December 31, 2019 and 2018 are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jc w:val="right"/>
              <w:ind w:right="185"/>
              <w:spacing w:after="0"/>
              <w:rPr>
                <w:sz w:val="20"/>
                <w:szCs w:val="20"/>
                <w:color w:val="auto"/>
              </w:rPr>
            </w:pPr>
            <w:r>
              <w:rPr>
                <w:rFonts w:ascii="Arial" w:cs="Arial" w:eastAsia="Arial" w:hAnsi="Arial"/>
                <w:sz w:val="13"/>
                <w:szCs w:val="13"/>
                <w:b w:val="1"/>
                <w:bCs w:val="1"/>
                <w:color w:val="auto"/>
                <w:w w:val="96"/>
              </w:rPr>
              <w:t>Fair Value Measurements Using</w:t>
            </w: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32"/>
        </w:trPr>
        <w:tc>
          <w:tcPr>
            <w:tcW w:w="33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0" w:type="dxa"/>
            <w:vAlign w:val="bottom"/>
            <w:gridSpan w:val="4"/>
          </w:tcPr>
          <w:p>
            <w:pPr>
              <w:jc w:val="center"/>
              <w:ind w:left="174"/>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80" w:type="dxa"/>
            <w:vAlign w:val="bottom"/>
            <w:gridSpan w:val="4"/>
          </w:tcPr>
          <w:p>
            <w:pPr>
              <w:jc w:val="center"/>
              <w:ind w:right="265"/>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1"/>
        </w:trPr>
        <w:tc>
          <w:tcPr>
            <w:tcW w:w="33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0" w:type="dxa"/>
            <w:vAlign w:val="bottom"/>
            <w:gridSpan w:val="4"/>
          </w:tcPr>
          <w:p>
            <w:pPr>
              <w:jc w:val="center"/>
              <w:ind w:left="174"/>
              <w:spacing w:after="0" w:line="141" w:lineRule="exact"/>
              <w:rPr>
                <w:sz w:val="20"/>
                <w:szCs w:val="20"/>
                <w:color w:val="auto"/>
              </w:rPr>
            </w:pPr>
            <w:r>
              <w:rPr>
                <w:rFonts w:ascii="Arial" w:cs="Arial" w:eastAsia="Arial" w:hAnsi="Arial"/>
                <w:sz w:val="13"/>
                <w:szCs w:val="13"/>
                <w:b w:val="1"/>
                <w:bCs w:val="1"/>
                <w:color w:val="auto"/>
                <w:w w:val="94"/>
              </w:rPr>
              <w:t>Markets for Identical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4"/>
          </w:tcPr>
          <w:p>
            <w:pPr>
              <w:jc w:val="center"/>
              <w:ind w:right="265"/>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53"/>
        </w:trPr>
        <w:tc>
          <w:tcPr>
            <w:tcW w:w="3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0" w:type="dxa"/>
            <w:vAlign w:val="bottom"/>
            <w:tcBorders>
              <w:bottom w:val="single" w:sz="8" w:color="auto"/>
            </w:tcBorders>
            <w:gridSpan w:val="4"/>
          </w:tcPr>
          <w:p>
            <w:pPr>
              <w:jc w:val="center"/>
              <w:ind w:left="174"/>
              <w:spacing w:after="0"/>
              <w:rPr>
                <w:sz w:val="20"/>
                <w:szCs w:val="20"/>
                <w:color w:val="auto"/>
              </w:rPr>
            </w:pPr>
            <w:r>
              <w:rPr>
                <w:rFonts w:ascii="Arial" w:cs="Arial" w:eastAsia="Arial" w:hAnsi="Arial"/>
                <w:sz w:val="13"/>
                <w:szCs w:val="13"/>
                <w:b w:val="1"/>
                <w:bCs w:val="1"/>
                <w:color w:val="auto"/>
                <w:w w:val="96"/>
              </w:rPr>
              <w:t>Assets (Level 1)</w:t>
            </w:r>
          </w:p>
        </w:tc>
        <w:tc>
          <w:tcPr>
            <w:tcW w:w="3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410"/>
              <w:spacing w:after="0"/>
              <w:rPr>
                <w:sz w:val="20"/>
                <w:szCs w:val="20"/>
                <w:color w:val="auto"/>
              </w:rPr>
            </w:pPr>
            <w:r>
              <w:rPr>
                <w:rFonts w:ascii="Arial" w:cs="Arial" w:eastAsia="Arial" w:hAnsi="Arial"/>
                <w:sz w:val="13"/>
                <w:szCs w:val="13"/>
                <w:b w:val="1"/>
                <w:bCs w:val="1"/>
                <w:color w:val="auto"/>
                <w:w w:val="98"/>
              </w:rPr>
              <w:t>(Level 2)</w:t>
            </w:r>
          </w:p>
        </w:tc>
        <w:tc>
          <w:tcPr>
            <w:tcW w:w="8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3"/>
                <w:szCs w:val="13"/>
                <w:b w:val="1"/>
                <w:bCs w:val="1"/>
                <w:color w:val="auto"/>
              </w:rPr>
              <w:t>TOTAL</w:t>
            </w:r>
          </w:p>
        </w:tc>
        <w:tc>
          <w:tcPr>
            <w:tcW w:w="800" w:type="dxa"/>
            <w:vAlign w:val="bottom"/>
            <w:tcBorders>
              <w:bottom w:val="single" w:sz="8" w:color="auto"/>
            </w:tcBorders>
          </w:tcPr>
          <w:p>
            <w:pPr>
              <w:spacing w:after="0"/>
              <w:rPr>
                <w:sz w:val="13"/>
                <w:szCs w:val="13"/>
                <w:color w:val="auto"/>
              </w:rPr>
            </w:pPr>
          </w:p>
        </w:tc>
      </w:tr>
      <w:tr>
        <w:trPr>
          <w:trHeight w:val="144"/>
        </w:trPr>
        <w:tc>
          <w:tcPr>
            <w:tcW w:w="332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ind w:right="14"/>
              <w:spacing w:after="0" w:line="144" w:lineRule="exact"/>
              <w:rPr>
                <w:sz w:val="20"/>
                <w:szCs w:val="20"/>
                <w:color w:val="auto"/>
              </w:rPr>
            </w:pPr>
            <w:r>
              <w:rPr>
                <w:rFonts w:ascii="Arial" w:cs="Arial" w:eastAsia="Arial" w:hAnsi="Arial"/>
                <w:sz w:val="13"/>
                <w:szCs w:val="13"/>
                <w:b w:val="1"/>
                <w:bCs w:val="1"/>
                <w:color w:val="auto"/>
              </w:rPr>
              <w:t>2019</w:t>
            </w: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2018</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0"/>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65"/>
              <w:spacing w:after="0" w:line="14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7"/>
              <w:spacing w:after="0" w:line="144"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5"/>
              <w:spacing w:after="0" w:line="144" w:lineRule="exact"/>
              <w:rPr>
                <w:sz w:val="20"/>
                <w:szCs w:val="20"/>
                <w:color w:val="auto"/>
              </w:rPr>
            </w:pPr>
            <w:r>
              <w:rPr>
                <w:rFonts w:ascii="Arial" w:cs="Arial" w:eastAsia="Arial" w:hAnsi="Arial"/>
                <w:sz w:val="13"/>
                <w:szCs w:val="13"/>
                <w:b w:val="1"/>
                <w:bCs w:val="1"/>
                <w:color w:val="auto"/>
              </w:rPr>
              <w:t>2018</w:t>
            </w:r>
          </w:p>
        </w:tc>
      </w:tr>
      <w:tr>
        <w:trPr>
          <w:trHeight w:val="179"/>
        </w:trPr>
        <w:tc>
          <w:tcPr>
            <w:tcW w:w="3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Diversified debt securities</w:t>
            </w:r>
          </w:p>
        </w:tc>
        <w:tc>
          <w:tcPr>
            <w:tcW w:w="14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514"/>
              <w:spacing w:after="0"/>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7"/>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51"/>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164</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156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177</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165</w:t>
            </w:r>
          </w:p>
        </w:tc>
      </w:tr>
      <w:tr>
        <w:trPr>
          <w:trHeight w:val="188"/>
        </w:trPr>
        <w:tc>
          <w:tcPr>
            <w:tcW w:w="3320" w:type="dxa"/>
            <w:vAlign w:val="bottom"/>
          </w:tcPr>
          <w:p>
            <w:pPr>
              <w:spacing w:after="0"/>
              <w:rPr>
                <w:sz w:val="20"/>
                <w:szCs w:val="20"/>
                <w:color w:val="auto"/>
              </w:rPr>
            </w:pPr>
            <w:r>
              <w:rPr>
                <w:rFonts w:ascii="Arial" w:cs="Arial" w:eastAsia="Arial" w:hAnsi="Arial"/>
                <w:sz w:val="16"/>
                <w:szCs w:val="16"/>
                <w:color w:val="auto"/>
              </w:rPr>
              <w:t>Diversified equity securities</w:t>
            </w:r>
          </w:p>
        </w:tc>
        <w:tc>
          <w:tcPr>
            <w:tcW w:w="1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jc w:val="right"/>
              <w:ind w:right="42"/>
              <w:spacing w:after="0"/>
              <w:rPr>
                <w:sz w:val="20"/>
                <w:szCs w:val="20"/>
                <w:color w:val="auto"/>
              </w:rPr>
            </w:pPr>
            <w:r>
              <w:rPr>
                <w:rFonts w:ascii="Arial" w:cs="Arial" w:eastAsia="Arial" w:hAnsi="Arial"/>
                <w:sz w:val="16"/>
                <w:szCs w:val="16"/>
                <w:b w:val="1"/>
                <w:bCs w:val="1"/>
                <w:color w:val="auto"/>
              </w:rPr>
              <w:t>24</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ind w:right="62"/>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65"/>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47"/>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45"/>
              <w:spacing w:after="0"/>
              <w:rPr>
                <w:sz w:val="20"/>
                <w:szCs w:val="20"/>
                <w:color w:val="auto"/>
              </w:rPr>
            </w:pPr>
            <w:r>
              <w:rPr>
                <w:rFonts w:ascii="Arial" w:cs="Arial" w:eastAsia="Arial" w:hAnsi="Arial"/>
                <w:sz w:val="16"/>
                <w:szCs w:val="16"/>
                <w:color w:val="auto"/>
              </w:rPr>
              <w:t>28</w:t>
            </w:r>
          </w:p>
        </w:tc>
      </w:tr>
      <w:tr>
        <w:trPr>
          <w:trHeight w:val="188"/>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14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w:t>
            </w: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3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w:t>
            </w:r>
          </w:p>
        </w:tc>
      </w:tr>
      <w:tr>
        <w:trPr>
          <w:trHeight w:val="179"/>
        </w:trPr>
        <w:tc>
          <w:tcPr>
            <w:tcW w:w="332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43</w:t>
            </w:r>
          </w:p>
        </w:tc>
        <w:tc>
          <w:tcPr>
            <w:tcW w:w="120" w:type="dxa"/>
            <w:vAlign w:val="bottom"/>
          </w:tcPr>
          <w:p>
            <w:pPr>
              <w:spacing w:after="0"/>
              <w:rPr>
                <w:sz w:val="15"/>
                <w:szCs w:val="15"/>
                <w:color w:val="auto"/>
              </w:rPr>
            </w:pPr>
          </w:p>
        </w:tc>
        <w:tc>
          <w:tcPr>
            <w:tcW w:w="660" w:type="dxa"/>
            <w:vAlign w:val="bottom"/>
            <w:tcBorders>
              <w:top w:val="single" w:sz="8" w:color="auto"/>
              <w:bottom w:val="single" w:sz="8" w:color="auto"/>
            </w:tcBorders>
          </w:tcPr>
          <w:p>
            <w:pPr>
              <w:jc w:val="right"/>
              <w:ind w:right="487"/>
              <w:spacing w:after="0" w:line="180"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rPr>
              <w:t>32</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ind w:right="50"/>
              <w:spacing w:after="0" w:line="180" w:lineRule="exact"/>
              <w:rPr>
                <w:sz w:val="20"/>
                <w:szCs w:val="20"/>
                <w:color w:val="auto"/>
              </w:rPr>
            </w:pPr>
            <w:r>
              <w:rPr>
                <w:rFonts w:ascii="Arial" w:cs="Arial" w:eastAsia="Arial" w:hAnsi="Arial"/>
                <w:sz w:val="16"/>
                <w:szCs w:val="16"/>
                <w:b w:val="1"/>
                <w:bCs w:val="1"/>
                <w:color w:val="auto"/>
              </w:rPr>
              <w:t>174</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65"/>
              <w:spacing w:after="0" w:line="180" w:lineRule="exact"/>
              <w:rPr>
                <w:sz w:val="20"/>
                <w:szCs w:val="20"/>
                <w:color w:val="auto"/>
              </w:rPr>
            </w:pPr>
            <w:r>
              <w:rPr>
                <w:rFonts w:ascii="Arial" w:cs="Arial" w:eastAsia="Arial" w:hAnsi="Arial"/>
                <w:sz w:val="16"/>
                <w:szCs w:val="16"/>
                <w:color w:val="auto"/>
              </w:rPr>
              <w:t>164</w:t>
            </w:r>
          </w:p>
        </w:tc>
        <w:tc>
          <w:tcPr>
            <w:tcW w:w="1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45"/>
              <w:spacing w:after="0" w:line="180" w:lineRule="exact"/>
              <w:rPr>
                <w:sz w:val="20"/>
                <w:szCs w:val="20"/>
                <w:color w:val="auto"/>
              </w:rPr>
            </w:pPr>
            <w:r>
              <w:rPr>
                <w:rFonts w:ascii="Arial" w:cs="Arial" w:eastAsia="Arial" w:hAnsi="Arial"/>
                <w:sz w:val="16"/>
                <w:szCs w:val="16"/>
                <w:color w:val="auto"/>
              </w:rPr>
              <w:t>196</w:t>
            </w:r>
          </w:p>
        </w:tc>
      </w:tr>
      <w:tr>
        <w:trPr>
          <w:trHeight w:val="20"/>
        </w:trPr>
        <w:tc>
          <w:tcPr>
            <w:tcW w:w="3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540" w:firstLine="531"/>
        <w:spacing w:after="0" w:line="234" w:lineRule="auto"/>
        <w:rPr>
          <w:sz w:val="20"/>
          <w:szCs w:val="20"/>
          <w:color w:val="auto"/>
        </w:rPr>
      </w:pPr>
      <w:r>
        <w:rPr>
          <w:rFonts w:ascii="Arial" w:cs="Arial" w:eastAsia="Arial" w:hAnsi="Arial"/>
          <w:sz w:val="16"/>
          <w:szCs w:val="16"/>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60" w:type="dxa"/>
            <w:vAlign w:val="bottom"/>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3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tcBorders>
              <w:bottom w:val="single" w:sz="8" w:color="auto"/>
            </w:tcBorders>
            <w:gridSpan w:val="3"/>
          </w:tcPr>
          <w:p>
            <w:pPr>
              <w:ind w:left="1560"/>
              <w:spacing w:after="0"/>
              <w:rPr>
                <w:sz w:val="20"/>
                <w:szCs w:val="20"/>
                <w:color w:val="auto"/>
              </w:rPr>
            </w:pPr>
            <w:r>
              <w:rPr>
                <w:rFonts w:ascii="Arial" w:cs="Arial" w:eastAsia="Arial" w:hAnsi="Arial"/>
                <w:sz w:val="13"/>
                <w:szCs w:val="13"/>
                <w:b w:val="1"/>
                <w:bCs w:val="1"/>
                <w:color w:val="auto"/>
              </w:rPr>
              <w:t>Target</w:t>
            </w:r>
          </w:p>
        </w:tc>
        <w:tc>
          <w:tcPr>
            <w:tcW w:w="1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60" w:type="dxa"/>
            <w:vAlign w:val="bottom"/>
            <w:tcBorders>
              <w:bottom w:val="single" w:sz="8" w:color="auto"/>
            </w:tcBorders>
            <w:vMerge w:val="continue"/>
          </w:tcPr>
          <w:p>
            <w:pPr>
              <w:spacing w:after="0"/>
              <w:rPr>
                <w:sz w:val="12"/>
                <w:szCs w:val="12"/>
                <w:color w:val="auto"/>
              </w:rPr>
            </w:pPr>
          </w:p>
        </w:tc>
        <w:tc>
          <w:tcPr>
            <w:tcW w:w="388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740" w:type="dxa"/>
            <w:vAlign w:val="bottom"/>
            <w:tcBorders>
              <w:bottom w:val="single" w:sz="8" w:color="auto"/>
            </w:tcBorders>
          </w:tcPr>
          <w:p>
            <w:pPr>
              <w:jc w:val="right"/>
              <w:ind w:right="692"/>
              <w:spacing w:after="0" w:line="144" w:lineRule="exact"/>
              <w:rPr>
                <w:sz w:val="20"/>
                <w:szCs w:val="20"/>
                <w:color w:val="auto"/>
              </w:rPr>
            </w:pPr>
            <w:r>
              <w:rPr>
                <w:rFonts w:ascii="Arial" w:cs="Arial" w:eastAsia="Arial" w:hAnsi="Arial"/>
                <w:sz w:val="13"/>
                <w:szCs w:val="13"/>
                <w:b w:val="1"/>
                <w:bCs w:val="1"/>
                <w:color w:val="auto"/>
              </w:rPr>
              <w:t>Hourly</w:t>
            </w:r>
          </w:p>
        </w:tc>
        <w:tc>
          <w:tcPr>
            <w:tcW w:w="1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685"/>
              <w:spacing w:after="0" w:line="144" w:lineRule="exact"/>
              <w:rPr>
                <w:sz w:val="20"/>
                <w:szCs w:val="20"/>
                <w:color w:val="auto"/>
              </w:rPr>
            </w:pPr>
            <w:r>
              <w:rPr>
                <w:rFonts w:ascii="Arial" w:cs="Arial" w:eastAsia="Arial" w:hAnsi="Arial"/>
                <w:sz w:val="13"/>
                <w:szCs w:val="13"/>
                <w:b w:val="1"/>
                <w:bCs w:val="1"/>
                <w:color w:val="auto"/>
              </w:rPr>
              <w:t>Salary</w:t>
            </w:r>
          </w:p>
        </w:tc>
        <w:tc>
          <w:tcPr>
            <w:tcW w:w="0" w:type="dxa"/>
            <w:vAlign w:val="bottom"/>
          </w:tcPr>
          <w:p>
            <w:pPr>
              <w:spacing w:after="0"/>
              <w:rPr>
                <w:sz w:val="1"/>
                <w:szCs w:val="1"/>
                <w:color w:val="auto"/>
              </w:rPr>
            </w:pPr>
          </w:p>
        </w:tc>
      </w:tr>
      <w:tr>
        <w:trPr>
          <w:trHeight w:val="179"/>
        </w:trPr>
        <w:tc>
          <w:tcPr>
            <w:tcW w:w="37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5780" w:type="dxa"/>
            <w:vAlign w:val="bottom"/>
            <w:gridSpan w:val="3"/>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20"/>
                <w:szCs w:val="20"/>
                <w:color w:val="auto"/>
              </w:rPr>
            </w:pPr>
            <w:r>
              <w:rPr>
                <w:rFonts w:ascii="Arial" w:cs="Arial" w:eastAsia="Arial" w:hAnsi="Arial"/>
                <w:sz w:val="16"/>
                <w:szCs w:val="16"/>
                <w:color w:val="auto"/>
              </w:rPr>
              <w:t>Diversified equity securities</w:t>
            </w:r>
          </w:p>
        </w:tc>
        <w:tc>
          <w:tcPr>
            <w:tcW w:w="5780" w:type="dxa"/>
            <w:vAlign w:val="bottom"/>
            <w:gridSpan w:val="3"/>
          </w:tcPr>
          <w:p>
            <w:pPr>
              <w:jc w:val="right"/>
              <w:ind w:right="112"/>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ind w:right="85"/>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Diversified debt securities</w:t>
            </w:r>
          </w:p>
        </w:tc>
        <w:tc>
          <w:tcPr>
            <w:tcW w:w="4040" w:type="dxa"/>
            <w:vAlign w:val="bottom"/>
            <w:gridSpan w:val="2"/>
            <w:shd w:val="clear" w:color="auto" w:fill="CFF0FC"/>
          </w:tcPr>
          <w:p>
            <w:pPr>
              <w:spacing w:after="0"/>
              <w:rPr>
                <w:sz w:val="16"/>
                <w:szCs w:val="16"/>
                <w:color w:val="auto"/>
              </w:rPr>
            </w:pPr>
          </w:p>
        </w:tc>
        <w:tc>
          <w:tcPr>
            <w:tcW w:w="174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42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79"/>
        </w:trPr>
        <w:tc>
          <w:tcPr>
            <w:tcW w:w="376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5780" w:type="dxa"/>
            <w:vAlign w:val="bottom"/>
            <w:gridSpan w:val="3"/>
          </w:tcPr>
          <w:p>
            <w:pPr>
              <w:jc w:val="right"/>
              <w:spacing w:after="0" w:line="180" w:lineRule="exact"/>
              <w:rPr>
                <w:sz w:val="20"/>
                <w:szCs w:val="20"/>
                <w:color w:val="auto"/>
              </w:rPr>
            </w:pPr>
            <w:r>
              <w:rPr>
                <w:rFonts w:ascii="Arial" w:cs="Arial" w:eastAsia="Arial" w:hAnsi="Arial"/>
                <w:sz w:val="16"/>
                <w:szCs w:val="16"/>
                <w:color w:val="auto"/>
              </w:rPr>
              <w:t>100%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spacing w:after="0" w:line="180" w:lineRule="exact"/>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3880" w:type="dxa"/>
            <w:vAlign w:val="bottom"/>
            <w:vMerge w:val="restart"/>
          </w:tcPr>
          <w:p>
            <w:pPr>
              <w:jc w:val="right"/>
              <w:ind w:right="1762"/>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7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Through 2019, the Company’s investment committee has continued to evaluate the investments and take steps toward the established targets.</w:t>
      </w:r>
    </w:p>
    <w:p>
      <w:pPr>
        <w:spacing w:after="0" w:line="133" w:lineRule="exact"/>
        <w:rPr>
          <w:sz w:val="20"/>
          <w:szCs w:val="20"/>
          <w:color w:val="auto"/>
        </w:rPr>
      </w:pPr>
    </w:p>
    <w:p>
      <w:pPr>
        <w:ind w:right="500" w:firstLine="531"/>
        <w:spacing w:after="0" w:line="237" w:lineRule="auto"/>
        <w:rPr>
          <w:sz w:val="20"/>
          <w:szCs w:val="20"/>
          <w:color w:val="auto"/>
        </w:rPr>
      </w:pPr>
      <w:r>
        <w:rPr>
          <w:rFonts w:ascii="Arial" w:cs="Arial" w:eastAsia="Arial" w:hAnsi="Arial"/>
          <w:sz w:val="16"/>
          <w:szCs w:val="16"/>
          <w:color w:val="auto"/>
        </w:rPr>
        <w:t>The following table discloses the amounts recognized in the balance sheet and in AOCL at December 31, 2019 and 2018, on a pre-tax basis (dollars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Pension Plans</w:t>
            </w:r>
          </w:p>
        </w:tc>
        <w:tc>
          <w:tcPr>
            <w:tcW w:w="8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604"/>
              <w:spacing w:after="0"/>
              <w:rPr>
                <w:sz w:val="20"/>
                <w:szCs w:val="20"/>
                <w:color w:val="auto"/>
              </w:rPr>
            </w:pPr>
            <w:r>
              <w:rPr>
                <w:rFonts w:ascii="Arial" w:cs="Arial" w:eastAsia="Arial" w:hAnsi="Arial"/>
                <w:sz w:val="13"/>
                <w:szCs w:val="13"/>
                <w:b w:val="1"/>
                <w:bCs w:val="1"/>
                <w:color w:val="auto"/>
              </w:rPr>
              <w:t>Post-retirement Benefits</w:t>
            </w:r>
          </w:p>
        </w:tc>
        <w:tc>
          <w:tcPr>
            <w:tcW w:w="0" w:type="dxa"/>
            <w:vAlign w:val="bottom"/>
          </w:tcPr>
          <w:p>
            <w:pPr>
              <w:spacing w:after="0"/>
              <w:rPr>
                <w:sz w:val="1"/>
                <w:szCs w:val="1"/>
                <w:color w:val="auto"/>
              </w:rPr>
            </w:pPr>
          </w:p>
        </w:tc>
      </w:tr>
      <w:tr>
        <w:trPr>
          <w:trHeight w:val="144"/>
        </w:trPr>
        <w:tc>
          <w:tcPr>
            <w:tcW w:w="59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gridSpan w:val="5"/>
          </w:tcPr>
          <w:p>
            <w:pPr>
              <w:ind w:left="320"/>
              <w:spacing w:after="0" w:line="144" w:lineRule="exact"/>
              <w:rPr>
                <w:sz w:val="20"/>
                <w:szCs w:val="20"/>
                <w:color w:val="auto"/>
              </w:rPr>
            </w:pPr>
            <w:r>
              <w:rPr>
                <w:rFonts w:ascii="Arial" w:cs="Arial" w:eastAsia="Arial" w:hAnsi="Arial"/>
                <w:sz w:val="13"/>
                <w:szCs w:val="13"/>
                <w:b w:val="1"/>
                <w:bCs w:val="1"/>
                <w:color w:val="auto"/>
              </w:rPr>
              <w:t>As of December 31,</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9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5"/>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65"/>
              <w:spacing w:after="0" w:line="144"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65"/>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4"/>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59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Amounts Recognized in Balance Sheet:</w:t>
            </w: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Noncurrent assets</w:t>
            </w:r>
          </w:p>
        </w:tc>
        <w:tc>
          <w:tcPr>
            <w:tcW w:w="260" w:type="dxa"/>
            <w:vAlign w:val="bottom"/>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5"/>
              <w:spacing w:after="0"/>
              <w:rPr>
                <w:sz w:val="20"/>
                <w:szCs w:val="20"/>
                <w:color w:val="auto"/>
              </w:rPr>
            </w:pPr>
            <w:r>
              <w:rPr>
                <w:rFonts w:ascii="Arial" w:cs="Arial" w:eastAsia="Arial" w:hAnsi="Arial"/>
                <w:sz w:val="16"/>
                <w:szCs w:val="16"/>
                <w:b w:val="1"/>
                <w:bCs w:val="1"/>
                <w:color w:val="auto"/>
              </w:rPr>
              <w:t>13</w:t>
            </w:r>
          </w:p>
        </w:tc>
        <w:tc>
          <w:tcPr>
            <w:tcW w:w="140" w:type="dxa"/>
            <w:vAlign w:val="bottom"/>
          </w:tcPr>
          <w:p>
            <w:pPr>
              <w:spacing w:after="0"/>
              <w:rPr>
                <w:sz w:val="16"/>
                <w:szCs w:val="16"/>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19</w:t>
            </w:r>
          </w:p>
        </w:tc>
        <w:tc>
          <w:tcPr>
            <w:tcW w:w="40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880" w:type="dxa"/>
            <w:vAlign w:val="bottom"/>
          </w:tcPr>
          <w:p>
            <w:pPr>
              <w:jc w:val="right"/>
              <w:ind w:right="25"/>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(91)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79"/>
        </w:trPr>
        <w:tc>
          <w:tcPr>
            <w:tcW w:w="598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asset (liability)</w:t>
            </w:r>
          </w:p>
        </w:tc>
        <w:tc>
          <w:tcPr>
            <w:tcW w:w="260" w:type="dxa"/>
            <w:vAlign w:val="bottom"/>
            <w:tcBorders>
              <w:top w:val="single" w:sz="8" w:color="auto"/>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13</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ind w:right="25"/>
              <w:spacing w:after="0" w:line="180" w:lineRule="exact"/>
              <w:rPr>
                <w:sz w:val="20"/>
                <w:szCs w:val="20"/>
                <w:color w:val="auto"/>
              </w:rPr>
            </w:pPr>
            <w:r>
              <w:rPr>
                <w:rFonts w:ascii="Arial" w:cs="Arial" w:eastAsia="Arial" w:hAnsi="Arial"/>
                <w:sz w:val="16"/>
                <w:szCs w:val="16"/>
                <w:color w:val="auto"/>
              </w:rPr>
              <w:t>19</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4"/>
              <w:spacing w:after="0" w:line="180"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260" w:type="dxa"/>
            <w:vAlign w:val="bottom"/>
            <w:shd w:val="clear" w:color="auto" w:fill="CFF0FC"/>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3</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57</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8"/>
        </w:trPr>
        <w:tc>
          <w:tcPr>
            <w:tcW w:w="5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Actuarial (loss) gain</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4</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w:t>
            </w:r>
          </w:p>
        </w:tc>
        <w:tc>
          <w:tcPr>
            <w:tcW w:w="14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61</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amounts in AOCL expected to be amortized and recognized as a component of net periodic benefit cost in 2020 are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8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6"/>
              </w:rPr>
              <w:t>2020</w:t>
            </w: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32"/>
        </w:trPr>
        <w:tc>
          <w:tcPr>
            <w:tcW w:w="458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20" w:type="dxa"/>
            <w:vAlign w:val="bottom"/>
          </w:tcPr>
          <w:p>
            <w:pPr>
              <w:jc w:val="right"/>
              <w:ind w:right="137"/>
              <w:spacing w:after="0" w:line="133" w:lineRule="exact"/>
              <w:rPr>
                <w:sz w:val="20"/>
                <w:szCs w:val="20"/>
                <w:color w:val="auto"/>
              </w:rPr>
            </w:pPr>
            <w:r>
              <w:rPr>
                <w:rFonts w:ascii="Arial" w:cs="Arial" w:eastAsia="Arial" w:hAnsi="Arial"/>
                <w:sz w:val="13"/>
                <w:szCs w:val="13"/>
                <w:b w:val="1"/>
                <w:bCs w:val="1"/>
                <w:color w:val="auto"/>
              </w:rPr>
              <w:t>Pension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jc w:val="right"/>
              <w:ind w:right="388"/>
              <w:spacing w:after="0" w:line="133" w:lineRule="exact"/>
              <w:rPr>
                <w:sz w:val="20"/>
                <w:szCs w:val="20"/>
                <w:color w:val="auto"/>
              </w:rPr>
            </w:pPr>
            <w:r>
              <w:rPr>
                <w:rFonts w:ascii="Arial" w:cs="Arial" w:eastAsia="Arial" w:hAnsi="Arial"/>
                <w:sz w:val="13"/>
                <w:szCs w:val="13"/>
                <w:b w:val="1"/>
                <w:bCs w:val="1"/>
                <w:color w:val="auto"/>
              </w:rPr>
              <w:t>Post-retirement</w:t>
            </w:r>
          </w:p>
        </w:tc>
      </w:tr>
      <w:tr>
        <w:trPr>
          <w:trHeight w:val="153"/>
        </w:trPr>
        <w:tc>
          <w:tcPr>
            <w:tcW w:w="4580" w:type="dxa"/>
            <w:vAlign w:val="bottom"/>
            <w:tcBorders>
              <w:bottom w:val="single" w:sz="8" w:color="CFF0FC"/>
            </w:tcBorders>
          </w:tcPr>
          <w:p>
            <w:pPr>
              <w:spacing w:after="0"/>
              <w:rPr>
                <w:sz w:val="13"/>
                <w:szCs w:val="13"/>
                <w:color w:val="auto"/>
              </w:rPr>
            </w:pPr>
          </w:p>
        </w:tc>
        <w:tc>
          <w:tcPr>
            <w:tcW w:w="330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Plans</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08"/>
              <w:spacing w:after="0"/>
              <w:rPr>
                <w:sz w:val="20"/>
                <w:szCs w:val="20"/>
                <w:color w:val="auto"/>
              </w:rPr>
            </w:pPr>
            <w:r>
              <w:rPr>
                <w:rFonts w:ascii="Arial" w:cs="Arial" w:eastAsia="Arial" w:hAnsi="Arial"/>
                <w:sz w:val="13"/>
                <w:szCs w:val="13"/>
                <w:b w:val="1"/>
                <w:bCs w:val="1"/>
                <w:color w:val="auto"/>
              </w:rPr>
              <w:t>Benefits</w:t>
            </w:r>
          </w:p>
        </w:tc>
      </w:tr>
      <w:tr>
        <w:trPr>
          <w:trHeight w:val="179"/>
        </w:trPr>
        <w:tc>
          <w:tcPr>
            <w:tcW w:w="45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Prior service credit</w:t>
            </w:r>
          </w:p>
        </w:tc>
        <w:tc>
          <w:tcPr>
            <w:tcW w:w="4520" w:type="dxa"/>
            <w:vAlign w:val="bottom"/>
            <w:gridSpan w:val="2"/>
            <w:shd w:val="clear" w:color="auto" w:fill="CFF0FC"/>
          </w:tcPr>
          <w:p>
            <w:pPr>
              <w:jc w:val="right"/>
              <w:ind w:right="1077"/>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w w:val="87"/>
              </w:rPr>
              <w:t>—</w:t>
            </w:r>
          </w:p>
        </w:tc>
        <w:tc>
          <w:tcPr>
            <w:tcW w:w="500" w:type="dxa"/>
            <w:vAlign w:val="bottom"/>
            <w:gridSpan w:val="3"/>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68"/>
              <w:spacing w:after="0" w:line="180" w:lineRule="exact"/>
              <w:rPr>
                <w:sz w:val="20"/>
                <w:szCs w:val="20"/>
                <w:color w:val="auto"/>
              </w:rPr>
            </w:pPr>
            <w:r>
              <w:rPr>
                <w:rFonts w:ascii="Arial" w:cs="Arial" w:eastAsia="Arial" w:hAnsi="Arial"/>
                <w:sz w:val="16"/>
                <w:szCs w:val="16"/>
                <w:color w:val="auto"/>
              </w:rPr>
              <w:t>13</w:t>
            </w:r>
          </w:p>
        </w:tc>
      </w:tr>
      <w:tr>
        <w:trPr>
          <w:trHeight w:val="188"/>
        </w:trPr>
        <w:tc>
          <w:tcPr>
            <w:tcW w:w="4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Actuarial loss</w:t>
            </w:r>
          </w:p>
        </w:tc>
        <w:tc>
          <w:tcPr>
            <w:tcW w:w="3300" w:type="dxa"/>
            <w:vAlign w:val="bottom"/>
            <w:tcBorders>
              <w:bottom w:val="single" w:sz="8" w:color="CFF0FC"/>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color w:val="auto"/>
              </w:rPr>
              <w:t>—</w:t>
            </w:r>
          </w:p>
        </w:tc>
      </w:tr>
      <w:tr>
        <w:trPr>
          <w:trHeight w:val="179"/>
        </w:trPr>
        <w:tc>
          <w:tcPr>
            <w:tcW w:w="458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4520" w:type="dxa"/>
            <w:vAlign w:val="bottom"/>
            <w:gridSpan w:val="2"/>
            <w:shd w:val="clear" w:color="auto" w:fill="CFF0FC"/>
          </w:tcPr>
          <w:p>
            <w:pPr>
              <w:jc w:val="right"/>
              <w:ind w:right="1077"/>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w w:val="87"/>
              </w:rPr>
              <w:t>—</w:t>
            </w:r>
          </w:p>
        </w:tc>
        <w:tc>
          <w:tcPr>
            <w:tcW w:w="500" w:type="dxa"/>
            <w:vAlign w:val="bottom"/>
            <w:gridSpan w:val="3"/>
            <w:shd w:val="clear" w:color="auto" w:fill="CFF0FC"/>
          </w:tcPr>
          <w:p>
            <w:pPr>
              <w:jc w:val="right"/>
              <w:ind w:right="120"/>
              <w:spacing w:after="0" w:line="180" w:lineRule="exact"/>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68"/>
              <w:spacing w:after="0" w:line="180" w:lineRule="exact"/>
              <w:rPr>
                <w:sz w:val="20"/>
                <w:szCs w:val="20"/>
                <w:color w:val="auto"/>
              </w:rPr>
            </w:pPr>
            <w:r>
              <w:rPr>
                <w:rFonts w:ascii="Arial" w:cs="Arial" w:eastAsia="Arial" w:hAnsi="Arial"/>
                <w:sz w:val="16"/>
                <w:szCs w:val="16"/>
                <w:color w:val="auto"/>
              </w:rPr>
              <w:t>13</w:t>
            </w: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accumulated benefit obligation for the Company’s pension plans as of December 31, 2019 and 2018 was $199 million and $173 million, respectively.</w:t>
      </w:r>
    </w:p>
    <w:p>
      <w:pPr>
        <w:spacing w:after="0" w:line="133" w:lineRule="exact"/>
        <w:rPr>
          <w:sz w:val="20"/>
          <w:szCs w:val="20"/>
          <w:color w:val="auto"/>
        </w:rPr>
      </w:pPr>
    </w:p>
    <w:p>
      <w:pPr>
        <w:ind w:right="520" w:firstLine="531"/>
        <w:spacing w:after="0" w:line="234" w:lineRule="auto"/>
        <w:rPr>
          <w:sz w:val="20"/>
          <w:szCs w:val="20"/>
          <w:color w:val="auto"/>
        </w:rPr>
      </w:pPr>
      <w:r>
        <w:rPr>
          <w:rFonts w:ascii="Arial" w:cs="Arial" w:eastAsia="Arial" w:hAnsi="Arial"/>
          <w:sz w:val="16"/>
          <w:szCs w:val="16"/>
          <w:color w:val="auto"/>
        </w:rPr>
        <w:t>As of December 31, 2019 and 2018, the hourly defined benefit pension plan had plan assets greater than the projected benefit obligation and the accumulated benefit obligation. As of December 31, 2019 and 2018, the salary defined benefit pension plan had plan assets greater than the projected benefit obligation and accumulated benefit obligation.</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Information about expected cash flows for the Company’s pension and post-retirement benefit plans is as follows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00" w:type="dxa"/>
            <w:vAlign w:val="bottom"/>
          </w:tcPr>
          <w:p>
            <w:pPr>
              <w:jc w:val="center"/>
              <w:ind w:left="297"/>
              <w:spacing w:after="0"/>
              <w:rPr>
                <w:sz w:val="20"/>
                <w:szCs w:val="20"/>
                <w:color w:val="auto"/>
              </w:rPr>
            </w:pPr>
            <w:r>
              <w:rPr>
                <w:rFonts w:ascii="Arial" w:cs="Arial" w:eastAsia="Arial" w:hAnsi="Arial"/>
                <w:sz w:val="13"/>
                <w:szCs w:val="13"/>
                <w:b w:val="1"/>
                <w:bCs w:val="1"/>
                <w:color w:val="auto"/>
                <w:w w:val="94"/>
              </w:rPr>
              <w:t>Pension</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right"/>
              <w:ind w:right="385"/>
              <w:spacing w:after="0"/>
              <w:rPr>
                <w:sz w:val="20"/>
                <w:szCs w:val="20"/>
                <w:color w:val="auto"/>
              </w:rPr>
            </w:pPr>
            <w:r>
              <w:rPr>
                <w:rFonts w:ascii="Arial" w:cs="Arial" w:eastAsia="Arial" w:hAnsi="Arial"/>
                <w:sz w:val="13"/>
                <w:szCs w:val="13"/>
                <w:b w:val="1"/>
                <w:bCs w:val="1"/>
                <w:color w:val="auto"/>
              </w:rPr>
              <w:t>Post-retirement</w:t>
            </w:r>
          </w:p>
        </w:tc>
      </w:tr>
      <w:tr>
        <w:trPr>
          <w:trHeight w:val="153"/>
        </w:trPr>
        <w:tc>
          <w:tcPr>
            <w:tcW w:w="3800" w:type="dxa"/>
            <w:vAlign w:val="bottom"/>
            <w:tcBorders>
              <w:bottom w:val="single" w:sz="8" w:color="CFF0FC"/>
            </w:tcBorders>
          </w:tcPr>
          <w:p>
            <w:pPr>
              <w:spacing w:after="0"/>
              <w:rPr>
                <w:sz w:val="13"/>
                <w:szCs w:val="13"/>
                <w:color w:val="auto"/>
              </w:rPr>
            </w:pPr>
          </w:p>
        </w:tc>
        <w:tc>
          <w:tcPr>
            <w:tcW w:w="4080" w:type="dxa"/>
            <w:vAlign w:val="bottom"/>
            <w:tcBorders>
              <w:bottom w:val="single" w:sz="8" w:color="CFF0FC"/>
            </w:tcBorders>
          </w:tcPr>
          <w:p>
            <w:pPr>
              <w:spacing w:after="0"/>
              <w:rPr>
                <w:sz w:val="13"/>
                <w:szCs w:val="13"/>
                <w:color w:val="auto"/>
              </w:rPr>
            </w:pPr>
          </w:p>
        </w:tc>
        <w:tc>
          <w:tcPr>
            <w:tcW w:w="120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b w:val="1"/>
                <w:bCs w:val="1"/>
                <w:color w:val="auto"/>
                <w:w w:val="92"/>
              </w:rPr>
              <w:t>Plans</w:t>
            </w: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605"/>
              <w:spacing w:after="0"/>
              <w:rPr>
                <w:sz w:val="20"/>
                <w:szCs w:val="20"/>
                <w:color w:val="auto"/>
              </w:rPr>
            </w:pPr>
            <w:r>
              <w:rPr>
                <w:rFonts w:ascii="Arial" w:cs="Arial" w:eastAsia="Arial" w:hAnsi="Arial"/>
                <w:sz w:val="13"/>
                <w:szCs w:val="13"/>
                <w:b w:val="1"/>
                <w:bCs w:val="1"/>
                <w:color w:val="auto"/>
              </w:rPr>
              <w:t>Benefits</w:t>
            </w:r>
          </w:p>
        </w:tc>
      </w:tr>
      <w:tr>
        <w:trPr>
          <w:trHeight w:val="179"/>
        </w:trPr>
        <w:tc>
          <w:tcPr>
            <w:tcW w:w="38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Employer Contributions:</w:t>
            </w:r>
          </w:p>
        </w:tc>
        <w:tc>
          <w:tcPr>
            <w:tcW w:w="40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500" w:type="dxa"/>
            <w:vAlign w:val="bottom"/>
            <w:shd w:val="clear" w:color="auto" w:fill="CFF0FC"/>
          </w:tcPr>
          <w:p>
            <w:pPr>
              <w:spacing w:after="0"/>
              <w:rPr>
                <w:sz w:val="15"/>
                <w:szCs w:val="15"/>
                <w:color w:val="auto"/>
              </w:rPr>
            </w:pP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2020 expected contributions</w:t>
            </w:r>
          </w:p>
        </w:tc>
        <w:tc>
          <w:tcPr>
            <w:tcW w:w="5280" w:type="dxa"/>
            <w:vAlign w:val="bottom"/>
            <w:gridSpan w:val="2"/>
          </w:tcPr>
          <w:p>
            <w:pPr>
              <w:jc w:val="right"/>
              <w:ind w:right="1057"/>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65"/>
              <w:spacing w:after="0"/>
              <w:rPr>
                <w:sz w:val="20"/>
                <w:szCs w:val="20"/>
                <w:color w:val="auto"/>
              </w:rPr>
            </w:pPr>
            <w:r>
              <w:rPr>
                <w:rFonts w:ascii="Arial" w:cs="Arial" w:eastAsia="Arial" w:hAnsi="Arial"/>
                <w:sz w:val="16"/>
                <w:szCs w:val="16"/>
                <w:color w:val="auto"/>
              </w:rPr>
              <w:t>3</w:t>
            </w:r>
          </w:p>
        </w:tc>
      </w:tr>
      <w:tr>
        <w:trPr>
          <w:trHeight w:val="188"/>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Expected Benefit Payments:</w:t>
            </w:r>
          </w:p>
        </w:tc>
        <w:tc>
          <w:tcPr>
            <w:tcW w:w="40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2020</w:t>
            </w:r>
          </w:p>
        </w:tc>
        <w:tc>
          <w:tcPr>
            <w:tcW w:w="4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65"/>
              <w:spacing w:after="0"/>
              <w:rPr>
                <w:sz w:val="20"/>
                <w:szCs w:val="20"/>
                <w:color w:val="auto"/>
              </w:rPr>
            </w:pPr>
            <w:r>
              <w:rPr>
                <w:rFonts w:ascii="Arial" w:cs="Arial" w:eastAsia="Arial" w:hAnsi="Arial"/>
                <w:sz w:val="16"/>
                <w:szCs w:val="16"/>
                <w:color w:val="auto"/>
              </w:rPr>
              <w:t>3</w:t>
            </w:r>
          </w:p>
        </w:tc>
      </w:tr>
      <w:tr>
        <w:trPr>
          <w:trHeight w:val="188"/>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0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3</w:t>
            </w: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2022</w:t>
            </w:r>
          </w:p>
        </w:tc>
        <w:tc>
          <w:tcPr>
            <w:tcW w:w="4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0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800" w:type="dxa"/>
            <w:vAlign w:val="bottom"/>
          </w:tcPr>
          <w:p>
            <w:pPr>
              <w:spacing w:after="0"/>
              <w:rPr>
                <w:sz w:val="20"/>
                <w:szCs w:val="20"/>
                <w:color w:val="auto"/>
              </w:rPr>
            </w:pPr>
            <w:r>
              <w:rPr>
                <w:rFonts w:ascii="Arial" w:cs="Arial" w:eastAsia="Arial" w:hAnsi="Arial"/>
                <w:sz w:val="16"/>
                <w:szCs w:val="16"/>
                <w:color w:val="auto"/>
              </w:rPr>
              <w:t>2024</w:t>
            </w:r>
          </w:p>
        </w:tc>
        <w:tc>
          <w:tcPr>
            <w:tcW w:w="4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65"/>
              <w:spacing w:after="0"/>
              <w:rPr>
                <w:sz w:val="20"/>
                <w:szCs w:val="20"/>
                <w:color w:val="auto"/>
              </w:rPr>
            </w:pPr>
            <w:r>
              <w:rPr>
                <w:rFonts w:ascii="Arial" w:cs="Arial" w:eastAsia="Arial" w:hAnsi="Arial"/>
                <w:sz w:val="16"/>
                <w:szCs w:val="16"/>
                <w:color w:val="auto"/>
              </w:rPr>
              <w:t>4</w:t>
            </w:r>
          </w:p>
        </w:tc>
      </w:tr>
      <w:tr>
        <w:trPr>
          <w:trHeight w:val="188"/>
        </w:trPr>
        <w:tc>
          <w:tcPr>
            <w:tcW w:w="3800" w:type="dxa"/>
            <w:vAlign w:val="bottom"/>
            <w:shd w:val="clear" w:color="auto" w:fill="CFF0FC"/>
          </w:tcPr>
          <w:p>
            <w:pPr>
              <w:spacing w:after="0"/>
              <w:rPr>
                <w:sz w:val="20"/>
                <w:szCs w:val="20"/>
                <w:color w:val="auto"/>
              </w:rPr>
            </w:pPr>
            <w:r>
              <w:rPr>
                <w:rFonts w:ascii="Arial" w:cs="Arial" w:eastAsia="Arial" w:hAnsi="Arial"/>
                <w:sz w:val="16"/>
                <w:szCs w:val="16"/>
                <w:color w:val="auto"/>
              </w:rPr>
              <w:t>2025-2029</w:t>
            </w:r>
          </w:p>
        </w:tc>
        <w:tc>
          <w:tcPr>
            <w:tcW w:w="40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67</w:t>
            </w: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22</w:t>
            </w:r>
          </w:p>
        </w:tc>
      </w:tr>
      <w:tr>
        <w:trPr>
          <w:trHeight w:val="727"/>
        </w:trPr>
        <w:tc>
          <w:tcPr>
            <w:tcW w:w="3800" w:type="dxa"/>
            <w:vAlign w:val="bottom"/>
          </w:tcPr>
          <w:p>
            <w:pPr>
              <w:spacing w:after="0"/>
              <w:rPr>
                <w:sz w:val="24"/>
                <w:szCs w:val="24"/>
                <w:color w:val="auto"/>
              </w:rPr>
            </w:pPr>
          </w:p>
        </w:tc>
        <w:tc>
          <w:tcPr>
            <w:tcW w:w="4080" w:type="dxa"/>
            <w:vAlign w:val="bottom"/>
          </w:tcPr>
          <w:p>
            <w:pPr>
              <w:jc w:val="right"/>
              <w:ind w:right="2002"/>
              <w:spacing w:after="0"/>
              <w:rPr>
                <w:sz w:val="20"/>
                <w:szCs w:val="20"/>
                <w:color w:val="auto"/>
              </w:rPr>
            </w:pPr>
            <w:r>
              <w:rPr>
                <w:rFonts w:ascii="Arial" w:cs="Arial" w:eastAsia="Arial" w:hAnsi="Arial"/>
                <w:sz w:val="16"/>
                <w:szCs w:val="16"/>
                <w:color w:val="auto"/>
              </w:rPr>
              <w:t>85</w:t>
            </w: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7"/>
        </w:trPr>
        <w:tc>
          <w:tcPr>
            <w:tcW w:w="3800" w:type="dxa"/>
            <w:vAlign w:val="bottom"/>
            <w:tcBorders>
              <w:bottom w:val="single" w:sz="8" w:color="9A9A9A"/>
            </w:tcBorders>
          </w:tcPr>
          <w:p>
            <w:pPr>
              <w:spacing w:after="0"/>
              <w:rPr>
                <w:sz w:val="7"/>
                <w:szCs w:val="7"/>
                <w:color w:val="auto"/>
              </w:rPr>
            </w:pPr>
          </w:p>
        </w:tc>
        <w:tc>
          <w:tcPr>
            <w:tcW w:w="4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jc w:val="both"/>
        <w:ind w:right="400" w:firstLine="531"/>
        <w:spacing w:after="0" w:line="234"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31" w:lineRule="exact"/>
        <w:rPr>
          <w:sz w:val="20"/>
          <w:szCs w:val="20"/>
          <w:color w:val="auto"/>
        </w:rPr>
      </w:pPr>
    </w:p>
    <w:p>
      <w:pPr>
        <w:ind w:right="40" w:firstLine="531"/>
        <w:spacing w:after="0" w:line="231" w:lineRule="auto"/>
        <w:rPr>
          <w:sz w:val="20"/>
          <w:szCs w:val="20"/>
          <w:color w:val="auto"/>
        </w:rPr>
      </w:pPr>
      <w:r>
        <w:rPr>
          <w:rFonts w:ascii="Arial" w:cs="Arial" w:eastAsia="Arial" w:hAnsi="Arial"/>
          <w:sz w:val="16"/>
          <w:szCs w:val="16"/>
          <w:color w:val="auto"/>
        </w:rPr>
        <w:t>The Company maintains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no charge to the Consolidated Statements of Comprehensive Income for any of the years ended December 31, 2019, 2018 and 2017, and the fair value of the rabbi trust plan assets and deferred compensation obligation was $12 million and $9 million as of December 31, 2019 and 2018,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INCOME TAXES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Income before income taxes included the following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5"/>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5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68"/>
              <w:spacing w:after="0" w:line="144"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44"/>
              <w:spacing w:after="0" w:line="144"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6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U.S. income</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8"/>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712</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755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188"/>
        </w:trPr>
        <w:tc>
          <w:tcPr>
            <w:tcW w:w="6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 income</w:t>
            </w:r>
          </w:p>
        </w:tc>
        <w:tc>
          <w:tcPr>
            <w:tcW w:w="24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56</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79"/>
        </w:trPr>
        <w:tc>
          <w:tcPr>
            <w:tcW w:w="654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8"/>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768</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805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bottom w:val="single" w:sz="8" w:color="CFF0FC"/>
            </w:tcBorders>
            <w:vMerge w:val="restart"/>
          </w:tcPr>
          <w:p>
            <w:pPr>
              <w:ind w:left="520"/>
              <w:spacing w:after="0"/>
              <w:rPr>
                <w:sz w:val="20"/>
                <w:szCs w:val="20"/>
                <w:color w:val="auto"/>
              </w:rPr>
            </w:pPr>
            <w:r>
              <w:rPr>
                <w:rFonts w:ascii="Arial" w:cs="Arial" w:eastAsia="Arial" w:hAnsi="Arial"/>
                <w:sz w:val="16"/>
                <w:szCs w:val="16"/>
                <w:color w:val="auto"/>
              </w:rPr>
              <w:t>The provision for income tax expense was estimated as follows (dollars in millions):</w:t>
            </w: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6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5"/>
              </w:rPr>
              <w:t>Years ended December 31,</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54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68"/>
              <w:spacing w:after="0" w:line="144"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44"/>
              <w:spacing w:after="0" w:line="144"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6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Estimated current income taxes:</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540" w:type="dxa"/>
            <w:vAlign w:val="bottom"/>
          </w:tcPr>
          <w:p>
            <w:pPr>
              <w:ind w:left="200"/>
              <w:spacing w:after="0"/>
              <w:rPr>
                <w:sz w:val="20"/>
                <w:szCs w:val="20"/>
                <w:color w:val="auto"/>
              </w:rPr>
            </w:pPr>
            <w:r>
              <w:rPr>
                <w:rFonts w:ascii="Arial" w:cs="Arial" w:eastAsia="Arial" w:hAnsi="Arial"/>
                <w:sz w:val="16"/>
                <w:szCs w:val="16"/>
                <w:color w:val="auto"/>
              </w:rPr>
              <w:t>U.S. federal</w:t>
            </w:r>
          </w:p>
        </w:tc>
        <w:tc>
          <w:tcPr>
            <w:tcW w:w="1180" w:type="dxa"/>
            <w:vAlign w:val="bottom"/>
            <w:gridSpan w:val="2"/>
          </w:tcPr>
          <w:p>
            <w:pPr>
              <w:jc w:val="right"/>
              <w:ind w:right="768"/>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75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64"/>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8"/>
        </w:trPr>
        <w:tc>
          <w:tcPr>
            <w:tcW w:w="6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13</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65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U.S. state and local</w:t>
            </w:r>
          </w:p>
        </w:tc>
        <w:tc>
          <w:tcPr>
            <w:tcW w:w="24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11</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9"/>
        </w:trPr>
        <w:tc>
          <w:tcPr>
            <w:tcW w:w="654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Current</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99</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114</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88"/>
        </w:trPr>
        <w:tc>
          <w:tcPr>
            <w:tcW w:w="6540" w:type="dxa"/>
            <w:vAlign w:val="bottom"/>
          </w:tcPr>
          <w:p>
            <w:pPr>
              <w:spacing w:after="0"/>
              <w:rPr>
                <w:sz w:val="20"/>
                <w:szCs w:val="20"/>
                <w:color w:val="auto"/>
              </w:rPr>
            </w:pPr>
            <w:r>
              <w:rPr>
                <w:rFonts w:ascii="Arial" w:cs="Arial" w:eastAsia="Arial" w:hAnsi="Arial"/>
                <w:sz w:val="16"/>
                <w:szCs w:val="16"/>
                <w:color w:val="auto"/>
              </w:rPr>
              <w:t>Deferred income tax expense (credit), net:</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federal</w:t>
            </w: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58</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8"/>
        </w:trPr>
        <w:tc>
          <w:tcPr>
            <w:tcW w:w="6540" w:type="dxa"/>
            <w:vAlign w:val="bottom"/>
          </w:tcPr>
          <w:p>
            <w:pPr>
              <w:ind w:left="200"/>
              <w:spacing w:after="0"/>
              <w:rPr>
                <w:sz w:val="20"/>
                <w:szCs w:val="20"/>
                <w:color w:val="auto"/>
              </w:rPr>
            </w:pPr>
            <w:r>
              <w:rPr>
                <w:rFonts w:ascii="Arial" w:cs="Arial" w:eastAsia="Arial" w:hAnsi="Arial"/>
                <w:sz w:val="16"/>
                <w:szCs w:val="16"/>
                <w:color w:val="auto"/>
              </w:rPr>
              <w:t>Foreign</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ind w:right="64"/>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6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U.S. state and local</w:t>
            </w:r>
          </w:p>
        </w:tc>
        <w:tc>
          <w:tcPr>
            <w:tcW w:w="24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9"/>
        </w:trPr>
        <w:tc>
          <w:tcPr>
            <w:tcW w:w="6540" w:type="dxa"/>
            <w:vAlign w:val="bottom"/>
            <w:tcBorders>
              <w:bottom w:val="single" w:sz="8" w:color="CFF0FC"/>
            </w:tcBorders>
          </w:tcPr>
          <w:p>
            <w:pPr>
              <w:ind w:left="420"/>
              <w:spacing w:after="0" w:line="180" w:lineRule="exact"/>
              <w:rPr>
                <w:sz w:val="20"/>
                <w:szCs w:val="20"/>
                <w:color w:val="auto"/>
              </w:rPr>
            </w:pPr>
            <w:r>
              <w:rPr>
                <w:rFonts w:ascii="Arial" w:cs="Arial" w:eastAsia="Arial" w:hAnsi="Arial"/>
                <w:sz w:val="16"/>
                <w:szCs w:val="16"/>
                <w:color w:val="auto"/>
              </w:rPr>
              <w:t>Total Deferred</w:t>
            </w:r>
          </w:p>
        </w:tc>
        <w:tc>
          <w:tcPr>
            <w:tcW w:w="240" w:type="dxa"/>
            <w:vAlign w:val="bottom"/>
            <w:tcBorders>
              <w:bottom w:val="single" w:sz="8" w:color="CFF0FC"/>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65</w:t>
            </w:r>
          </w:p>
        </w:tc>
        <w:tc>
          <w:tcPr>
            <w:tcW w:w="1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52</w:t>
            </w:r>
          </w:p>
        </w:tc>
        <w:tc>
          <w:tcPr>
            <w:tcW w:w="1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
              <w:spacing w:after="0" w:line="180"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79"/>
        </w:trPr>
        <w:tc>
          <w:tcPr>
            <w:tcW w:w="6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income tax expense</w:t>
            </w:r>
          </w:p>
        </w:tc>
        <w:tc>
          <w:tcPr>
            <w:tcW w:w="2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8"/>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164</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166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64"/>
              <w:spacing w:after="0" w:line="180"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65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On December 22, 2017, the U.S. Tax Cuts and Jobs Act was enacted into law. The U.S. Tax Cuts and Jobs Act made broad and complex changes to the U.S.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tax code that impact the Company, most notably a reduction of the U.S. corporate income tax rate from 35% to 21% for tax years beginning after December 31, 2017.</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It also included a one-time deemed repatriation tax on undistributed foreign earnings and profits.</w:t>
      </w:r>
    </w:p>
    <w:p>
      <w:pPr>
        <w:spacing w:after="0" w:line="133" w:lineRule="exact"/>
        <w:rPr>
          <w:sz w:val="20"/>
          <w:szCs w:val="20"/>
          <w:color w:val="auto"/>
        </w:rPr>
      </w:pPr>
    </w:p>
    <w:p>
      <w:pPr>
        <w:ind w:right="340" w:firstLine="531"/>
        <w:spacing w:after="0" w:line="233" w:lineRule="auto"/>
        <w:rPr>
          <w:sz w:val="20"/>
          <w:szCs w:val="20"/>
          <w:color w:val="auto"/>
        </w:rPr>
      </w:pPr>
      <w:r>
        <w:rPr>
          <w:rFonts w:ascii="Arial" w:cs="Arial" w:eastAsia="Arial" w:hAnsi="Arial"/>
          <w:sz w:val="16"/>
          <w:szCs w:val="16"/>
          <w:color w:val="auto"/>
        </w:rPr>
        <w:t>On December 22, 2017, the United States Securities and Exchange Commission (“SEC”) issued Staff Accounting Bulletin No. 118 (“SAB 118”), which provided guidance on accounting for the tax effects of the U.S. Tax Cuts and Jobs Act. The Company recognized the income tax effects of the U.S. Tax Cuts and Jobs Act for the year ended December 31, 2017, the reporting period in which it was signed into law, in accordance with SAB 118. As of December 31, 2018, the Company has completed its accounting for the tax effects of the U.S. Tax Cuts and Jobs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firstLine="531"/>
        <w:spacing w:after="0" w:line="233" w:lineRule="auto"/>
        <w:rPr>
          <w:sz w:val="20"/>
          <w:szCs w:val="20"/>
          <w:color w:val="auto"/>
        </w:rPr>
      </w:pPr>
      <w:r>
        <w:rPr>
          <w:rFonts w:ascii="Arial" w:cs="Arial" w:eastAsia="Arial" w:hAnsi="Arial"/>
          <w:sz w:val="16"/>
          <w:szCs w:val="16"/>
          <w:color w:val="auto"/>
        </w:rPr>
        <w:t>In accordance with SAB 118, the Company recorded a deferred tax benefit of $157 million related to the re-measurement of certain deferred tax assets and liabilities and $5 million of tax expense recorded in connection with the transition tax on the mandatory deemed repatriation of foreign earnings and profits for the year ended December 31, 2017. The total net benefit of $152 million was deemed a reasonable estimate of the impact of the U.S. Tax Cuts and Jobs Act for the Company as of December 31, 2017.</w:t>
      </w:r>
    </w:p>
    <w:p>
      <w:pPr>
        <w:spacing w:after="0" w:line="130" w:lineRule="exact"/>
        <w:rPr>
          <w:sz w:val="20"/>
          <w:szCs w:val="20"/>
          <w:color w:val="auto"/>
        </w:rPr>
      </w:pPr>
    </w:p>
    <w:p>
      <w:pPr>
        <w:ind w:right="160" w:firstLine="531"/>
        <w:spacing w:after="0" w:line="232" w:lineRule="auto"/>
        <w:rPr>
          <w:sz w:val="20"/>
          <w:szCs w:val="20"/>
          <w:color w:val="auto"/>
        </w:rPr>
      </w:pPr>
      <w:r>
        <w:rPr>
          <w:rFonts w:ascii="Arial" w:cs="Arial" w:eastAsia="Arial" w:hAnsi="Arial"/>
          <w:sz w:val="16"/>
          <w:szCs w:val="16"/>
          <w:color w:val="auto"/>
        </w:rPr>
        <w:t>During the year ended December 31, 2018, the Company finalized its accounting for the enactment of the U.S. Tax Cuts and Jobs Act which resulted in a deferred tax benefit of $160 million related to the re-measurement of certain deferred tax assets and liabilities and $6 million of tax expense in connection with the transition tax on the mandatory deemed repatriation of foreign earnings and profits for a total net benefit of $154 million. The change in total net benefit of $2 million was incorporated into the Company’s income tax expense for the year ended December 31, 2018. The Company concluded that no material adjustments were required from the previous reasonable estimate related to the U.S. Tax Cuts and Jobs Act.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the provision for income tax expense compared with the amounts at the U.S. federal statutory rate is as follows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4"/>
        </w:trPr>
        <w:tc>
          <w:tcPr>
            <w:tcW w:w="4940" w:type="dxa"/>
            <w:vAlign w:val="bottom"/>
            <w:tcBorders>
              <w:bottom w:val="single" w:sz="8" w:color="CFF0FC"/>
            </w:tcBorders>
          </w:tcPr>
          <w:p>
            <w:pPr>
              <w:spacing w:after="0"/>
              <w:rPr>
                <w:sz w:val="12"/>
                <w:szCs w:val="12"/>
                <w:color w:val="auto"/>
              </w:rPr>
            </w:pPr>
          </w:p>
        </w:tc>
        <w:tc>
          <w:tcPr>
            <w:tcW w:w="18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67"/>
              <w:spacing w:after="0" w:line="144"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2017</w:t>
            </w:r>
          </w:p>
        </w:tc>
      </w:tr>
      <w:tr>
        <w:trPr>
          <w:trHeight w:val="179"/>
        </w:trPr>
        <w:tc>
          <w:tcPr>
            <w:tcW w:w="49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Tax at U.S. statutory income tax rate</w:t>
            </w:r>
          </w:p>
        </w:tc>
        <w:tc>
          <w:tcPr>
            <w:tcW w:w="184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7"/>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161</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169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185</w:t>
            </w:r>
          </w:p>
        </w:tc>
      </w:tr>
      <w:tr>
        <w:trPr>
          <w:trHeight w:val="188"/>
        </w:trPr>
        <w:tc>
          <w:tcPr>
            <w:tcW w:w="4940" w:type="dxa"/>
            <w:vAlign w:val="bottom"/>
          </w:tcPr>
          <w:p>
            <w:pPr>
              <w:spacing w:after="0"/>
              <w:rPr>
                <w:sz w:val="20"/>
                <w:szCs w:val="20"/>
                <w:color w:val="auto"/>
              </w:rPr>
            </w:pPr>
            <w:r>
              <w:rPr>
                <w:rFonts w:ascii="Arial" w:cs="Arial" w:eastAsia="Arial" w:hAnsi="Arial"/>
                <w:sz w:val="16"/>
                <w:szCs w:val="16"/>
                <w:color w:val="auto"/>
              </w:rPr>
              <w:t>State tax expense</w:t>
            </w:r>
          </w:p>
        </w:tc>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14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10</w:t>
            </w:r>
          </w:p>
        </w:tc>
      </w:tr>
      <w:tr>
        <w:trPr>
          <w:trHeight w:val="188"/>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Non-deductible expenses</w:t>
            </w:r>
          </w:p>
        </w:tc>
        <w:tc>
          <w:tcPr>
            <w:tcW w:w="18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7</w:t>
            </w:r>
          </w:p>
        </w:tc>
      </w:tr>
      <w:tr>
        <w:trPr>
          <w:trHeight w:val="188"/>
        </w:trPr>
        <w:tc>
          <w:tcPr>
            <w:tcW w:w="4940" w:type="dxa"/>
            <w:vAlign w:val="bottom"/>
          </w:tcPr>
          <w:p>
            <w:pPr>
              <w:spacing w:after="0"/>
              <w:rPr>
                <w:sz w:val="20"/>
                <w:szCs w:val="20"/>
                <w:color w:val="auto"/>
              </w:rPr>
            </w:pPr>
            <w:r>
              <w:rPr>
                <w:rFonts w:ascii="Arial" w:cs="Arial" w:eastAsia="Arial" w:hAnsi="Arial"/>
                <w:sz w:val="16"/>
                <w:szCs w:val="16"/>
                <w:color w:val="auto"/>
              </w:rPr>
              <w:t>Tax credits</w:t>
            </w:r>
          </w:p>
        </w:tc>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(21)</w:t>
            </w:r>
          </w:p>
        </w:tc>
      </w:tr>
      <w:tr>
        <w:trPr>
          <w:trHeight w:val="188"/>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Effect of tax rate changes</w:t>
            </w:r>
          </w:p>
        </w:tc>
        <w:tc>
          <w:tcPr>
            <w:tcW w:w="18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8"/>
        </w:trPr>
        <w:tc>
          <w:tcPr>
            <w:tcW w:w="4940" w:type="dxa"/>
            <w:vAlign w:val="bottom"/>
          </w:tcPr>
          <w:p>
            <w:pPr>
              <w:spacing w:after="0"/>
              <w:rPr>
                <w:sz w:val="20"/>
                <w:szCs w:val="20"/>
                <w:color w:val="auto"/>
              </w:rPr>
            </w:pPr>
            <w:r>
              <w:rPr>
                <w:rFonts w:ascii="Arial" w:cs="Arial" w:eastAsia="Arial" w:hAnsi="Arial"/>
                <w:sz w:val="16"/>
                <w:szCs w:val="16"/>
                <w:color w:val="auto"/>
              </w:rPr>
              <w:t>Valuation allowance</w:t>
            </w:r>
          </w:p>
        </w:tc>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3"/>
              <w:spacing w:after="0"/>
              <w:rPr>
                <w:sz w:val="20"/>
                <w:szCs w:val="20"/>
                <w:color w:val="auto"/>
              </w:rPr>
            </w:pPr>
            <w:r>
              <w:rPr>
                <w:rFonts w:ascii="Arial" w:cs="Arial" w:eastAsia="Arial" w:hAnsi="Arial"/>
                <w:sz w:val="16"/>
                <w:szCs w:val="16"/>
                <w:color w:val="auto"/>
              </w:rPr>
              <w:t>3</w:t>
            </w:r>
          </w:p>
        </w:tc>
      </w:tr>
      <w:tr>
        <w:trPr>
          <w:trHeight w:val="188"/>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Foreign rate differential</w:t>
            </w:r>
          </w:p>
        </w:tc>
        <w:tc>
          <w:tcPr>
            <w:tcW w:w="18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(5)</w:t>
            </w:r>
          </w:p>
        </w:tc>
      </w:tr>
      <w:tr>
        <w:trPr>
          <w:trHeight w:val="188"/>
        </w:trPr>
        <w:tc>
          <w:tcPr>
            <w:tcW w:w="4940" w:type="dxa"/>
            <w:vAlign w:val="bottom"/>
          </w:tcPr>
          <w:p>
            <w:pPr>
              <w:spacing w:after="0"/>
              <w:rPr>
                <w:sz w:val="20"/>
                <w:szCs w:val="20"/>
                <w:color w:val="auto"/>
              </w:rPr>
            </w:pPr>
            <w:r>
              <w:rPr>
                <w:rFonts w:ascii="Arial" w:cs="Arial" w:eastAsia="Arial" w:hAnsi="Arial"/>
                <w:sz w:val="16"/>
                <w:szCs w:val="16"/>
                <w:color w:val="auto"/>
              </w:rPr>
              <w:t>Impact related to U.S. Tax Cuts and Jobs Act</w:t>
            </w:r>
          </w:p>
        </w:tc>
        <w:tc>
          <w:tcPr>
            <w:tcW w:w="1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(155)</w:t>
            </w:r>
          </w:p>
        </w:tc>
      </w:tr>
      <w:tr>
        <w:trPr>
          <w:trHeight w:val="188"/>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Other adjustments</w:t>
            </w:r>
          </w:p>
        </w:tc>
        <w:tc>
          <w:tcPr>
            <w:tcW w:w="184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(1)</w:t>
            </w:r>
          </w:p>
        </w:tc>
      </w:tr>
      <w:tr>
        <w:trPr>
          <w:trHeight w:val="179"/>
        </w:trPr>
        <w:tc>
          <w:tcPr>
            <w:tcW w:w="4940" w:type="dxa"/>
            <w:vAlign w:val="bottom"/>
          </w:tcPr>
          <w:p>
            <w:pPr>
              <w:ind w:left="200"/>
              <w:spacing w:after="0" w:line="180" w:lineRule="exact"/>
              <w:rPr>
                <w:sz w:val="20"/>
                <w:szCs w:val="20"/>
                <w:color w:val="auto"/>
              </w:rPr>
            </w:pPr>
            <w:r>
              <w:rPr>
                <w:rFonts w:ascii="Arial" w:cs="Arial" w:eastAsia="Arial" w:hAnsi="Arial"/>
                <w:sz w:val="16"/>
                <w:szCs w:val="16"/>
                <w:color w:val="auto"/>
              </w:rPr>
              <w:t>Total income tax expense</w:t>
            </w:r>
          </w:p>
        </w:tc>
        <w:tc>
          <w:tcPr>
            <w:tcW w:w="1840" w:type="dxa"/>
            <w:vAlign w:val="bottom"/>
          </w:tcPr>
          <w:p>
            <w:pPr>
              <w:spacing w:after="0"/>
              <w:rPr>
                <w:sz w:val="15"/>
                <w:szCs w:val="15"/>
                <w:color w:val="auto"/>
              </w:rPr>
            </w:pPr>
          </w:p>
        </w:tc>
        <w:tc>
          <w:tcPr>
            <w:tcW w:w="940" w:type="dxa"/>
            <w:vAlign w:val="bottom"/>
          </w:tcPr>
          <w:p>
            <w:pPr>
              <w:jc w:val="right"/>
              <w:ind w:right="767"/>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164</w:t>
            </w:r>
          </w:p>
        </w:tc>
        <w:tc>
          <w:tcPr>
            <w:tcW w:w="4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166</w:t>
            </w:r>
          </w:p>
        </w:tc>
        <w:tc>
          <w:tcPr>
            <w:tcW w:w="160" w:type="dxa"/>
            <w:vAlign w:val="bottom"/>
          </w:tcPr>
          <w:p>
            <w:pPr>
              <w:spacing w:after="0"/>
              <w:rPr>
                <w:sz w:val="15"/>
                <w:szCs w:val="15"/>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63"/>
              <w:spacing w:after="0" w:line="180" w:lineRule="exact"/>
              <w:rPr>
                <w:sz w:val="20"/>
                <w:szCs w:val="20"/>
                <w:color w:val="auto"/>
              </w:rPr>
            </w:pPr>
            <w:r>
              <w:rPr>
                <w:rFonts w:ascii="Arial" w:cs="Arial" w:eastAsia="Arial" w:hAnsi="Arial"/>
                <w:sz w:val="16"/>
                <w:szCs w:val="16"/>
                <w:color w:val="auto"/>
              </w:rPr>
              <w:t>23</w:t>
            </w:r>
          </w:p>
        </w:tc>
      </w:tr>
      <w:tr>
        <w:trPr>
          <w:trHeight w:val="20"/>
        </w:trPr>
        <w:tc>
          <w:tcPr>
            <w:tcW w:w="4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ind w:right="540" w:firstLine="531"/>
        <w:spacing w:after="0" w:line="237" w:lineRule="auto"/>
        <w:rPr>
          <w:sz w:val="20"/>
          <w:szCs w:val="20"/>
          <w:color w:val="auto"/>
        </w:rPr>
      </w:pPr>
      <w:r>
        <w:rPr>
          <w:rFonts w:ascii="Arial" w:cs="Arial" w:eastAsia="Arial" w:hAnsi="Arial"/>
          <w:sz w:val="16"/>
          <w:szCs w:val="16"/>
          <w:color w:val="auto"/>
        </w:rPr>
        <w:t>The effective tax rate for both the years ended December 31, 2019 and 2018 was 21%. The decrease in income tax expense was principally driven by decreased taxable income.</w:t>
      </w:r>
    </w:p>
    <w:p>
      <w:pPr>
        <w:spacing w:after="0" w:line="129" w:lineRule="exact"/>
        <w:rPr>
          <w:sz w:val="20"/>
          <w:szCs w:val="20"/>
          <w:color w:val="auto"/>
        </w:rPr>
      </w:pPr>
    </w:p>
    <w:p>
      <w:pPr>
        <w:ind w:right="80" w:firstLine="531"/>
        <w:spacing w:after="0" w:line="251" w:lineRule="auto"/>
        <w:rPr>
          <w:sz w:val="20"/>
          <w:szCs w:val="20"/>
          <w:color w:val="auto"/>
        </w:rPr>
      </w:pPr>
      <w:r>
        <w:rPr>
          <w:rFonts w:ascii="Arial" w:cs="Arial" w:eastAsia="Arial" w:hAnsi="Arial"/>
          <w:sz w:val="15"/>
          <w:szCs w:val="15"/>
          <w:color w:val="auto"/>
        </w:rPr>
        <w:t>Deferred income tax assets and liabilities as of December 31, 2019 and 2018 reflect the effect of temporary differences between amounts of assets, liabilities and equity for financial reporting purposes and the bases of such assets, liabilities and equity as measured by tax laws, as well as tax loss and tax credit carry forwards. Net deferred tax assets and liabilities are classified as non-current in the Consolidated Balance Sheets. As described above, the deferred tax assets and liabilities are measured based on the enacted tax rates that will apply in the years in which the temporary differences are expected to be recovered or paid.</w:t>
      </w:r>
    </w:p>
    <w:p>
      <w:pPr>
        <w:spacing w:after="0" w:line="123" w:lineRule="exact"/>
        <w:rPr>
          <w:sz w:val="20"/>
          <w:szCs w:val="20"/>
          <w:color w:val="auto"/>
        </w:rPr>
      </w:pPr>
    </w:p>
    <w:p>
      <w:pPr>
        <w:ind w:right="180" w:firstLine="531"/>
        <w:spacing w:after="0" w:line="231" w:lineRule="auto"/>
        <w:rPr>
          <w:sz w:val="20"/>
          <w:szCs w:val="20"/>
          <w:color w:val="auto"/>
        </w:rPr>
      </w:pPr>
      <w:r>
        <w:rPr>
          <w:rFonts w:ascii="Arial" w:cs="Arial" w:eastAsia="Arial" w:hAnsi="Arial"/>
          <w:sz w:val="16"/>
          <w:szCs w:val="16"/>
          <w:color w:val="auto"/>
        </w:rPr>
        <w:t>The Company has not recognized any deferred tax liabilities associated with earnings in foreign subsidiaries, except for its subsidiary located in China, as they are intended to be permanently reinvested and used to support foreign operations or have no associated tax requirements. As of December 31, 2019, the Company has recorded a deferred tax liability of $ 3 million for the tax liability associated with the remittance of previously taxed income and unremitted earnings for its subsidiary located in China. The U.S. Tax Cuts and Jobs Act requirement of a one-time repatriation tax on foreign earnings and profits resulted in the Company recording a $6 million liability for the deemed repatriation to be paid to the U.S. Government.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are not material.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Temporary differences and carryforwards that gave rise to deferred tax assets and liabilities included the following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As of December 31</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tcPr>
          <w:p>
            <w:pPr>
              <w:jc w:val="right"/>
              <w:ind w:right="443"/>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72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392"/>
              <w:spacing w:after="0"/>
              <w:rPr>
                <w:sz w:val="20"/>
                <w:szCs w:val="20"/>
                <w:color w:val="auto"/>
              </w:rPr>
            </w:pPr>
            <w:r>
              <w:rPr>
                <w:rFonts w:ascii="Arial" w:cs="Arial" w:eastAsia="Arial" w:hAnsi="Arial"/>
                <w:sz w:val="13"/>
                <w:szCs w:val="13"/>
                <w:b w:val="1"/>
                <w:bCs w:val="1"/>
                <w:color w:val="auto"/>
              </w:rPr>
              <w:t>2019</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jc w:val="right"/>
              <w:ind w:right="863"/>
              <w:spacing w:after="0"/>
              <w:rPr>
                <w:sz w:val="20"/>
                <w:szCs w:val="20"/>
                <w:color w:val="auto"/>
              </w:rPr>
            </w:pPr>
            <w:r>
              <w:rPr>
                <w:rFonts w:ascii="Arial" w:cs="Arial" w:eastAsia="Arial" w:hAnsi="Arial"/>
                <w:sz w:val="13"/>
                <w:szCs w:val="13"/>
                <w:b w:val="1"/>
                <w:bCs w:val="1"/>
                <w:color w:val="auto"/>
              </w:rPr>
              <w:t>2018</w:t>
            </w:r>
          </w:p>
        </w:tc>
      </w:tr>
      <w:tr>
        <w:trPr>
          <w:trHeight w:val="179"/>
        </w:trPr>
        <w:tc>
          <w:tcPr>
            <w:tcW w:w="7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Deferred tax assets:</w:t>
            </w:r>
          </w:p>
        </w:tc>
        <w:tc>
          <w:tcPr>
            <w:tcW w:w="15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1540" w:type="dxa"/>
            <w:vAlign w:val="bottom"/>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spacing w:after="0"/>
              <w:rPr>
                <w:sz w:val="16"/>
                <w:szCs w:val="16"/>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24</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Intangibles</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23</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29</w:t>
            </w: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Other accrued liabilities</w:t>
            </w:r>
          </w:p>
        </w:tc>
        <w:tc>
          <w:tcPr>
            <w:tcW w:w="154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23</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20</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Warranty accrual</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11</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14</w:t>
            </w: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Operating loss carryforwards</w:t>
            </w:r>
          </w:p>
        </w:tc>
        <w:tc>
          <w:tcPr>
            <w:tcW w:w="154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10</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 rate hedges</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2</w:t>
            </w: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154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5</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Sales allowances and rebates</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8</w:t>
            </w: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154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3"/>
              <w:spacing w:after="0"/>
              <w:rPr>
                <w:sz w:val="20"/>
                <w:szCs w:val="20"/>
                <w:color w:val="auto"/>
              </w:rPr>
            </w:pPr>
            <w:r>
              <w:rPr>
                <w:rFonts w:ascii="Arial" w:cs="Arial" w:eastAsia="Arial" w:hAnsi="Arial"/>
                <w:sz w:val="16"/>
                <w:szCs w:val="16"/>
                <w:color w:val="auto"/>
              </w:rPr>
              <w:t>4</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Technology-related investments</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5</w:t>
            </w:r>
          </w:p>
        </w:tc>
      </w:tr>
      <w:tr>
        <w:trPr>
          <w:trHeight w:val="188"/>
        </w:trPr>
        <w:tc>
          <w:tcPr>
            <w:tcW w:w="72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8</w:t>
            </w:r>
          </w:p>
        </w:tc>
      </w:tr>
      <w:tr>
        <w:trPr>
          <w:trHeight w:val="179"/>
        </w:trPr>
        <w:tc>
          <w:tcPr>
            <w:tcW w:w="7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Deferred tax assets</w:t>
            </w:r>
          </w:p>
        </w:tc>
        <w:tc>
          <w:tcPr>
            <w:tcW w:w="15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132</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ind w:right="63"/>
              <w:spacing w:after="0" w:line="180" w:lineRule="exact"/>
              <w:rPr>
                <w:sz w:val="20"/>
                <w:szCs w:val="20"/>
                <w:color w:val="auto"/>
              </w:rPr>
            </w:pPr>
            <w:r>
              <w:rPr>
                <w:rFonts w:ascii="Arial" w:cs="Arial" w:eastAsia="Arial" w:hAnsi="Arial"/>
                <w:sz w:val="16"/>
                <w:szCs w:val="16"/>
                <w:color w:val="auto"/>
              </w:rPr>
              <w:t>129</w:t>
            </w:r>
          </w:p>
        </w:tc>
      </w:tr>
      <w:tr>
        <w:trPr>
          <w:trHeight w:val="179"/>
        </w:trPr>
        <w:tc>
          <w:tcPr>
            <w:tcW w:w="72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Valuation allowances</w:t>
            </w:r>
          </w:p>
        </w:tc>
        <w:tc>
          <w:tcPr>
            <w:tcW w:w="1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(10)</w:t>
            </w:r>
          </w:p>
        </w:tc>
        <w:tc>
          <w:tcPr>
            <w:tcW w:w="1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(10)</w:t>
            </w:r>
          </w:p>
        </w:tc>
      </w:tr>
      <w:tr>
        <w:trPr>
          <w:trHeight w:val="179"/>
        </w:trPr>
        <w:tc>
          <w:tcPr>
            <w:tcW w:w="7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Deferred tax liabilities:</w:t>
            </w:r>
          </w:p>
        </w:tc>
        <w:tc>
          <w:tcPr>
            <w:tcW w:w="15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80" w:type="dxa"/>
            <w:vAlign w:val="bottom"/>
            <w:shd w:val="clear" w:color="auto" w:fill="CFF0FC"/>
          </w:tcPr>
          <w:p>
            <w:pPr>
              <w:spacing w:after="0"/>
              <w:rPr>
                <w:sz w:val="15"/>
                <w:szCs w:val="15"/>
                <w:color w:val="auto"/>
              </w:rPr>
            </w:pP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Goodwill</w:t>
            </w:r>
          </w:p>
        </w:tc>
        <w:tc>
          <w:tcPr>
            <w:tcW w:w="1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(337)</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3"/>
              <w:spacing w:after="0"/>
              <w:rPr>
                <w:sz w:val="20"/>
                <w:szCs w:val="20"/>
                <w:color w:val="auto"/>
              </w:rPr>
            </w:pPr>
            <w:r>
              <w:rPr>
                <w:rFonts w:ascii="Arial" w:cs="Arial" w:eastAsia="Arial" w:hAnsi="Arial"/>
                <w:sz w:val="16"/>
                <w:szCs w:val="16"/>
                <w:color w:val="auto"/>
              </w:rPr>
              <w:t>(311)</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Trade name</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(114)</w:t>
            </w:r>
          </w:p>
        </w:tc>
      </w:tr>
      <w:tr>
        <w:trPr>
          <w:trHeight w:val="188"/>
        </w:trPr>
        <w:tc>
          <w:tcPr>
            <w:tcW w:w="7260" w:type="dxa"/>
            <w:vAlign w:val="bottom"/>
          </w:tcPr>
          <w:p>
            <w:pPr>
              <w:ind w:left="200"/>
              <w:spacing w:after="0"/>
              <w:rPr>
                <w:sz w:val="20"/>
                <w:szCs w:val="20"/>
                <w:color w:val="auto"/>
              </w:rPr>
            </w:pPr>
            <w:r>
              <w:rPr>
                <w:rFonts w:ascii="Arial" w:cs="Arial" w:eastAsia="Arial" w:hAnsi="Arial"/>
                <w:sz w:val="16"/>
                <w:szCs w:val="16"/>
                <w:color w:val="auto"/>
              </w:rPr>
              <w:t>Property, plant and equipment</w:t>
            </w:r>
          </w:p>
        </w:tc>
        <w:tc>
          <w:tcPr>
            <w:tcW w:w="15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3"/>
              <w:spacing w:after="0"/>
              <w:rPr>
                <w:sz w:val="20"/>
                <w:szCs w:val="20"/>
                <w:color w:val="auto"/>
              </w:rPr>
            </w:pPr>
            <w:r>
              <w:rPr>
                <w:rFonts w:ascii="Arial" w:cs="Arial" w:eastAsia="Arial" w:hAnsi="Arial"/>
                <w:sz w:val="16"/>
                <w:szCs w:val="16"/>
                <w:color w:val="auto"/>
              </w:rPr>
              <w:t>(10)</w:t>
            </w:r>
          </w:p>
        </w:tc>
      </w:tr>
      <w:tr>
        <w:trPr>
          <w:trHeight w:val="188"/>
        </w:trPr>
        <w:tc>
          <w:tcPr>
            <w:tcW w:w="72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Post-retirement</w:t>
            </w:r>
          </w:p>
        </w:tc>
        <w:tc>
          <w:tcPr>
            <w:tcW w:w="154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1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80" w:type="dxa"/>
            <w:vAlign w:val="bottom"/>
            <w:shd w:val="clear" w:color="auto" w:fill="CFF0FC"/>
          </w:tcPr>
          <w:p>
            <w:pPr>
              <w:jc w:val="right"/>
              <w:ind w:right="3"/>
              <w:spacing w:after="0"/>
              <w:rPr>
                <w:sz w:val="20"/>
                <w:szCs w:val="20"/>
                <w:color w:val="auto"/>
              </w:rPr>
            </w:pPr>
            <w:r>
              <w:rPr>
                <w:rFonts w:ascii="Arial" w:cs="Arial" w:eastAsia="Arial" w:hAnsi="Arial"/>
                <w:sz w:val="16"/>
                <w:szCs w:val="16"/>
                <w:color w:val="auto"/>
              </w:rPr>
              <w:t>(9)</w:t>
            </w:r>
          </w:p>
        </w:tc>
      </w:tr>
      <w:tr>
        <w:trPr>
          <w:trHeight w:val="188"/>
        </w:trPr>
        <w:tc>
          <w:tcPr>
            <w:tcW w:w="72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w:t>
            </w:r>
          </w:p>
        </w:tc>
      </w:tr>
      <w:tr>
        <w:trPr>
          <w:trHeight w:val="179"/>
        </w:trPr>
        <w:tc>
          <w:tcPr>
            <w:tcW w:w="72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Deferred tax liabilities</w:t>
            </w:r>
          </w:p>
        </w:tc>
        <w:tc>
          <w:tcPr>
            <w:tcW w:w="154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(505)</w:t>
            </w:r>
          </w:p>
        </w:tc>
        <w:tc>
          <w:tcPr>
            <w:tcW w:w="16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780" w:type="dxa"/>
            <w:vAlign w:val="bottom"/>
            <w:tcBorders>
              <w:bottom w:val="single" w:sz="8" w:color="auto"/>
            </w:tcBorders>
            <w:shd w:val="clear" w:color="auto" w:fill="CFF0FC"/>
          </w:tcPr>
          <w:p>
            <w:pPr>
              <w:jc w:val="right"/>
              <w:ind w:right="3"/>
              <w:spacing w:after="0" w:line="180" w:lineRule="exact"/>
              <w:rPr>
                <w:sz w:val="20"/>
                <w:szCs w:val="20"/>
                <w:color w:val="auto"/>
              </w:rPr>
            </w:pPr>
            <w:r>
              <w:rPr>
                <w:rFonts w:ascii="Arial" w:cs="Arial" w:eastAsia="Arial" w:hAnsi="Arial"/>
                <w:sz w:val="16"/>
                <w:szCs w:val="16"/>
                <w:color w:val="auto"/>
              </w:rPr>
              <w:t>(446)</w:t>
            </w:r>
          </w:p>
        </w:tc>
      </w:tr>
      <w:tr>
        <w:trPr>
          <w:trHeight w:val="179"/>
        </w:trPr>
        <w:tc>
          <w:tcPr>
            <w:tcW w:w="7260" w:type="dxa"/>
            <w:vAlign w:val="bottom"/>
          </w:tcPr>
          <w:p>
            <w:pPr>
              <w:spacing w:after="0" w:line="180" w:lineRule="exact"/>
              <w:rPr>
                <w:sz w:val="20"/>
                <w:szCs w:val="20"/>
                <w:color w:val="auto"/>
              </w:rPr>
            </w:pPr>
            <w:r>
              <w:rPr>
                <w:rFonts w:ascii="Arial" w:cs="Arial" w:eastAsia="Arial" w:hAnsi="Arial"/>
                <w:sz w:val="16"/>
                <w:szCs w:val="16"/>
                <w:color w:val="auto"/>
              </w:rPr>
              <w:t>Net Deferred tax liability</w:t>
            </w:r>
          </w:p>
        </w:tc>
        <w:tc>
          <w:tcPr>
            <w:tcW w:w="1540" w:type="dxa"/>
            <w:vAlign w:val="bottom"/>
            <w:tcBorders>
              <w:bottom w:val="single" w:sz="8" w:color="auto"/>
            </w:tcBorders>
          </w:tcPr>
          <w:p>
            <w:pPr>
              <w:jc w:val="right"/>
              <w:ind w:right="1392"/>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(383)</w:t>
            </w:r>
          </w:p>
        </w:tc>
        <w:tc>
          <w:tcPr>
            <w:tcW w:w="160" w:type="dxa"/>
            <w:vAlign w:val="bottom"/>
          </w:tcPr>
          <w:p>
            <w:pPr>
              <w:spacing w:after="0"/>
              <w:rPr>
                <w:sz w:val="15"/>
                <w:szCs w:val="15"/>
                <w:color w:val="auto"/>
              </w:rPr>
            </w:pPr>
          </w:p>
        </w:tc>
        <w:tc>
          <w:tcPr>
            <w:tcW w:w="240" w:type="dxa"/>
            <w:vAlign w:val="bottom"/>
            <w:tcBorders>
              <w:bottom w:val="single" w:sz="8" w:color="auto"/>
            </w:tcBorders>
          </w:tcPr>
          <w:p>
            <w:pPr>
              <w:jc w:val="right"/>
              <w:ind w:right="62"/>
              <w:spacing w:after="0" w:line="180" w:lineRule="exact"/>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3"/>
              <w:spacing w:after="0" w:line="180" w:lineRule="exact"/>
              <w:rPr>
                <w:sz w:val="20"/>
                <w:szCs w:val="20"/>
                <w:color w:val="auto"/>
              </w:rPr>
            </w:pPr>
            <w:r>
              <w:rPr>
                <w:rFonts w:ascii="Arial" w:cs="Arial" w:eastAsia="Arial" w:hAnsi="Arial"/>
                <w:sz w:val="16"/>
                <w:szCs w:val="16"/>
                <w:color w:val="auto"/>
              </w:rPr>
              <w:t>(327)</w:t>
            </w:r>
          </w:p>
        </w:tc>
      </w:tr>
      <w:tr>
        <w:trPr>
          <w:trHeight w:val="20"/>
        </w:trPr>
        <w:tc>
          <w:tcPr>
            <w:tcW w:w="72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40" w:firstLine="531"/>
        <w:spacing w:after="0" w:line="237" w:lineRule="auto"/>
        <w:rPr>
          <w:sz w:val="20"/>
          <w:szCs w:val="20"/>
          <w:color w:val="auto"/>
        </w:rPr>
      </w:pPr>
      <w:r>
        <w:rPr>
          <w:rFonts w:ascii="Arial" w:cs="Arial" w:eastAsia="Arial" w:hAnsi="Arial"/>
          <w:sz w:val="16"/>
          <w:szCs w:val="16"/>
          <w:color w:val="auto"/>
        </w:rPr>
        <w:t>The estimated net operating loss carryforwards as of December 31, 2019 relate solely to U.S. state net operating loss carryforwards. Substantially all state operating loss carryforwards will not expire until 2028-2031.</w:t>
      </w:r>
    </w:p>
    <w:p>
      <w:pPr>
        <w:spacing w:after="0" w:line="129" w:lineRule="exact"/>
        <w:rPr>
          <w:sz w:val="20"/>
          <w:szCs w:val="20"/>
          <w:color w:val="auto"/>
        </w:rPr>
      </w:pPr>
    </w:p>
    <w:p>
      <w:pPr>
        <w:ind w:right="200" w:firstLine="531"/>
        <w:spacing w:after="0" w:line="234" w:lineRule="auto"/>
        <w:rPr>
          <w:sz w:val="20"/>
          <w:szCs w:val="20"/>
          <w:color w:val="auto"/>
        </w:rPr>
      </w:pPr>
      <w:r>
        <w:rPr>
          <w:rFonts w:ascii="Arial" w:cs="Arial" w:eastAsia="Arial" w:hAnsi="Arial"/>
          <w:sz w:val="16"/>
          <w:szCs w:val="16"/>
          <w:color w:val="auto"/>
        </w:rPr>
        <w:t>Management has determined, based on an evaluation of available objective and subjective evidence, that it is more likely than not that certain foreign deferred tax assets and an anticipated capital loss carryforward will not be realized; therefore these deferred tax assets are offset with a valuation allowance of $10 million as of December 31, 2019 and 2018.</w:t>
      </w:r>
    </w:p>
    <w:p>
      <w:pPr>
        <w:spacing w:after="0" w:line="131"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In accordance with the FASB’s authoritative accounting guidance on accounting for income taxes, 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the Company recognizes the largest amount of tax benefit that is greater than 50% likely to be realized upon ultimate settlement with the related tax authority. Based upon this process, the Company has recognized a liability for uncertain tax benefits as of December 31, 2019 and 2018. Management does not anticipate any material changes in the balance in 2020. The change in the liability for unrecognized tax benefits are as follows (dollars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2017</w:t>
            </w:r>
          </w:p>
        </w:tc>
        <w:tc>
          <w:tcPr>
            <w:tcW w:w="502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Increases in unrecognized tax benefits as a result of current year activity</w:t>
            </w:r>
          </w:p>
        </w:tc>
        <w:tc>
          <w:tcPr>
            <w:tcW w:w="4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December 31, 2018</w:t>
            </w:r>
          </w:p>
        </w:tc>
        <w:tc>
          <w:tcPr>
            <w:tcW w:w="5020" w:type="dxa"/>
            <w:vAlign w:val="bottom"/>
            <w:gridSpan w:val="2"/>
            <w:shd w:val="clear" w:color="auto" w:fill="CFF0FC"/>
          </w:tcPr>
          <w:p>
            <w:pPr>
              <w:jc w:val="right"/>
              <w:ind w:right="8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Increases in unrecognized tax benefits as a result of current year activity</w:t>
            </w:r>
          </w:p>
        </w:tc>
        <w:tc>
          <w:tcPr>
            <w:tcW w:w="4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5320" w:type="dxa"/>
            <w:vAlign w:val="bottom"/>
            <w:tcBorders>
              <w:bottom w:val="single" w:sz="8" w:color="CFF0FC"/>
            </w:tcBorders>
          </w:tcPr>
          <w:p>
            <w:pPr>
              <w:spacing w:after="0"/>
              <w:rPr>
                <w:sz w:val="16"/>
                <w:szCs w:val="16"/>
                <w:color w:val="auto"/>
              </w:rPr>
            </w:pPr>
          </w:p>
        </w:tc>
        <w:tc>
          <w:tcPr>
            <w:tcW w:w="410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3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December 31, 2019</w:t>
            </w:r>
          </w:p>
        </w:tc>
        <w:tc>
          <w:tcPr>
            <w:tcW w:w="5020" w:type="dxa"/>
            <w:vAlign w:val="bottom"/>
            <w:gridSpan w:val="2"/>
            <w:shd w:val="clear" w:color="auto" w:fill="CFF0FC"/>
          </w:tcPr>
          <w:p>
            <w:pPr>
              <w:jc w:val="right"/>
              <w:ind w:right="840"/>
              <w:spacing w:after="0" w:line="180" w:lineRule="exact"/>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tcPr>
          <w:p>
            <w:pPr>
              <w:spacing w:after="0" w:line="20" w:lineRule="exact"/>
              <w:rPr>
                <w:sz w:val="1"/>
                <w:szCs w:val="1"/>
                <w:color w:val="auto"/>
              </w:rPr>
            </w:pPr>
          </w:p>
        </w:tc>
        <w:tc>
          <w:tcPr>
            <w:tcW w:w="4100" w:type="dxa"/>
            <w:vAlign w:val="bottom"/>
            <w:tcBorders>
              <w:top w:val="single" w:sz="8" w:color="CFF0FC"/>
              <w:bottom w:val="single" w:sz="8" w:color="CFF0FC"/>
            </w:tcBorders>
            <w:vMerge w:val="restart"/>
          </w:tcPr>
          <w:p>
            <w:pPr>
              <w:jc w:val="right"/>
              <w:ind w:right="3542"/>
              <w:spacing w:after="0"/>
              <w:rPr>
                <w:sz w:val="20"/>
                <w:szCs w:val="20"/>
                <w:color w:val="auto"/>
              </w:rPr>
            </w:pPr>
            <w:r>
              <w:rPr>
                <w:rFonts w:ascii="Arial" w:cs="Arial" w:eastAsia="Arial" w:hAnsi="Arial"/>
                <w:sz w:val="16"/>
                <w:szCs w:val="16"/>
                <w:color w:val="auto"/>
              </w:rPr>
              <w:t>88</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32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320" w:type="dxa"/>
            <w:vAlign w:val="bottom"/>
            <w:tcBorders>
              <w:bottom w:val="single" w:sz="8" w:color="9A9A9A"/>
            </w:tcBorders>
          </w:tcPr>
          <w:p>
            <w:pPr>
              <w:spacing w:after="0"/>
              <w:rPr>
                <w:sz w:val="7"/>
                <w:szCs w:val="7"/>
                <w:color w:val="auto"/>
              </w:rPr>
            </w:pPr>
          </w:p>
        </w:tc>
        <w:tc>
          <w:tcPr>
            <w:tcW w:w="4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right="660" w:firstLine="531"/>
        <w:spacing w:after="0" w:line="234" w:lineRule="auto"/>
        <w:rPr>
          <w:sz w:val="20"/>
          <w:szCs w:val="20"/>
          <w:color w:val="auto"/>
        </w:rPr>
      </w:pPr>
      <w:r>
        <w:rPr>
          <w:rFonts w:ascii="Arial" w:cs="Arial" w:eastAsia="Arial" w:hAnsi="Arial"/>
          <w:sz w:val="16"/>
          <w:szCs w:val="16"/>
          <w:color w:val="auto"/>
        </w:rPr>
        <w:t>For the years ended December 31, 2019, 2018 and 2017, the Company recognized no interest and penalties in the Consolidated Statements of Comprehensive Income because either no uncertain tax positions were identified or the penalties and interest anticipated were not material in all the periods presented. The Company follows a policy of recording any interest or penalties in Income tax expense.</w:t>
      </w:r>
    </w:p>
    <w:p>
      <w:pPr>
        <w:spacing w:after="0" w:line="131" w:lineRule="exact"/>
        <w:rPr>
          <w:sz w:val="20"/>
          <w:szCs w:val="20"/>
          <w:color w:val="auto"/>
        </w:rPr>
      </w:pPr>
    </w:p>
    <w:p>
      <w:pPr>
        <w:ind w:right="100" w:firstLine="531"/>
        <w:spacing w:after="0" w:line="233" w:lineRule="auto"/>
        <w:rPr>
          <w:sz w:val="20"/>
          <w:szCs w:val="20"/>
          <w:color w:val="auto"/>
        </w:rPr>
      </w:pPr>
      <w:r>
        <w:rPr>
          <w:rFonts w:ascii="Arial" w:cs="Arial" w:eastAsia="Arial" w:hAnsi="Arial"/>
          <w:sz w:val="16"/>
          <w:szCs w:val="16"/>
          <w:color w:val="auto"/>
        </w:rPr>
        <w:t>Management does not anticipate any significant changes in unrecognized tax benefits in 2020. There was $3 million and $2 million as of December 31, 2019 and 2018, respectively, of unrecognized tax benefits that, if recognized, would affect the annual effective tax rate. All of the Company's tax returns, once filed, will remain subject to examination by the various taxing authorities for the duration of the applicable statute of limitations (generally three years from the earlier of the date of filing or the due date of the return).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ACCUMULATED OTHER COMPREHENSIVE LOSS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changes in components of AOCL consisted of the following (dollars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Tax (Expense)</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jc w:val="right"/>
              <w:ind w:right="143"/>
              <w:spacing w:after="0"/>
              <w:rPr>
                <w:sz w:val="20"/>
                <w:szCs w:val="20"/>
                <w:color w:val="auto"/>
              </w:rPr>
            </w:pPr>
            <w:r>
              <w:rPr>
                <w:rFonts w:ascii="Arial" w:cs="Arial" w:eastAsia="Arial" w:hAnsi="Arial"/>
                <w:sz w:val="13"/>
                <w:szCs w:val="13"/>
                <w:b w:val="1"/>
                <w:bCs w:val="1"/>
                <w:color w:val="auto"/>
                <w:w w:val="95"/>
              </w:rPr>
              <w:t>Reclassification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3"/>
        </w:trPr>
        <w:tc>
          <w:tcPr>
            <w:tcW w:w="454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Before Tax</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Benefit</w:t>
            </w:r>
          </w:p>
        </w:tc>
        <w:tc>
          <w:tcPr>
            <w:tcW w:w="3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420" w:type="dxa"/>
            <w:vAlign w:val="bottom"/>
            <w:tcBorders>
              <w:bottom w:val="single" w:sz="8" w:color="auto"/>
            </w:tcBorders>
            <w:gridSpan w:val="2"/>
          </w:tcPr>
          <w:p>
            <w:pPr>
              <w:jc w:val="right"/>
              <w:ind w:right="103"/>
              <w:spacing w:after="0"/>
              <w:rPr>
                <w:sz w:val="20"/>
                <w:szCs w:val="20"/>
                <w:color w:val="auto"/>
              </w:rPr>
            </w:pPr>
            <w:r>
              <w:rPr>
                <w:rFonts w:ascii="Arial" w:cs="Arial" w:eastAsia="Arial" w:hAnsi="Arial"/>
                <w:sz w:val="13"/>
                <w:szCs w:val="13"/>
                <w:b w:val="1"/>
                <w:bCs w:val="1"/>
                <w:color w:val="auto"/>
                <w:w w:val="99"/>
              </w:rPr>
              <w:t>stranded tax effects</w:t>
            </w:r>
          </w:p>
        </w:tc>
        <w:tc>
          <w:tcPr>
            <w:tcW w:w="1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After Tax</w:t>
            </w:r>
          </w:p>
        </w:tc>
      </w:tr>
      <w:tr>
        <w:trPr>
          <w:trHeight w:val="179"/>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2016</w:t>
            </w:r>
          </w:p>
        </w:tc>
        <w:tc>
          <w:tcPr>
            <w:tcW w:w="1780" w:type="dxa"/>
            <w:vAlign w:val="bottom"/>
            <w:gridSpan w:val="2"/>
            <w:shd w:val="clear" w:color="auto" w:fill="CFF0FC"/>
          </w:tcPr>
          <w:p>
            <w:pPr>
              <w:jc w:val="right"/>
              <w:ind w:right="871"/>
              <w:spacing w:after="0" w:line="180"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(20)</w:t>
            </w:r>
          </w:p>
        </w:tc>
        <w:tc>
          <w:tcPr>
            <w:tcW w:w="1220" w:type="dxa"/>
            <w:vAlign w:val="bottom"/>
            <w:gridSpan w:val="2"/>
            <w:shd w:val="clear" w:color="auto" w:fill="CFF0FC"/>
          </w:tcPr>
          <w:p>
            <w:pPr>
              <w:jc w:val="right"/>
              <w:ind w:right="932"/>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1"/>
              </w:rPr>
              <w:t>(43)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87"/>
              <w:spacing w:after="0" w:line="180"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(63)</w:t>
            </w:r>
          </w:p>
        </w:tc>
      </w:tr>
      <w:tr>
        <w:trPr>
          <w:trHeight w:val="188"/>
        </w:trPr>
        <w:tc>
          <w:tcPr>
            <w:tcW w:w="454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15</w:t>
            </w: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and OPEB liability adjustment</w:t>
            </w:r>
          </w:p>
        </w:tc>
        <w:tc>
          <w:tcPr>
            <w:tcW w:w="7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4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26</w:t>
            </w:r>
          </w:p>
        </w:tc>
      </w:tr>
      <w:tr>
        <w:trPr>
          <w:trHeight w:val="188"/>
        </w:trPr>
        <w:tc>
          <w:tcPr>
            <w:tcW w:w="45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Available-for-sale securities</w:t>
            </w:r>
          </w:p>
        </w:tc>
        <w:tc>
          <w:tcPr>
            <w:tcW w:w="76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14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7</w:t>
            </w:r>
          </w:p>
        </w:tc>
      </w:tr>
      <w:tr>
        <w:trPr>
          <w:trHeight w:val="179"/>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income (loss)</w:t>
            </w:r>
          </w:p>
        </w:tc>
        <w:tc>
          <w:tcPr>
            <w:tcW w:w="1780" w:type="dxa"/>
            <w:vAlign w:val="bottom"/>
            <w:gridSpan w:val="2"/>
            <w:shd w:val="clear" w:color="auto" w:fill="CFF0FC"/>
          </w:tcPr>
          <w:p>
            <w:pPr>
              <w:jc w:val="right"/>
              <w:ind w:right="871"/>
              <w:spacing w:after="0" w:line="180"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60</w:t>
            </w:r>
          </w:p>
        </w:tc>
        <w:tc>
          <w:tcPr>
            <w:tcW w:w="1220" w:type="dxa"/>
            <w:vAlign w:val="bottom"/>
            <w:gridSpan w:val="2"/>
            <w:shd w:val="clear" w:color="auto" w:fill="CFF0FC"/>
          </w:tcPr>
          <w:p>
            <w:pPr>
              <w:jc w:val="right"/>
              <w:ind w:right="932"/>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1"/>
              </w:rPr>
              <w:t>(12)</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87"/>
              <w:spacing w:after="0" w:line="180"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48</w:t>
            </w:r>
          </w:p>
        </w:tc>
      </w:tr>
      <w:tr>
        <w:trPr>
          <w:trHeight w:val="20"/>
        </w:trPr>
        <w:tc>
          <w:tcPr>
            <w:tcW w:w="4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79"/>
        </w:trPr>
        <w:tc>
          <w:tcPr>
            <w:tcW w:w="4540" w:type="dxa"/>
            <w:vAlign w:val="bottom"/>
          </w:tcPr>
          <w:p>
            <w:pPr>
              <w:spacing w:after="0" w:line="180" w:lineRule="exact"/>
              <w:rPr>
                <w:sz w:val="20"/>
                <w:szCs w:val="20"/>
                <w:color w:val="auto"/>
              </w:rPr>
            </w:pPr>
            <w:r>
              <w:rPr>
                <w:rFonts w:ascii="Arial" w:cs="Arial" w:eastAsia="Arial" w:hAnsi="Arial"/>
                <w:sz w:val="16"/>
                <w:szCs w:val="16"/>
                <w:color w:val="auto"/>
              </w:rPr>
              <w:t>Balance at December 31, 2017</w:t>
            </w:r>
          </w:p>
        </w:tc>
        <w:tc>
          <w:tcPr>
            <w:tcW w:w="1780" w:type="dxa"/>
            <w:vAlign w:val="bottom"/>
            <w:gridSpan w:val="2"/>
          </w:tcPr>
          <w:p>
            <w:pPr>
              <w:jc w:val="right"/>
              <w:ind w:right="871"/>
              <w:spacing w:after="0" w:line="180" w:lineRule="exact"/>
              <w:rPr>
                <w:sz w:val="20"/>
                <w:szCs w:val="20"/>
                <w:color w:val="auto"/>
              </w:rPr>
            </w:pPr>
            <w:r>
              <w:rPr>
                <w:rFonts w:ascii="Arial" w:cs="Arial" w:eastAsia="Arial" w:hAnsi="Arial"/>
                <w:sz w:val="16"/>
                <w:szCs w:val="16"/>
                <w:color w:val="auto"/>
              </w:rPr>
              <w:t>$</w:t>
            </w:r>
          </w:p>
        </w:tc>
        <w:tc>
          <w:tcPr>
            <w:tcW w:w="400" w:type="dxa"/>
            <w:vAlign w:val="bottom"/>
          </w:tcPr>
          <w:p>
            <w:pPr>
              <w:jc w:val="right"/>
              <w:ind w:right="42"/>
              <w:spacing w:after="0" w:line="180" w:lineRule="exact"/>
              <w:rPr>
                <w:sz w:val="20"/>
                <w:szCs w:val="20"/>
                <w:color w:val="auto"/>
              </w:rPr>
            </w:pPr>
            <w:r>
              <w:rPr>
                <w:rFonts w:ascii="Arial" w:cs="Arial" w:eastAsia="Arial" w:hAnsi="Arial"/>
                <w:sz w:val="16"/>
                <w:szCs w:val="16"/>
                <w:color w:val="auto"/>
              </w:rPr>
              <w:t>40</w:t>
            </w:r>
          </w:p>
        </w:tc>
        <w:tc>
          <w:tcPr>
            <w:tcW w:w="1220" w:type="dxa"/>
            <w:vAlign w:val="bottom"/>
            <w:gridSpan w:val="2"/>
          </w:tcPr>
          <w:p>
            <w:pPr>
              <w:jc w:val="right"/>
              <w:ind w:right="932"/>
              <w:spacing w:after="0" w:line="180" w:lineRule="exact"/>
              <w:rPr>
                <w:sz w:val="20"/>
                <w:szCs w:val="20"/>
                <w:color w:val="auto"/>
              </w:rPr>
            </w:pPr>
            <w:r>
              <w:rPr>
                <w:rFonts w:ascii="Arial" w:cs="Arial" w:eastAsia="Arial" w:hAnsi="Arial"/>
                <w:sz w:val="16"/>
                <w:szCs w:val="16"/>
                <w:color w:val="auto"/>
              </w:rPr>
              <w:t>$</w:t>
            </w:r>
          </w:p>
        </w:tc>
        <w:tc>
          <w:tcPr>
            <w:tcW w:w="340" w:type="dxa"/>
            <w:vAlign w:val="bottom"/>
          </w:tcPr>
          <w:p>
            <w:pPr>
              <w:jc w:val="right"/>
              <w:spacing w:after="0" w:line="180" w:lineRule="exact"/>
              <w:rPr>
                <w:sz w:val="20"/>
                <w:szCs w:val="20"/>
                <w:color w:val="auto"/>
              </w:rPr>
            </w:pPr>
            <w:r>
              <w:rPr>
                <w:rFonts w:ascii="Arial" w:cs="Arial" w:eastAsia="Arial" w:hAnsi="Arial"/>
                <w:sz w:val="16"/>
                <w:szCs w:val="16"/>
                <w:color w:val="auto"/>
                <w:w w:val="91"/>
              </w:rPr>
              <w:t>(55)</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7"/>
              <w:spacing w:after="0" w:line="18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auto"/>
              </w:rPr>
              <w:t>(15)</w:t>
            </w: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Foreign currency translation</w:t>
            </w:r>
          </w:p>
        </w:tc>
        <w:tc>
          <w:tcPr>
            <w:tcW w:w="7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r>
      <w:tr>
        <w:trPr>
          <w:trHeight w:val="188"/>
        </w:trPr>
        <w:tc>
          <w:tcPr>
            <w:tcW w:w="4540" w:type="dxa"/>
            <w:vAlign w:val="bottom"/>
          </w:tcPr>
          <w:p>
            <w:pPr>
              <w:ind w:left="200"/>
              <w:spacing w:after="0"/>
              <w:rPr>
                <w:sz w:val="20"/>
                <w:szCs w:val="20"/>
                <w:color w:val="auto"/>
              </w:rPr>
            </w:pPr>
            <w:r>
              <w:rPr>
                <w:rFonts w:ascii="Arial" w:cs="Arial" w:eastAsia="Arial" w:hAnsi="Arial"/>
                <w:sz w:val="16"/>
                <w:szCs w:val="16"/>
                <w:color w:val="auto"/>
              </w:rPr>
              <w:t>Pension and OPEB liability adjustment</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w:t>
            </w: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Available-for-sale securities</w:t>
            </w:r>
          </w:p>
        </w:tc>
        <w:tc>
          <w:tcPr>
            <w:tcW w:w="760" w:type="dxa"/>
            <w:vAlign w:val="bottom"/>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r>
      <w:tr>
        <w:trPr>
          <w:trHeight w:val="179"/>
        </w:trPr>
        <w:tc>
          <w:tcPr>
            <w:tcW w:w="4540" w:type="dxa"/>
            <w:vAlign w:val="bottom"/>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1780" w:type="dxa"/>
            <w:vAlign w:val="bottom"/>
            <w:gridSpan w:val="2"/>
          </w:tcPr>
          <w:p>
            <w:pPr>
              <w:jc w:val="right"/>
              <w:ind w:right="871"/>
              <w:spacing w:after="0" w:line="180"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0" w:lineRule="exact"/>
              <w:rPr>
                <w:sz w:val="20"/>
                <w:szCs w:val="20"/>
                <w:color w:val="auto"/>
              </w:rPr>
            </w:pPr>
            <w:r>
              <w:rPr>
                <w:rFonts w:ascii="Arial" w:cs="Arial" w:eastAsia="Arial" w:hAnsi="Arial"/>
                <w:sz w:val="16"/>
                <w:szCs w:val="16"/>
                <w:color w:val="auto"/>
              </w:rPr>
              <w:t>(17)</w:t>
            </w:r>
          </w:p>
        </w:tc>
        <w:tc>
          <w:tcPr>
            <w:tcW w:w="1220" w:type="dxa"/>
            <w:vAlign w:val="bottom"/>
            <w:gridSpan w:val="2"/>
          </w:tcPr>
          <w:p>
            <w:pPr>
              <w:jc w:val="right"/>
              <w:ind w:right="932"/>
              <w:spacing w:after="0" w:line="180"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2"/>
              <w:spacing w:after="0" w:line="180" w:lineRule="exact"/>
              <w:rPr>
                <w:sz w:val="20"/>
                <w:szCs w:val="20"/>
                <w:color w:val="auto"/>
              </w:rPr>
            </w:pPr>
            <w:r>
              <w:rPr>
                <w:rFonts w:ascii="Arial" w:cs="Arial" w:eastAsia="Arial" w:hAnsi="Arial"/>
                <w:sz w:val="16"/>
                <w:szCs w:val="16"/>
                <w:color w:val="auto"/>
              </w:rPr>
              <w:t>2</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7"/>
              <w:spacing w:after="0" w:line="180"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0" w:lineRule="exact"/>
              <w:rPr>
                <w:sz w:val="20"/>
                <w:szCs w:val="20"/>
                <w:color w:val="auto"/>
              </w:rPr>
            </w:pPr>
            <w:r>
              <w:rPr>
                <w:rFonts w:ascii="Arial" w:cs="Arial" w:eastAsia="Arial" w:hAnsi="Arial"/>
                <w:sz w:val="16"/>
                <w:szCs w:val="16"/>
                <w:color w:val="auto"/>
              </w:rPr>
              <w:t>(15)</w:t>
            </w:r>
          </w:p>
        </w:tc>
      </w:tr>
      <w:tr>
        <w:trPr>
          <w:trHeight w:val="20"/>
        </w:trPr>
        <w:tc>
          <w:tcPr>
            <w:tcW w:w="454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179"/>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Balance at December 31, 2018</w:t>
            </w:r>
          </w:p>
        </w:tc>
        <w:tc>
          <w:tcPr>
            <w:tcW w:w="1780" w:type="dxa"/>
            <w:vAlign w:val="bottom"/>
            <w:gridSpan w:val="2"/>
            <w:shd w:val="clear" w:color="auto" w:fill="CFF0FC"/>
          </w:tcPr>
          <w:p>
            <w:pPr>
              <w:jc w:val="right"/>
              <w:ind w:right="871"/>
              <w:spacing w:after="0" w:line="180" w:lineRule="exact"/>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23</w:t>
            </w:r>
          </w:p>
        </w:tc>
        <w:tc>
          <w:tcPr>
            <w:tcW w:w="1220" w:type="dxa"/>
            <w:vAlign w:val="bottom"/>
            <w:gridSpan w:val="2"/>
            <w:shd w:val="clear" w:color="auto" w:fill="CFF0FC"/>
          </w:tcPr>
          <w:p>
            <w:pPr>
              <w:jc w:val="right"/>
              <w:ind w:right="932"/>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91"/>
              </w:rPr>
              <w:t>(53)</w:t>
            </w: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87"/>
              <w:spacing w:after="0" w:line="180"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(30)</w:t>
            </w:r>
          </w:p>
        </w:tc>
      </w:tr>
      <w:tr>
        <w:trPr>
          <w:trHeight w:val="188"/>
        </w:trPr>
        <w:tc>
          <w:tcPr>
            <w:tcW w:w="4540" w:type="dxa"/>
            <w:vAlign w:val="bottom"/>
          </w:tcPr>
          <w:p>
            <w:pPr>
              <w:ind w:left="200"/>
              <w:spacing w:after="0"/>
              <w:rPr>
                <w:sz w:val="20"/>
                <w:szCs w:val="20"/>
                <w:color w:val="auto"/>
              </w:rPr>
            </w:pPr>
            <w:r>
              <w:rPr>
                <w:rFonts w:ascii="Arial" w:cs="Arial" w:eastAsia="Arial" w:hAnsi="Arial"/>
                <w:sz w:val="16"/>
                <w:szCs w:val="16"/>
                <w:color w:val="auto"/>
              </w:rPr>
              <w:t>Foreign currency translation</w:t>
            </w:r>
          </w:p>
        </w:tc>
        <w:tc>
          <w:tcPr>
            <w:tcW w:w="7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16"/>
                <w:szCs w:val="16"/>
                <w:color w:val="auto"/>
              </w:rPr>
            </w:pP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188"/>
        </w:trPr>
        <w:tc>
          <w:tcPr>
            <w:tcW w:w="45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and OPEB liability adjustment</w:t>
            </w:r>
          </w:p>
        </w:tc>
        <w:tc>
          <w:tcPr>
            <w:tcW w:w="7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3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9</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w:t>
            </w:r>
          </w:p>
        </w:tc>
      </w:tr>
      <w:tr>
        <w:trPr>
          <w:trHeight w:val="188"/>
        </w:trPr>
        <w:tc>
          <w:tcPr>
            <w:tcW w:w="45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Available-for-sale securities and interest rate swaps</w:t>
            </w:r>
          </w:p>
        </w:tc>
        <w:tc>
          <w:tcPr>
            <w:tcW w:w="760" w:type="dxa"/>
            <w:vAlign w:val="bottom"/>
            <w:tcBorders>
              <w:bottom w:val="single" w:sz="8" w:color="CFF0FC"/>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40" w:type="dxa"/>
            <w:vAlign w:val="bottom"/>
            <w:tcBorders>
              <w:bottom w:val="single" w:sz="8" w:color="CFF0FC"/>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tcBorders>
              <w:bottom w:val="single" w:sz="8" w:color="CFF0F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r>
      <w:tr>
        <w:trPr>
          <w:trHeight w:val="179"/>
        </w:trPr>
        <w:tc>
          <w:tcPr>
            <w:tcW w:w="45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760" w:type="dxa"/>
            <w:vAlign w:val="bottom"/>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(38)</w:t>
            </w:r>
          </w:p>
        </w:tc>
        <w:tc>
          <w:tcPr>
            <w:tcW w:w="140" w:type="dxa"/>
            <w:vAlign w:val="bottom"/>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ind w:right="9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8</w:t>
            </w:r>
          </w:p>
        </w:tc>
        <w:tc>
          <w:tcPr>
            <w:tcW w:w="16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(22)</w:t>
            </w:r>
          </w:p>
        </w:tc>
      </w:tr>
      <w:tr>
        <w:trPr>
          <w:trHeight w:val="199"/>
        </w:trPr>
        <w:tc>
          <w:tcPr>
            <w:tcW w:w="454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760" w:type="dxa"/>
            <w:vAlign w:val="bottom"/>
          </w:tcPr>
          <w:p>
            <w:pPr>
              <w:spacing w:after="0"/>
              <w:rPr>
                <w:sz w:val="17"/>
                <w:szCs w:val="17"/>
                <w:color w:val="auto"/>
              </w:rPr>
            </w:pPr>
          </w:p>
        </w:tc>
        <w:tc>
          <w:tcPr>
            <w:tcW w:w="1020" w:type="dxa"/>
            <w:vAlign w:val="bottom"/>
          </w:tcPr>
          <w:p>
            <w:pPr>
              <w:jc w:val="right"/>
              <w:ind w:right="871"/>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7"/>
                <w:szCs w:val="17"/>
                <w:color w:val="auto"/>
              </w:rPr>
            </w:pPr>
          </w:p>
        </w:tc>
        <w:tc>
          <w:tcPr>
            <w:tcW w:w="1080" w:type="dxa"/>
            <w:vAlign w:val="bottom"/>
          </w:tcPr>
          <w:p>
            <w:pPr>
              <w:jc w:val="right"/>
              <w:ind w:right="9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w w:val="91"/>
              </w:rPr>
              <w:t>(45)</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Pr>
          <w:p>
            <w:pPr>
              <w:jc w:val="right"/>
              <w:ind w:right="43"/>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(52)</w:t>
            </w:r>
          </w:p>
        </w:tc>
      </w:tr>
    </w:tbl>
    <w:p>
      <w:pPr>
        <w:spacing w:after="0" w:line="15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The following table shows the location in the Consolidated Statements of Comprehensive Income affected by reclassifications from AOCL (dollars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For the year ended December 31, 2017</w:t>
            </w:r>
          </w:p>
        </w:tc>
      </w:tr>
      <w:tr>
        <w:trPr>
          <w:trHeight w:val="132"/>
        </w:trPr>
        <w:tc>
          <w:tcPr>
            <w:tcW w:w="4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Affected line item</w:t>
            </w:r>
          </w:p>
        </w:tc>
      </w:tr>
      <w:tr>
        <w:trPr>
          <w:trHeight w:val="141"/>
        </w:trPr>
        <w:tc>
          <w:tcPr>
            <w:tcW w:w="4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in the consolidated</w:t>
            </w:r>
          </w:p>
        </w:tc>
      </w:tr>
      <w:tr>
        <w:trPr>
          <w:trHeight w:val="141"/>
        </w:trPr>
        <w:tc>
          <w:tcPr>
            <w:tcW w:w="4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jc w:val="center"/>
              <w:ind w:left="417"/>
              <w:spacing w:after="0" w:line="141" w:lineRule="exact"/>
              <w:rPr>
                <w:sz w:val="20"/>
                <w:szCs w:val="20"/>
                <w:color w:val="auto"/>
              </w:rPr>
            </w:pPr>
            <w:r>
              <w:rPr>
                <w:rFonts w:ascii="Arial" w:cs="Arial" w:eastAsia="Arial" w:hAnsi="Arial"/>
                <w:sz w:val="13"/>
                <w:szCs w:val="13"/>
                <w:b w:val="1"/>
                <w:bCs w:val="1"/>
                <w:color w:val="auto"/>
                <w:w w:val="97"/>
              </w:rPr>
              <w:t>Amount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statements of</w:t>
            </w:r>
          </w:p>
        </w:tc>
      </w:tr>
      <w:tr>
        <w:trPr>
          <w:trHeight w:val="141"/>
        </w:trPr>
        <w:tc>
          <w:tcPr>
            <w:tcW w:w="4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640" w:type="dxa"/>
            <w:vAlign w:val="bottom"/>
          </w:tcPr>
          <w:p>
            <w:pPr>
              <w:jc w:val="center"/>
              <w:ind w:left="417"/>
              <w:spacing w:after="0" w:line="141" w:lineRule="exact"/>
              <w:rPr>
                <w:sz w:val="20"/>
                <w:szCs w:val="20"/>
                <w:color w:val="auto"/>
              </w:rPr>
            </w:pPr>
            <w:r>
              <w:rPr>
                <w:rFonts w:ascii="Arial" w:cs="Arial" w:eastAsia="Arial" w:hAnsi="Arial"/>
                <w:sz w:val="13"/>
                <w:szCs w:val="13"/>
                <w:b w:val="1"/>
                <w:bCs w:val="1"/>
                <w:color w:val="auto"/>
                <w:w w:val="96"/>
              </w:rPr>
              <w:t>reclassified from</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comprehensive</w:t>
            </w:r>
          </w:p>
        </w:tc>
      </w:tr>
      <w:tr>
        <w:trPr>
          <w:trHeight w:val="153"/>
        </w:trPr>
        <w:tc>
          <w:tcPr>
            <w:tcW w:w="4480" w:type="dxa"/>
            <w:vAlign w:val="bottom"/>
            <w:tcBorders>
              <w:bottom w:val="single" w:sz="8" w:color="CFF0FC"/>
            </w:tcBorders>
          </w:tcPr>
          <w:p>
            <w:pPr>
              <w:ind w:left="2160"/>
              <w:spacing w:after="0"/>
              <w:rPr>
                <w:sz w:val="20"/>
                <w:szCs w:val="20"/>
                <w:color w:val="auto"/>
              </w:rPr>
            </w:pPr>
            <w:r>
              <w:rPr>
                <w:rFonts w:ascii="Arial" w:cs="Arial" w:eastAsia="Arial" w:hAnsi="Arial"/>
                <w:sz w:val="13"/>
                <w:szCs w:val="13"/>
                <w:b w:val="1"/>
                <w:bCs w:val="1"/>
                <w:color w:val="auto"/>
              </w:rPr>
              <w:t>AOCL Components</w:t>
            </w:r>
          </w:p>
        </w:tc>
        <w:tc>
          <w:tcPr>
            <w:tcW w:w="120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center"/>
              <w:ind w:left="417"/>
              <w:spacing w:after="0"/>
              <w:rPr>
                <w:sz w:val="20"/>
                <w:szCs w:val="20"/>
                <w:color w:val="auto"/>
              </w:rPr>
            </w:pPr>
            <w:r>
              <w:rPr>
                <w:rFonts w:ascii="Arial" w:cs="Arial" w:eastAsia="Arial" w:hAnsi="Arial"/>
                <w:sz w:val="13"/>
                <w:szCs w:val="13"/>
                <w:b w:val="1"/>
                <w:bCs w:val="1"/>
                <w:color w:val="auto"/>
                <w:w w:val="97"/>
              </w:rPr>
              <w:t>AOCL</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r>
      <w:tr>
        <w:trPr>
          <w:trHeight w:val="179"/>
        </w:trPr>
        <w:tc>
          <w:tcPr>
            <w:tcW w:w="44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OPEB items:</w:t>
            </w:r>
          </w:p>
        </w:tc>
        <w:tc>
          <w:tcPr>
            <w:tcW w:w="120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rPr>
                <w:sz w:val="15"/>
                <w:szCs w:val="15"/>
                <w:color w:val="auto"/>
              </w:rPr>
            </w:pPr>
          </w:p>
        </w:tc>
      </w:tr>
      <w:tr>
        <w:trPr>
          <w:trHeight w:val="188"/>
        </w:trPr>
        <w:tc>
          <w:tcPr>
            <w:tcW w:w="4480" w:type="dxa"/>
            <w:vAlign w:val="bottom"/>
          </w:tcPr>
          <w:p>
            <w:pPr>
              <w:ind w:left="200"/>
              <w:spacing w:after="0"/>
              <w:rPr>
                <w:sz w:val="20"/>
                <w:szCs w:val="20"/>
                <w:color w:val="auto"/>
              </w:rPr>
            </w:pPr>
            <w:r>
              <w:rPr>
                <w:rFonts w:ascii="Arial" w:cs="Arial" w:eastAsia="Arial" w:hAnsi="Arial"/>
                <w:sz w:val="16"/>
                <w:szCs w:val="16"/>
                <w:color w:val="auto"/>
              </w:rPr>
              <w:t>Prior service credit</w:t>
            </w:r>
          </w:p>
        </w:tc>
        <w:tc>
          <w:tcPr>
            <w:tcW w:w="2840" w:type="dxa"/>
            <w:vAlign w:val="bottom"/>
            <w:gridSpan w:val="2"/>
          </w:tcPr>
          <w:p>
            <w:pPr>
              <w:jc w:val="center"/>
              <w:ind w:right="297"/>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44"/>
              <w:spacing w:after="0"/>
              <w:rPr>
                <w:sz w:val="20"/>
                <w:szCs w:val="20"/>
                <w:color w:val="auto"/>
              </w:rPr>
            </w:pPr>
            <w:r>
              <w:rPr>
                <w:rFonts w:ascii="Arial" w:cs="Arial" w:eastAsia="Arial" w:hAnsi="Arial"/>
                <w:sz w:val="16"/>
                <w:szCs w:val="16"/>
                <w:color w:val="auto"/>
              </w:rPr>
              <w:t>3</w:t>
            </w:r>
          </w:p>
        </w:tc>
        <w:tc>
          <w:tcPr>
            <w:tcW w:w="3520" w:type="dxa"/>
            <w:vAlign w:val="bottom"/>
            <w:gridSpan w:val="2"/>
          </w:tcPr>
          <w:p>
            <w:pPr>
              <w:ind w:left="180"/>
              <w:spacing w:after="0"/>
              <w:rPr>
                <w:sz w:val="20"/>
                <w:szCs w:val="20"/>
                <w:color w:val="auto"/>
              </w:rPr>
            </w:pPr>
            <w:r>
              <w:rPr>
                <w:rFonts w:ascii="Arial" w:cs="Arial" w:eastAsia="Arial" w:hAnsi="Arial"/>
                <w:sz w:val="16"/>
                <w:szCs w:val="16"/>
                <w:color w:val="auto"/>
              </w:rPr>
              <w:t>Other income (expense), net</w:t>
            </w:r>
          </w:p>
        </w:tc>
      </w:tr>
      <w:tr>
        <w:trPr>
          <w:trHeight w:val="188"/>
        </w:trPr>
        <w:tc>
          <w:tcPr>
            <w:tcW w:w="4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Actuarial gain</w:t>
            </w:r>
          </w:p>
        </w:tc>
        <w:tc>
          <w:tcPr>
            <w:tcW w:w="1200" w:type="dxa"/>
            <w:vAlign w:val="bottom"/>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1</w:t>
            </w:r>
          </w:p>
        </w:tc>
        <w:tc>
          <w:tcPr>
            <w:tcW w:w="35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Other income (expense), net</w:t>
            </w:r>
          </w:p>
        </w:tc>
      </w:tr>
      <w:tr>
        <w:trPr>
          <w:trHeight w:val="179"/>
        </w:trPr>
        <w:tc>
          <w:tcPr>
            <w:tcW w:w="4480" w:type="dxa"/>
            <w:vAlign w:val="bottom"/>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0" w:type="dxa"/>
            <w:vAlign w:val="bottom"/>
          </w:tcPr>
          <w:p>
            <w:pPr>
              <w:jc w:val="right"/>
              <w:ind w:right="44"/>
              <w:spacing w:after="0" w:line="180" w:lineRule="exact"/>
              <w:rPr>
                <w:sz w:val="20"/>
                <w:szCs w:val="20"/>
                <w:color w:val="auto"/>
              </w:rPr>
            </w:pPr>
            <w:r>
              <w:rPr>
                <w:rFonts w:ascii="Arial" w:cs="Arial" w:eastAsia="Arial" w:hAnsi="Arial"/>
                <w:sz w:val="16"/>
                <w:szCs w:val="16"/>
                <w:color w:val="auto"/>
              </w:rPr>
              <w:t>4</w:t>
            </w:r>
          </w:p>
        </w:tc>
        <w:tc>
          <w:tcPr>
            <w:tcW w:w="35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Income before income taxes</w:t>
            </w:r>
          </w:p>
        </w:tc>
      </w:tr>
      <w:tr>
        <w:trPr>
          <w:trHeight w:val="188"/>
        </w:trPr>
        <w:tc>
          <w:tcPr>
            <w:tcW w:w="448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200" w:type="dxa"/>
            <w:vAlign w:val="bottom"/>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352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Income tax expense</w:t>
            </w:r>
          </w:p>
        </w:tc>
      </w:tr>
      <w:tr>
        <w:trPr>
          <w:trHeight w:val="179"/>
        </w:trPr>
        <w:tc>
          <w:tcPr>
            <w:tcW w:w="4480" w:type="dxa"/>
            <w:vAlign w:val="bottom"/>
          </w:tcPr>
          <w:p>
            <w:pPr>
              <w:spacing w:after="0" w:line="180" w:lineRule="exact"/>
              <w:rPr>
                <w:sz w:val="20"/>
                <w:szCs w:val="20"/>
                <w:color w:val="auto"/>
              </w:rPr>
            </w:pPr>
            <w:r>
              <w:rPr>
                <w:rFonts w:ascii="Arial" w:cs="Arial" w:eastAsia="Arial" w:hAnsi="Arial"/>
                <w:sz w:val="16"/>
                <w:szCs w:val="16"/>
                <w:color w:val="auto"/>
              </w:rPr>
              <w:t>Total reclassifications</w:t>
            </w:r>
          </w:p>
        </w:tc>
        <w:tc>
          <w:tcPr>
            <w:tcW w:w="2840" w:type="dxa"/>
            <w:vAlign w:val="bottom"/>
            <w:gridSpan w:val="2"/>
          </w:tcPr>
          <w:p>
            <w:pPr>
              <w:jc w:val="center"/>
              <w:ind w:right="297"/>
              <w:spacing w:after="0" w:line="180"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ind w:right="44"/>
              <w:spacing w:after="0" w:line="180" w:lineRule="exact"/>
              <w:rPr>
                <w:sz w:val="20"/>
                <w:szCs w:val="20"/>
                <w:color w:val="auto"/>
              </w:rPr>
            </w:pPr>
            <w:r>
              <w:rPr>
                <w:rFonts w:ascii="Arial" w:cs="Arial" w:eastAsia="Arial" w:hAnsi="Arial"/>
                <w:sz w:val="16"/>
                <w:szCs w:val="16"/>
                <w:color w:val="auto"/>
              </w:rPr>
              <w:t>3</w:t>
            </w:r>
          </w:p>
        </w:tc>
        <w:tc>
          <w:tcPr>
            <w:tcW w:w="3520" w:type="dxa"/>
            <w:vAlign w:val="bottom"/>
            <w:gridSpan w:val="2"/>
          </w:tcPr>
          <w:p>
            <w:pPr>
              <w:ind w:left="180"/>
              <w:spacing w:after="0" w:line="180" w:lineRule="exact"/>
              <w:rPr>
                <w:sz w:val="20"/>
                <w:szCs w:val="20"/>
                <w:color w:val="auto"/>
              </w:rPr>
            </w:pPr>
            <w:r>
              <w:rPr>
                <w:rFonts w:ascii="Arial" w:cs="Arial" w:eastAsia="Arial" w:hAnsi="Arial"/>
                <w:sz w:val="16"/>
                <w:szCs w:val="16"/>
                <w:color w:val="auto"/>
              </w:rPr>
              <w:t>Net of tax</w:t>
            </w:r>
          </w:p>
        </w:tc>
      </w:tr>
      <w:tr>
        <w:trPr>
          <w:trHeight w:val="20"/>
        </w:trPr>
        <w:tc>
          <w:tcPr>
            <w:tcW w:w="4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50"/>
        </w:trPr>
        <w:tc>
          <w:tcPr>
            <w:tcW w:w="4480" w:type="dxa"/>
            <w:vAlign w:val="bottom"/>
          </w:tcPr>
          <w:p>
            <w:pPr>
              <w:spacing w:after="0"/>
              <w:rPr>
                <w:sz w:val="24"/>
                <w:szCs w:val="24"/>
                <w:color w:val="auto"/>
              </w:rPr>
            </w:pPr>
          </w:p>
        </w:tc>
        <w:tc>
          <w:tcPr>
            <w:tcW w:w="2840" w:type="dxa"/>
            <w:vAlign w:val="bottom"/>
            <w:gridSpan w:val="2"/>
          </w:tcPr>
          <w:p>
            <w:pPr>
              <w:jc w:val="center"/>
              <w:ind w:right="317"/>
              <w:spacing w:after="0"/>
              <w:rPr>
                <w:sz w:val="20"/>
                <w:szCs w:val="20"/>
                <w:color w:val="auto"/>
              </w:rPr>
            </w:pPr>
            <w:r>
              <w:rPr>
                <w:rFonts w:ascii="Arial" w:cs="Arial" w:eastAsia="Arial" w:hAnsi="Arial"/>
                <w:sz w:val="16"/>
                <w:szCs w:val="16"/>
                <w:color w:val="auto"/>
              </w:rPr>
              <w:t>89</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7"/>
        </w:trPr>
        <w:tc>
          <w:tcPr>
            <w:tcW w:w="44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33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80" w:type="dxa"/>
            <w:vAlign w:val="bottom"/>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4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For the year ended December 31, 2018</w:t>
            </w:r>
          </w:p>
        </w:tc>
      </w:tr>
      <w:tr>
        <w:trPr>
          <w:trHeight w:val="132"/>
        </w:trPr>
        <w:tc>
          <w:tcPr>
            <w:tcW w:w="56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Affected line item</w:t>
            </w:r>
          </w:p>
        </w:tc>
      </w:tr>
      <w:tr>
        <w:trPr>
          <w:trHeight w:val="141"/>
        </w:trPr>
        <w:tc>
          <w:tcPr>
            <w:tcW w:w="5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in the consolidated</w:t>
            </w:r>
          </w:p>
        </w:tc>
      </w:tr>
      <w:tr>
        <w:trPr>
          <w:trHeight w:val="141"/>
        </w:trPr>
        <w:tc>
          <w:tcPr>
            <w:tcW w:w="5680" w:type="dxa"/>
            <w:vAlign w:val="bottom"/>
          </w:tcPr>
          <w:p>
            <w:pPr>
              <w:spacing w:after="0"/>
              <w:rPr>
                <w:sz w:val="12"/>
                <w:szCs w:val="12"/>
                <w:color w:val="auto"/>
              </w:rPr>
            </w:pPr>
          </w:p>
        </w:tc>
        <w:tc>
          <w:tcPr>
            <w:tcW w:w="1640" w:type="dxa"/>
            <w:vAlign w:val="bottom"/>
          </w:tcPr>
          <w:p>
            <w:pPr>
              <w:jc w:val="center"/>
              <w:ind w:left="413"/>
              <w:spacing w:after="0" w:line="141" w:lineRule="exact"/>
              <w:rPr>
                <w:sz w:val="20"/>
                <w:szCs w:val="20"/>
                <w:color w:val="auto"/>
              </w:rPr>
            </w:pPr>
            <w:r>
              <w:rPr>
                <w:rFonts w:ascii="Arial" w:cs="Arial" w:eastAsia="Arial" w:hAnsi="Arial"/>
                <w:sz w:val="13"/>
                <w:szCs w:val="13"/>
                <w:b w:val="1"/>
                <w:bCs w:val="1"/>
                <w:color w:val="auto"/>
                <w:w w:val="97"/>
              </w:rPr>
              <w:t>Amount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statements of</w:t>
            </w:r>
          </w:p>
        </w:tc>
      </w:tr>
      <w:tr>
        <w:trPr>
          <w:trHeight w:val="141"/>
        </w:trPr>
        <w:tc>
          <w:tcPr>
            <w:tcW w:w="5680" w:type="dxa"/>
            <w:vAlign w:val="bottom"/>
          </w:tcPr>
          <w:p>
            <w:pPr>
              <w:spacing w:after="0"/>
              <w:rPr>
                <w:sz w:val="12"/>
                <w:szCs w:val="12"/>
                <w:color w:val="auto"/>
              </w:rPr>
            </w:pPr>
          </w:p>
        </w:tc>
        <w:tc>
          <w:tcPr>
            <w:tcW w:w="1640" w:type="dxa"/>
            <w:vAlign w:val="bottom"/>
          </w:tcPr>
          <w:p>
            <w:pPr>
              <w:jc w:val="center"/>
              <w:ind w:left="413"/>
              <w:spacing w:after="0" w:line="141" w:lineRule="exact"/>
              <w:rPr>
                <w:sz w:val="20"/>
                <w:szCs w:val="20"/>
                <w:color w:val="auto"/>
              </w:rPr>
            </w:pPr>
            <w:r>
              <w:rPr>
                <w:rFonts w:ascii="Arial" w:cs="Arial" w:eastAsia="Arial" w:hAnsi="Arial"/>
                <w:sz w:val="13"/>
                <w:szCs w:val="13"/>
                <w:b w:val="1"/>
                <w:bCs w:val="1"/>
                <w:color w:val="auto"/>
                <w:w w:val="96"/>
              </w:rPr>
              <w:t>reclassified from</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comprehensive</w:t>
            </w:r>
          </w:p>
        </w:tc>
      </w:tr>
      <w:tr>
        <w:trPr>
          <w:trHeight w:val="153"/>
        </w:trPr>
        <w:tc>
          <w:tcPr>
            <w:tcW w:w="5680" w:type="dxa"/>
            <w:vAlign w:val="bottom"/>
            <w:tcBorders>
              <w:bottom w:val="single" w:sz="8" w:color="CFF0FC"/>
            </w:tcBorders>
          </w:tcPr>
          <w:p>
            <w:pPr>
              <w:ind w:left="2160"/>
              <w:spacing w:after="0"/>
              <w:rPr>
                <w:sz w:val="20"/>
                <w:szCs w:val="20"/>
                <w:color w:val="auto"/>
              </w:rPr>
            </w:pPr>
            <w:r>
              <w:rPr>
                <w:rFonts w:ascii="Arial" w:cs="Arial" w:eastAsia="Arial" w:hAnsi="Arial"/>
                <w:sz w:val="13"/>
                <w:szCs w:val="13"/>
                <w:b w:val="1"/>
                <w:bCs w:val="1"/>
                <w:color w:val="auto"/>
              </w:rPr>
              <w:t>AOCL Components</w:t>
            </w:r>
          </w:p>
        </w:tc>
        <w:tc>
          <w:tcPr>
            <w:tcW w:w="164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w w:val="97"/>
              </w:rPr>
              <w:t>AOCL</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r>
      <w:tr>
        <w:trPr>
          <w:trHeight w:val="179"/>
        </w:trPr>
        <w:tc>
          <w:tcPr>
            <w:tcW w:w="5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OPEB items:</w:t>
            </w:r>
          </w:p>
        </w:tc>
        <w:tc>
          <w:tcPr>
            <w:tcW w:w="16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rPr>
                <w:sz w:val="15"/>
                <w:szCs w:val="15"/>
                <w:color w:val="auto"/>
              </w:rPr>
            </w:pPr>
          </w:p>
        </w:tc>
      </w:tr>
      <w:tr>
        <w:trPr>
          <w:trHeight w:val="188"/>
        </w:trPr>
        <w:tc>
          <w:tcPr>
            <w:tcW w:w="56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credit</w:t>
            </w:r>
          </w:p>
        </w:tc>
        <w:tc>
          <w:tcPr>
            <w:tcW w:w="1640" w:type="dxa"/>
            <w:vAlign w:val="bottom"/>
            <w:tcBorders>
              <w:bottom w:val="single" w:sz="8" w:color="auto"/>
            </w:tcBorders>
          </w:tcPr>
          <w:p>
            <w:pPr>
              <w:jc w:val="right"/>
              <w:ind w:right="149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13</w:t>
            </w:r>
          </w:p>
        </w:tc>
        <w:tc>
          <w:tcPr>
            <w:tcW w:w="3520" w:type="dxa"/>
            <w:vAlign w:val="bottom"/>
            <w:tcBorders>
              <w:bottom w:val="single" w:sz="8" w:color="CFF0FC"/>
            </w:tcBorders>
            <w:gridSpan w:val="2"/>
          </w:tcPr>
          <w:p>
            <w:pPr>
              <w:ind w:left="180"/>
              <w:spacing w:after="0"/>
              <w:rPr>
                <w:sz w:val="20"/>
                <w:szCs w:val="20"/>
                <w:color w:val="auto"/>
              </w:rPr>
            </w:pPr>
            <w:r>
              <w:rPr>
                <w:rFonts w:ascii="Arial" w:cs="Arial" w:eastAsia="Arial" w:hAnsi="Arial"/>
                <w:sz w:val="16"/>
                <w:szCs w:val="16"/>
                <w:color w:val="auto"/>
              </w:rPr>
              <w:t>Other income (expense), net</w:t>
            </w:r>
          </w:p>
        </w:tc>
      </w:tr>
      <w:tr>
        <w:trPr>
          <w:trHeight w:val="179"/>
        </w:trPr>
        <w:tc>
          <w:tcPr>
            <w:tcW w:w="5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6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13</w:t>
            </w:r>
          </w:p>
        </w:tc>
        <w:tc>
          <w:tcPr>
            <w:tcW w:w="3520" w:type="dxa"/>
            <w:vAlign w:val="bottom"/>
            <w:gridSpan w:val="2"/>
            <w:shd w:val="clear" w:color="auto" w:fill="CFF0FC"/>
          </w:tcPr>
          <w:p>
            <w:pPr>
              <w:ind w:left="180"/>
              <w:spacing w:after="0" w:line="180" w:lineRule="exact"/>
              <w:rPr>
                <w:sz w:val="20"/>
                <w:szCs w:val="20"/>
                <w:color w:val="auto"/>
              </w:rPr>
            </w:pPr>
            <w:r>
              <w:rPr>
                <w:rFonts w:ascii="Arial" w:cs="Arial" w:eastAsia="Arial" w:hAnsi="Arial"/>
                <w:sz w:val="16"/>
                <w:szCs w:val="16"/>
                <w:color w:val="auto"/>
              </w:rPr>
              <w:t>Income before income taxes</w:t>
            </w:r>
          </w:p>
        </w:tc>
      </w:tr>
      <w:tr>
        <w:trPr>
          <w:trHeight w:val="188"/>
        </w:trPr>
        <w:tc>
          <w:tcPr>
            <w:tcW w:w="5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520" w:type="dxa"/>
            <w:vAlign w:val="bottom"/>
            <w:tcBorders>
              <w:bottom w:val="single" w:sz="8" w:color="CFF0FC"/>
            </w:tcBorders>
            <w:gridSpan w:val="2"/>
          </w:tcPr>
          <w:p>
            <w:pPr>
              <w:ind w:left="180"/>
              <w:spacing w:after="0"/>
              <w:rPr>
                <w:sz w:val="20"/>
                <w:szCs w:val="20"/>
                <w:color w:val="auto"/>
              </w:rPr>
            </w:pPr>
            <w:r>
              <w:rPr>
                <w:rFonts w:ascii="Arial" w:cs="Arial" w:eastAsia="Arial" w:hAnsi="Arial"/>
                <w:sz w:val="16"/>
                <w:szCs w:val="16"/>
                <w:color w:val="auto"/>
              </w:rPr>
              <w:t>Income tax expense</w:t>
            </w:r>
          </w:p>
        </w:tc>
      </w:tr>
      <w:tr>
        <w:trPr>
          <w:trHeight w:val="179"/>
        </w:trPr>
        <w:tc>
          <w:tcPr>
            <w:tcW w:w="56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640" w:type="dxa"/>
            <w:vAlign w:val="bottom"/>
            <w:tcBorders>
              <w:bottom w:val="single" w:sz="8" w:color="auto"/>
            </w:tcBorders>
            <w:shd w:val="clear" w:color="auto" w:fill="CFF0FC"/>
          </w:tcPr>
          <w:p>
            <w:pPr>
              <w:jc w:val="right"/>
              <w:ind w:right="1493"/>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10</w:t>
            </w:r>
          </w:p>
        </w:tc>
        <w:tc>
          <w:tcPr>
            <w:tcW w:w="3520" w:type="dxa"/>
            <w:vAlign w:val="bottom"/>
            <w:tcBorders>
              <w:bottom w:val="single" w:sz="8" w:color="CFF0FC"/>
            </w:tcBorders>
            <w:gridSpan w:val="2"/>
            <w:shd w:val="clear" w:color="auto" w:fill="CFF0FC"/>
          </w:tcPr>
          <w:p>
            <w:pPr>
              <w:ind w:left="180"/>
              <w:spacing w:after="0" w:line="180" w:lineRule="exact"/>
              <w:rPr>
                <w:sz w:val="20"/>
                <w:szCs w:val="20"/>
                <w:color w:val="auto"/>
              </w:rPr>
            </w:pPr>
            <w:r>
              <w:rPr>
                <w:rFonts w:ascii="Arial" w:cs="Arial" w:eastAsia="Arial" w:hAnsi="Arial"/>
                <w:sz w:val="16"/>
                <w:szCs w:val="16"/>
                <w:color w:val="auto"/>
              </w:rPr>
              <w:t>Net of tax</w:t>
            </w:r>
          </w:p>
        </w:tc>
      </w:tr>
      <w:tr>
        <w:trPr>
          <w:trHeight w:val="20"/>
        </w:trPr>
        <w:tc>
          <w:tcPr>
            <w:tcW w:w="5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351"/>
        </w:trPr>
        <w:tc>
          <w:tcPr>
            <w:tcW w:w="568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For the year ended December 31, 2019</w:t>
            </w:r>
          </w:p>
        </w:tc>
      </w:tr>
      <w:tr>
        <w:trPr>
          <w:trHeight w:val="132"/>
        </w:trPr>
        <w:tc>
          <w:tcPr>
            <w:tcW w:w="56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40" w:type="dxa"/>
            <w:vAlign w:val="bottom"/>
          </w:tcPr>
          <w:p>
            <w:pPr>
              <w:jc w:val="center"/>
              <w:spacing w:after="0" w:line="133" w:lineRule="exact"/>
              <w:rPr>
                <w:sz w:val="20"/>
                <w:szCs w:val="20"/>
                <w:color w:val="auto"/>
              </w:rPr>
            </w:pPr>
            <w:r>
              <w:rPr>
                <w:rFonts w:ascii="Arial" w:cs="Arial" w:eastAsia="Arial" w:hAnsi="Arial"/>
                <w:sz w:val="13"/>
                <w:szCs w:val="13"/>
                <w:b w:val="1"/>
                <w:bCs w:val="1"/>
                <w:color w:val="auto"/>
                <w:w w:val="95"/>
              </w:rPr>
              <w:t>Affected line item</w:t>
            </w:r>
          </w:p>
        </w:tc>
      </w:tr>
      <w:tr>
        <w:trPr>
          <w:trHeight w:val="141"/>
        </w:trPr>
        <w:tc>
          <w:tcPr>
            <w:tcW w:w="56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in the consolidated</w:t>
            </w:r>
          </w:p>
        </w:tc>
      </w:tr>
      <w:tr>
        <w:trPr>
          <w:trHeight w:val="141"/>
        </w:trPr>
        <w:tc>
          <w:tcPr>
            <w:tcW w:w="5680" w:type="dxa"/>
            <w:vAlign w:val="bottom"/>
          </w:tcPr>
          <w:p>
            <w:pPr>
              <w:spacing w:after="0"/>
              <w:rPr>
                <w:sz w:val="12"/>
                <w:szCs w:val="12"/>
                <w:color w:val="auto"/>
              </w:rPr>
            </w:pPr>
          </w:p>
        </w:tc>
        <w:tc>
          <w:tcPr>
            <w:tcW w:w="1640" w:type="dxa"/>
            <w:vAlign w:val="bottom"/>
          </w:tcPr>
          <w:p>
            <w:pPr>
              <w:jc w:val="center"/>
              <w:ind w:left="413"/>
              <w:spacing w:after="0" w:line="141" w:lineRule="exact"/>
              <w:rPr>
                <w:sz w:val="20"/>
                <w:szCs w:val="20"/>
                <w:color w:val="auto"/>
              </w:rPr>
            </w:pPr>
            <w:r>
              <w:rPr>
                <w:rFonts w:ascii="Arial" w:cs="Arial" w:eastAsia="Arial" w:hAnsi="Arial"/>
                <w:sz w:val="13"/>
                <w:szCs w:val="13"/>
                <w:b w:val="1"/>
                <w:bCs w:val="1"/>
                <w:color w:val="auto"/>
                <w:w w:val="97"/>
              </w:rPr>
              <w:t>Amount</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statements of</w:t>
            </w:r>
          </w:p>
        </w:tc>
      </w:tr>
      <w:tr>
        <w:trPr>
          <w:trHeight w:val="141"/>
        </w:trPr>
        <w:tc>
          <w:tcPr>
            <w:tcW w:w="5680" w:type="dxa"/>
            <w:vAlign w:val="bottom"/>
          </w:tcPr>
          <w:p>
            <w:pPr>
              <w:spacing w:after="0"/>
              <w:rPr>
                <w:sz w:val="12"/>
                <w:szCs w:val="12"/>
                <w:color w:val="auto"/>
              </w:rPr>
            </w:pPr>
          </w:p>
        </w:tc>
        <w:tc>
          <w:tcPr>
            <w:tcW w:w="1640" w:type="dxa"/>
            <w:vAlign w:val="bottom"/>
          </w:tcPr>
          <w:p>
            <w:pPr>
              <w:jc w:val="center"/>
              <w:ind w:left="413"/>
              <w:spacing w:after="0" w:line="141" w:lineRule="exact"/>
              <w:rPr>
                <w:sz w:val="20"/>
                <w:szCs w:val="20"/>
                <w:color w:val="auto"/>
              </w:rPr>
            </w:pPr>
            <w:r>
              <w:rPr>
                <w:rFonts w:ascii="Arial" w:cs="Arial" w:eastAsia="Arial" w:hAnsi="Arial"/>
                <w:sz w:val="13"/>
                <w:szCs w:val="13"/>
                <w:b w:val="1"/>
                <w:bCs w:val="1"/>
                <w:color w:val="auto"/>
                <w:w w:val="96"/>
              </w:rPr>
              <w:t>reclassified from</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4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comprehensive</w:t>
            </w:r>
          </w:p>
        </w:tc>
      </w:tr>
      <w:tr>
        <w:trPr>
          <w:trHeight w:val="153"/>
        </w:trPr>
        <w:tc>
          <w:tcPr>
            <w:tcW w:w="5680" w:type="dxa"/>
            <w:vAlign w:val="bottom"/>
            <w:tcBorders>
              <w:bottom w:val="single" w:sz="8" w:color="CFF0FC"/>
            </w:tcBorders>
          </w:tcPr>
          <w:p>
            <w:pPr>
              <w:ind w:left="2160"/>
              <w:spacing w:after="0"/>
              <w:rPr>
                <w:sz w:val="20"/>
                <w:szCs w:val="20"/>
                <w:color w:val="auto"/>
              </w:rPr>
            </w:pPr>
            <w:r>
              <w:rPr>
                <w:rFonts w:ascii="Arial" w:cs="Arial" w:eastAsia="Arial" w:hAnsi="Arial"/>
                <w:sz w:val="13"/>
                <w:szCs w:val="13"/>
                <w:b w:val="1"/>
                <w:bCs w:val="1"/>
                <w:color w:val="auto"/>
              </w:rPr>
              <w:t>AOCL Components</w:t>
            </w:r>
          </w:p>
        </w:tc>
        <w:tc>
          <w:tcPr>
            <w:tcW w:w="1640" w:type="dxa"/>
            <w:vAlign w:val="bottom"/>
            <w:tcBorders>
              <w:bottom w:val="single" w:sz="8" w:color="auto"/>
            </w:tcBorders>
          </w:tcPr>
          <w:p>
            <w:pPr>
              <w:jc w:val="center"/>
              <w:ind w:left="413"/>
              <w:spacing w:after="0"/>
              <w:rPr>
                <w:sz w:val="20"/>
                <w:szCs w:val="20"/>
                <w:color w:val="auto"/>
              </w:rPr>
            </w:pPr>
            <w:r>
              <w:rPr>
                <w:rFonts w:ascii="Arial" w:cs="Arial" w:eastAsia="Arial" w:hAnsi="Arial"/>
                <w:sz w:val="13"/>
                <w:szCs w:val="13"/>
                <w:b w:val="1"/>
                <w:bCs w:val="1"/>
                <w:color w:val="auto"/>
                <w:w w:val="97"/>
              </w:rPr>
              <w:t>AOCL</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r>
      <w:tr>
        <w:trPr>
          <w:trHeight w:val="179"/>
        </w:trPr>
        <w:tc>
          <w:tcPr>
            <w:tcW w:w="5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OPEB items:</w:t>
            </w:r>
          </w:p>
        </w:tc>
        <w:tc>
          <w:tcPr>
            <w:tcW w:w="16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340" w:type="dxa"/>
            <w:vAlign w:val="bottom"/>
            <w:shd w:val="clear" w:color="auto" w:fill="CFF0FC"/>
          </w:tcPr>
          <w:p>
            <w:pPr>
              <w:spacing w:after="0"/>
              <w:rPr>
                <w:sz w:val="15"/>
                <w:szCs w:val="15"/>
                <w:color w:val="auto"/>
              </w:rPr>
            </w:pPr>
          </w:p>
        </w:tc>
      </w:tr>
      <w:tr>
        <w:trPr>
          <w:trHeight w:val="188"/>
        </w:trPr>
        <w:tc>
          <w:tcPr>
            <w:tcW w:w="56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Prior service credit</w:t>
            </w:r>
          </w:p>
        </w:tc>
        <w:tc>
          <w:tcPr>
            <w:tcW w:w="1640" w:type="dxa"/>
            <w:vAlign w:val="bottom"/>
            <w:tcBorders>
              <w:bottom w:val="single" w:sz="8" w:color="auto"/>
            </w:tcBorders>
          </w:tcPr>
          <w:p>
            <w:pPr>
              <w:jc w:val="right"/>
              <w:ind w:right="149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13</w:t>
            </w:r>
          </w:p>
        </w:tc>
        <w:tc>
          <w:tcPr>
            <w:tcW w:w="3520" w:type="dxa"/>
            <w:vAlign w:val="bottom"/>
            <w:tcBorders>
              <w:bottom w:val="single" w:sz="8" w:color="CFF0FC"/>
            </w:tcBorders>
            <w:gridSpan w:val="2"/>
          </w:tcPr>
          <w:p>
            <w:pPr>
              <w:ind w:left="180"/>
              <w:spacing w:after="0"/>
              <w:rPr>
                <w:sz w:val="20"/>
                <w:szCs w:val="20"/>
                <w:color w:val="auto"/>
              </w:rPr>
            </w:pPr>
            <w:r>
              <w:rPr>
                <w:rFonts w:ascii="Arial" w:cs="Arial" w:eastAsia="Arial" w:hAnsi="Arial"/>
                <w:sz w:val="16"/>
                <w:szCs w:val="16"/>
                <w:color w:val="auto"/>
              </w:rPr>
              <w:t>Other income (expense), net</w:t>
            </w:r>
          </w:p>
        </w:tc>
      </w:tr>
      <w:tr>
        <w:trPr>
          <w:trHeight w:val="179"/>
        </w:trPr>
        <w:tc>
          <w:tcPr>
            <w:tcW w:w="568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164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13</w:t>
            </w:r>
          </w:p>
        </w:tc>
        <w:tc>
          <w:tcPr>
            <w:tcW w:w="3520" w:type="dxa"/>
            <w:vAlign w:val="bottom"/>
            <w:gridSpan w:val="2"/>
            <w:shd w:val="clear" w:color="auto" w:fill="CFF0FC"/>
          </w:tcPr>
          <w:p>
            <w:pPr>
              <w:ind w:left="180"/>
              <w:spacing w:after="0" w:line="180" w:lineRule="exact"/>
              <w:rPr>
                <w:sz w:val="20"/>
                <w:szCs w:val="20"/>
                <w:color w:val="auto"/>
              </w:rPr>
            </w:pPr>
            <w:r>
              <w:rPr>
                <w:rFonts w:ascii="Arial" w:cs="Arial" w:eastAsia="Arial" w:hAnsi="Arial"/>
                <w:sz w:val="16"/>
                <w:szCs w:val="16"/>
                <w:color w:val="auto"/>
              </w:rPr>
              <w:t>Income before income taxes</w:t>
            </w:r>
          </w:p>
        </w:tc>
      </w:tr>
      <w:tr>
        <w:trPr>
          <w:trHeight w:val="188"/>
        </w:trPr>
        <w:tc>
          <w:tcPr>
            <w:tcW w:w="5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520" w:type="dxa"/>
            <w:vAlign w:val="bottom"/>
            <w:tcBorders>
              <w:bottom w:val="single" w:sz="8" w:color="CFF0FC"/>
            </w:tcBorders>
            <w:gridSpan w:val="2"/>
          </w:tcPr>
          <w:p>
            <w:pPr>
              <w:ind w:left="180"/>
              <w:spacing w:after="0"/>
              <w:rPr>
                <w:sz w:val="20"/>
                <w:szCs w:val="20"/>
                <w:color w:val="auto"/>
              </w:rPr>
            </w:pPr>
            <w:r>
              <w:rPr>
                <w:rFonts w:ascii="Arial" w:cs="Arial" w:eastAsia="Arial" w:hAnsi="Arial"/>
                <w:sz w:val="16"/>
                <w:szCs w:val="16"/>
                <w:color w:val="auto"/>
              </w:rPr>
              <w:t>Income tax expense</w:t>
            </w:r>
          </w:p>
        </w:tc>
      </w:tr>
      <w:tr>
        <w:trPr>
          <w:trHeight w:val="179"/>
        </w:trPr>
        <w:tc>
          <w:tcPr>
            <w:tcW w:w="568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1640" w:type="dxa"/>
            <w:vAlign w:val="bottom"/>
            <w:tcBorders>
              <w:bottom w:val="single" w:sz="8" w:color="auto"/>
            </w:tcBorders>
            <w:shd w:val="clear" w:color="auto" w:fill="CFF0FC"/>
          </w:tcPr>
          <w:p>
            <w:pPr>
              <w:jc w:val="right"/>
              <w:ind w:right="1493"/>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10</w:t>
            </w:r>
          </w:p>
        </w:tc>
        <w:tc>
          <w:tcPr>
            <w:tcW w:w="3520" w:type="dxa"/>
            <w:vAlign w:val="bottom"/>
            <w:tcBorders>
              <w:bottom w:val="single" w:sz="8" w:color="CFF0FC"/>
            </w:tcBorders>
            <w:gridSpan w:val="2"/>
            <w:shd w:val="clear" w:color="auto" w:fill="CFF0FC"/>
          </w:tcPr>
          <w:p>
            <w:pPr>
              <w:ind w:left="180"/>
              <w:spacing w:after="0" w:line="180" w:lineRule="exact"/>
              <w:rPr>
                <w:sz w:val="20"/>
                <w:szCs w:val="20"/>
                <w:color w:val="auto"/>
              </w:rPr>
            </w:pPr>
            <w:r>
              <w:rPr>
                <w:rFonts w:ascii="Arial" w:cs="Arial" w:eastAsia="Arial" w:hAnsi="Arial"/>
                <w:sz w:val="16"/>
                <w:szCs w:val="16"/>
                <w:color w:val="auto"/>
              </w:rPr>
              <w:t>Net of tax</w:t>
            </w:r>
          </w:p>
        </w:tc>
      </w:tr>
      <w:tr>
        <w:trPr>
          <w:trHeight w:val="20"/>
        </w:trPr>
        <w:tc>
          <w:tcPr>
            <w:tcW w:w="5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175" w:lineRule="exact"/>
        <w:rPr>
          <w:sz w:val="20"/>
          <w:szCs w:val="20"/>
          <w:color w:val="auto"/>
        </w:rPr>
      </w:pPr>
    </w:p>
    <w:p>
      <w:pPr>
        <w:ind w:right="400" w:firstLine="531"/>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Please see NOTE 15 “Employee Benefit Plans” for additional details.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18.  COMMITMENTS AND CONTINGENCIES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51" w:lineRule="exact"/>
        <w:rPr>
          <w:sz w:val="20"/>
          <w:szCs w:val="20"/>
          <w:color w:val="auto"/>
        </w:rPr>
      </w:pPr>
    </w:p>
    <w:p>
      <w:pPr>
        <w:ind w:right="80" w:firstLine="531"/>
        <w:spacing w:after="0" w:line="233" w:lineRule="auto"/>
        <w:rPr>
          <w:sz w:val="20"/>
          <w:szCs w:val="20"/>
          <w:color w:val="auto"/>
        </w:rPr>
      </w:pPr>
      <w:r>
        <w:rPr>
          <w:rFonts w:ascii="Arial" w:cs="Arial" w:eastAsia="Arial" w:hAnsi="Arial"/>
          <w:sz w:val="16"/>
          <w:szCs w:val="16"/>
          <w:color w:val="auto"/>
        </w:rPr>
        <w:t>The Company has an agreement with the Environmental Protection Agency to perform remedial activities at the Company’s Indianapolis, Indiana manufacturing facilities related to historical soil and groundwater contamination. In the fourth quarter of 2019, the EPA accepted a proposal to reduce the Company’s ongoing responsibilities for operating, monitoring and maintaining the ongoing activities resulting in the Company reducing its associated undiscounted liability to $3 million to complete the future operating, monitoring and maintenance activities over the next 30 years.</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51" w:lineRule="exact"/>
        <w:rPr>
          <w:sz w:val="20"/>
          <w:szCs w:val="20"/>
          <w:color w:val="auto"/>
        </w:rPr>
      </w:pPr>
    </w:p>
    <w:p>
      <w:pPr>
        <w:ind w:right="60" w:firstLine="531"/>
        <w:spacing w:after="0" w:line="233"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19.  CONCENTRATION OF RISK</w:t>
      </w:r>
    </w:p>
    <w:p>
      <w:pPr>
        <w:spacing w:after="0" w:line="153" w:lineRule="exact"/>
        <w:rPr>
          <w:sz w:val="20"/>
          <w:szCs w:val="20"/>
          <w:color w:val="auto"/>
        </w:rPr>
      </w:pPr>
    </w:p>
    <w:p>
      <w:pPr>
        <w:ind w:right="320" w:firstLine="531"/>
        <w:spacing w:after="0" w:line="251" w:lineRule="auto"/>
        <w:rPr>
          <w:sz w:val="20"/>
          <w:szCs w:val="20"/>
          <w:color w:val="auto"/>
        </w:rPr>
      </w:pPr>
      <w:r>
        <w:rPr>
          <w:rFonts w:ascii="Arial" w:cs="Arial" w:eastAsia="Arial" w:hAnsi="Arial"/>
          <w:sz w:val="15"/>
          <w:szCs w:val="15"/>
          <w:color w:val="auto"/>
        </w:rPr>
        <w:t>As of December 31, 2019 and 2018, the Company employed approximately 3,700 and 2,900 employees, respectively, with 91% and 90%, respectively, of those employees in the U.S. Approximately 45% and 59% of the Company’s U.S. employees were represented by unions and subject to a collective bargaining agreement as of December 31, 2019 and 2018, respectively. In addition, many of the hourly employees outside the U.S. are represented by various unions. The Company is currently operating under a collective bargaining agreement with UAW Local 933 that expires in November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Three customers accounted for greater than 10% of net sales within the last three years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700" w:type="dxa"/>
            <w:vAlign w:val="bottom"/>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Years ended December 31,</w:t>
            </w:r>
          </w:p>
        </w:tc>
        <w:tc>
          <w:tcPr>
            <w:tcW w:w="1480" w:type="dxa"/>
            <w:vAlign w:val="bottom"/>
            <w:tcBorders>
              <w:bottom w:val="single" w:sz="8" w:color="auto"/>
            </w:tcBorders>
          </w:tcPr>
          <w:p>
            <w:pPr>
              <w:spacing w:after="0"/>
              <w:rPr>
                <w:sz w:val="13"/>
                <w:szCs w:val="13"/>
                <w:color w:val="auto"/>
              </w:rPr>
            </w:pPr>
          </w:p>
        </w:tc>
      </w:tr>
      <w:tr>
        <w:trPr>
          <w:trHeight w:val="144"/>
        </w:trPr>
        <w:tc>
          <w:tcPr>
            <w:tcW w:w="670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i w:val="1"/>
                <w:iCs w:val="1"/>
                <w:color w:val="auto"/>
              </w:rPr>
              <w:t>% of net sales</w:t>
            </w:r>
          </w:p>
        </w:tc>
        <w:tc>
          <w:tcPr>
            <w:tcW w:w="1480" w:type="dxa"/>
            <w:vAlign w:val="bottom"/>
            <w:tcBorders>
              <w:bottom w:val="single" w:sz="8" w:color="auto"/>
            </w:tcBorders>
          </w:tcPr>
          <w:p>
            <w:pPr>
              <w:jc w:val="right"/>
              <w:ind w:right="626"/>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480" w:type="dxa"/>
            <w:vAlign w:val="bottom"/>
            <w:tcBorders>
              <w:bottom w:val="single" w:sz="8" w:color="auto"/>
            </w:tcBorders>
          </w:tcPr>
          <w:p>
            <w:pPr>
              <w:jc w:val="right"/>
              <w:ind w:right="617"/>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480" w:type="dxa"/>
            <w:vAlign w:val="bottom"/>
            <w:tcBorders>
              <w:bottom w:val="single" w:sz="8" w:color="auto"/>
            </w:tcBorders>
          </w:tcPr>
          <w:p>
            <w:pPr>
              <w:jc w:val="right"/>
              <w:ind w:right="606"/>
              <w:spacing w:after="0" w:line="144" w:lineRule="exact"/>
              <w:rPr>
                <w:sz w:val="20"/>
                <w:szCs w:val="20"/>
                <w:color w:val="auto"/>
              </w:rPr>
            </w:pPr>
            <w:r>
              <w:rPr>
                <w:rFonts w:ascii="Arial" w:cs="Arial" w:eastAsia="Arial" w:hAnsi="Arial"/>
                <w:sz w:val="13"/>
                <w:szCs w:val="13"/>
                <w:b w:val="1"/>
                <w:bCs w:val="1"/>
                <w:color w:val="auto"/>
              </w:rPr>
              <w:t>2017</w:t>
            </w:r>
          </w:p>
        </w:tc>
      </w:tr>
      <w:tr>
        <w:trPr>
          <w:trHeight w:val="179"/>
        </w:trPr>
        <w:tc>
          <w:tcPr>
            <w:tcW w:w="67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Daimler AG</w:t>
            </w:r>
          </w:p>
        </w:tc>
        <w:tc>
          <w:tcPr>
            <w:tcW w:w="14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20%</w:t>
            </w:r>
          </w:p>
        </w:tc>
        <w:tc>
          <w:tcPr>
            <w:tcW w:w="162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20%</w:t>
            </w:r>
          </w:p>
        </w:tc>
      </w:tr>
      <w:tr>
        <w:trPr>
          <w:trHeight w:val="188"/>
        </w:trPr>
        <w:tc>
          <w:tcPr>
            <w:tcW w:w="6700" w:type="dxa"/>
            <w:vAlign w:val="bottom"/>
          </w:tcPr>
          <w:p>
            <w:pPr>
              <w:spacing w:after="0"/>
              <w:rPr>
                <w:sz w:val="20"/>
                <w:szCs w:val="20"/>
                <w:color w:val="auto"/>
              </w:rPr>
            </w:pPr>
            <w:r>
              <w:rPr>
                <w:rFonts w:ascii="Arial" w:cs="Arial" w:eastAsia="Arial" w:hAnsi="Arial"/>
                <w:sz w:val="16"/>
                <w:szCs w:val="16"/>
                <w:color w:val="auto"/>
              </w:rPr>
              <w:t>PACCAR Inc.</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8"/>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Navistar International Corporation</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6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other customers accounted for more than 10% of net sales of the Company during the years ended December 31, 2019, 2018 or 2017.</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Three customers accounted for greater than 10% of outstanding accounts receivable within the last two years presented.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3"/>
                <w:szCs w:val="13"/>
                <w:color w:val="auto"/>
              </w:rPr>
            </w:pPr>
          </w:p>
        </w:tc>
        <w:tc>
          <w:tcPr>
            <w:tcW w:w="1600" w:type="dxa"/>
            <w:vAlign w:val="bottom"/>
          </w:tcPr>
          <w:p>
            <w:pPr>
              <w:jc w:val="center"/>
              <w:ind w:left="217"/>
              <w:spacing w:after="0"/>
              <w:rPr>
                <w:sz w:val="20"/>
                <w:szCs w:val="20"/>
                <w:color w:val="auto"/>
              </w:rPr>
            </w:pPr>
            <w:r>
              <w:rPr>
                <w:rFonts w:ascii="Arial" w:cs="Arial" w:eastAsia="Arial" w:hAnsi="Arial"/>
                <w:sz w:val="13"/>
                <w:szCs w:val="13"/>
                <w:b w:val="1"/>
                <w:bCs w:val="1"/>
                <w:color w:val="auto"/>
                <w:w w:val="96"/>
              </w:rPr>
              <w:t>As of December 31,</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40" w:type="dxa"/>
            <w:vAlign w:val="bottom"/>
          </w:tcPr>
          <w:p>
            <w:pPr>
              <w:jc w:val="right"/>
              <w:ind w:right="448"/>
              <w:spacing w:after="0"/>
              <w:rPr>
                <w:sz w:val="20"/>
                <w:szCs w:val="20"/>
                <w:color w:val="auto"/>
              </w:rPr>
            </w:pPr>
            <w:r>
              <w:rPr>
                <w:rFonts w:ascii="Arial" w:cs="Arial" w:eastAsia="Arial" w:hAnsi="Arial"/>
                <w:sz w:val="13"/>
                <w:szCs w:val="13"/>
                <w:b w:val="1"/>
                <w:bCs w:val="1"/>
                <w:color w:val="auto"/>
              </w:rPr>
              <w:t>As of December 31,</w:t>
            </w:r>
          </w:p>
        </w:tc>
      </w:tr>
      <w:tr>
        <w:trPr>
          <w:trHeight w:val="153"/>
        </w:trPr>
        <w:tc>
          <w:tcPr>
            <w:tcW w:w="720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 of accounts receivable</w:t>
            </w:r>
          </w:p>
        </w:tc>
        <w:tc>
          <w:tcPr>
            <w:tcW w:w="16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b w:val="1"/>
                <w:bCs w:val="1"/>
                <w:color w:val="auto"/>
              </w:rPr>
              <w:t>2019</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40" w:type="dxa"/>
            <w:vAlign w:val="bottom"/>
            <w:tcBorders>
              <w:bottom w:val="single" w:sz="8" w:color="auto"/>
            </w:tcBorders>
          </w:tcPr>
          <w:p>
            <w:pPr>
              <w:jc w:val="right"/>
              <w:ind w:right="888"/>
              <w:spacing w:after="0"/>
              <w:rPr>
                <w:sz w:val="20"/>
                <w:szCs w:val="20"/>
                <w:color w:val="auto"/>
              </w:rPr>
            </w:pPr>
            <w:r>
              <w:rPr>
                <w:rFonts w:ascii="Arial" w:cs="Arial" w:eastAsia="Arial" w:hAnsi="Arial"/>
                <w:sz w:val="13"/>
                <w:szCs w:val="13"/>
                <w:b w:val="1"/>
                <w:bCs w:val="1"/>
                <w:color w:val="auto"/>
              </w:rPr>
              <w:t>2018</w:t>
            </w:r>
          </w:p>
        </w:tc>
      </w:tr>
      <w:tr>
        <w:trPr>
          <w:trHeight w:val="179"/>
        </w:trPr>
        <w:tc>
          <w:tcPr>
            <w:tcW w:w="72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Daimler AG</w:t>
            </w:r>
          </w:p>
        </w:tc>
        <w:tc>
          <w:tcPr>
            <w:tcW w:w="1600" w:type="dxa"/>
            <w:vAlign w:val="bottom"/>
            <w:shd w:val="clear" w:color="auto" w:fill="CFF0FC"/>
          </w:tcPr>
          <w:p>
            <w:pPr>
              <w:spacing w:after="0"/>
              <w:rPr>
                <w:sz w:val="15"/>
                <w:szCs w:val="15"/>
                <w:color w:val="auto"/>
              </w:rPr>
            </w:pPr>
          </w:p>
        </w:tc>
        <w:tc>
          <w:tcPr>
            <w:tcW w:w="4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19%</w:t>
            </w:r>
          </w:p>
        </w:tc>
        <w:tc>
          <w:tcPr>
            <w:tcW w:w="180" w:type="dxa"/>
            <w:vAlign w:val="bottom"/>
            <w:shd w:val="clear" w:color="auto" w:fill="CFF0FC"/>
          </w:tcPr>
          <w:p>
            <w:pPr>
              <w:spacing w:after="0"/>
              <w:rPr>
                <w:sz w:val="15"/>
                <w:szCs w:val="15"/>
                <w:color w:val="auto"/>
              </w:rPr>
            </w:pPr>
          </w:p>
        </w:tc>
        <w:tc>
          <w:tcPr>
            <w:tcW w:w="20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18%</w:t>
            </w:r>
          </w:p>
        </w:tc>
      </w:tr>
      <w:tr>
        <w:trPr>
          <w:trHeight w:val="188"/>
        </w:trPr>
        <w:tc>
          <w:tcPr>
            <w:tcW w:w="7200" w:type="dxa"/>
            <w:vAlign w:val="bottom"/>
          </w:tcPr>
          <w:p>
            <w:pPr>
              <w:spacing w:after="0"/>
              <w:rPr>
                <w:sz w:val="20"/>
                <w:szCs w:val="20"/>
                <w:color w:val="auto"/>
              </w:rPr>
            </w:pPr>
            <w:r>
              <w:rPr>
                <w:rFonts w:ascii="Arial" w:cs="Arial" w:eastAsia="Arial" w:hAnsi="Arial"/>
                <w:sz w:val="16"/>
                <w:szCs w:val="16"/>
                <w:color w:val="auto"/>
              </w:rPr>
              <w:t>Navistar International Corporation</w:t>
            </w:r>
          </w:p>
        </w:tc>
        <w:tc>
          <w:tcPr>
            <w:tcW w:w="16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80" w:type="dxa"/>
            <w:vAlign w:val="bottom"/>
          </w:tcPr>
          <w:p>
            <w:pPr>
              <w:spacing w:after="0"/>
              <w:rPr>
                <w:sz w:val="16"/>
                <w:szCs w:val="16"/>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88"/>
        </w:trPr>
        <w:tc>
          <w:tcPr>
            <w:tcW w:w="7200" w:type="dxa"/>
            <w:vAlign w:val="bottom"/>
            <w:shd w:val="clear" w:color="auto" w:fill="CFF0FC"/>
          </w:tcPr>
          <w:p>
            <w:pPr>
              <w:spacing w:after="0"/>
              <w:rPr>
                <w:sz w:val="20"/>
                <w:szCs w:val="20"/>
                <w:color w:val="auto"/>
              </w:rPr>
            </w:pPr>
            <w:r>
              <w:rPr>
                <w:rFonts w:ascii="Arial" w:cs="Arial" w:eastAsia="Arial" w:hAnsi="Arial"/>
                <w:sz w:val="16"/>
                <w:szCs w:val="16"/>
                <w:color w:val="auto"/>
              </w:rPr>
              <w:t>Volvo Group</w:t>
            </w:r>
          </w:p>
        </w:tc>
        <w:tc>
          <w:tcPr>
            <w:tcW w:w="160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shd w:val="clear" w:color="auto" w:fill="CFF0FC"/>
          </w:tcPr>
          <w:p>
            <w:pPr>
              <w:spacing w:after="0"/>
              <w:rPr>
                <w:sz w:val="16"/>
                <w:szCs w:val="16"/>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r>
    </w:tbl>
    <w:p>
      <w:pPr>
        <w:spacing w:after="0" w:line="17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other customers accounted for more than 10% of the outstanding accounts receivable as of December 31, 2019 or December 31, 2018.</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 supplier accounted for greater than 10% of materials purchased during the years ended December 31, 2019, 2018 or 2017.</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20.  CERTAIN RELATIONSHIPS AND RELATED PARTY TRANSACTIONS</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Repurchase of Common Stock held by Ashe Capital Management LP</w:t>
      </w:r>
    </w:p>
    <w:p>
      <w:pPr>
        <w:spacing w:after="0" w:line="151" w:lineRule="exact"/>
        <w:rPr>
          <w:sz w:val="20"/>
          <w:szCs w:val="20"/>
          <w:color w:val="auto"/>
        </w:rPr>
      </w:pPr>
    </w:p>
    <w:p>
      <w:pPr>
        <w:ind w:right="60" w:firstLine="611"/>
        <w:spacing w:after="0" w:line="232" w:lineRule="auto"/>
        <w:rPr>
          <w:sz w:val="20"/>
          <w:szCs w:val="20"/>
          <w:color w:val="auto"/>
        </w:rPr>
      </w:pPr>
      <w:r>
        <w:rPr>
          <w:rFonts w:ascii="Arial" w:cs="Arial" w:eastAsia="Arial" w:hAnsi="Arial"/>
          <w:sz w:val="16"/>
          <w:szCs w:val="16"/>
          <w:color w:val="auto"/>
        </w:rPr>
        <w:t>On May 7, 2019, the Company entered into a stock repurchase agreement with Ashe Capital Management, LP to repurchase 4,977,043 shares of the Company's common stock for approximately $232 million. William Harker, a member of the Company's Board of Directors until May 9, 2019, is the President and Co-Founder of Ashe Capital Management, LP. The shares were repurchased under the stock repurchase plan approved by the Board of Directors in November 2016 (“Repurchase Program”). The purchase was funded with cash on hand and borrowings under the New Revolving Credit Facility. The shares were subsequently retired.</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Repurchase of Common Stock held by ValueAct Capital Master Fund</w:t>
      </w:r>
    </w:p>
    <w:p>
      <w:pPr>
        <w:spacing w:after="0" w:line="151" w:lineRule="exact"/>
        <w:rPr>
          <w:sz w:val="20"/>
          <w:szCs w:val="20"/>
          <w:color w:val="auto"/>
        </w:rPr>
      </w:pPr>
    </w:p>
    <w:p>
      <w:pPr>
        <w:ind w:right="280" w:firstLine="611"/>
        <w:spacing w:after="0" w:line="255" w:lineRule="auto"/>
        <w:rPr>
          <w:sz w:val="20"/>
          <w:szCs w:val="20"/>
          <w:color w:val="auto"/>
        </w:rPr>
      </w:pPr>
      <w:r>
        <w:rPr>
          <w:rFonts w:ascii="Arial" w:cs="Arial" w:eastAsia="Arial" w:hAnsi="Arial"/>
          <w:sz w:val="15"/>
          <w:szCs w:val="15"/>
          <w:color w:val="auto"/>
        </w:rPr>
        <w:t>On February 3, 2017, the Company entered into a stock repurchase agreement with ValueAct Capital Master Fund, L.P., a related party, to repurchase 10,525,204 shares of the Company’s common stock for approximately $363 million. The shares were repurchased under the Repurchase Program. The purchase closed on February 8, 2017 and was funded with cash on hand and borrowings under the Prior Revolving Credit Facility. The shares were subsequently retired.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21.  COMMON STOCK</w:t>
      </w:r>
    </w:p>
    <w:p>
      <w:pPr>
        <w:spacing w:after="0" w:line="1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Company’s Repurchase Program was announced on November 14, 2016 when the Board of Directors authorized the Company to repurchase up to</w:t>
      </w:r>
    </w:p>
    <w:p>
      <w:pPr>
        <w:spacing w:after="0"/>
        <w:rPr>
          <w:sz w:val="20"/>
          <w:szCs w:val="20"/>
          <w:color w:val="auto"/>
        </w:rPr>
      </w:pPr>
      <w:r>
        <w:rPr>
          <w:rFonts w:ascii="Arial" w:cs="Arial" w:eastAsia="Arial" w:hAnsi="Arial"/>
          <w:sz w:val="15"/>
          <w:szCs w:val="15"/>
          <w:color w:val="auto"/>
        </w:rPr>
        <w:t>$1,000 million of its common stock on the open market or through privately negotiated transactions. On November 8, 2017, July 30, 2018 and May 9, 2019 the Board</w:t>
      </w:r>
    </w:p>
    <w:p>
      <w:pPr>
        <w:spacing w:after="0" w:line="234" w:lineRule="auto"/>
        <w:rPr>
          <w:sz w:val="20"/>
          <w:szCs w:val="20"/>
          <w:color w:val="auto"/>
        </w:rPr>
      </w:pPr>
      <w:r>
        <w:rPr>
          <w:rFonts w:ascii="Arial" w:cs="Arial" w:eastAsia="Arial" w:hAnsi="Arial"/>
          <w:sz w:val="16"/>
          <w:szCs w:val="16"/>
          <w:color w:val="auto"/>
        </w:rPr>
        <w:t>of Directors authorized the Company to repurchase an additional $500 million, $500 million and $1,000 million of its common stock, bringing the total amount</w:t>
      </w:r>
    </w:p>
    <w:p>
      <w:pPr>
        <w:spacing w:after="0" w:line="229" w:lineRule="auto"/>
        <w:rPr>
          <w:sz w:val="20"/>
          <w:szCs w:val="20"/>
          <w:color w:val="auto"/>
        </w:rPr>
      </w:pPr>
      <w:r>
        <w:rPr>
          <w:rFonts w:ascii="Arial" w:cs="Arial" w:eastAsia="Arial" w:hAnsi="Arial"/>
          <w:sz w:val="16"/>
          <w:szCs w:val="16"/>
          <w:color w:val="auto"/>
        </w:rPr>
        <w:t>authorized under the Repurchase Program to $3,000 million. The Repurchase Program has no termination date. The timing and amount of stock purchases are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subject to market conditions and corporate needs. The Repurchase Program may be modified, suspended or discontinued at any time at the Company’s discretion.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During 2019, the Company repurchased approximately $393 million of its common stock under the Repurchase Program, leaving $1,052 million of authorized repurchases remaining under the Repurchase Program as of December 31, 2019.</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93" w:name="page94"/>
    <w:bookmarkEnd w:id="9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22.  EARNINGS PER SHARE</w:t>
      </w:r>
    </w:p>
    <w:p>
      <w:pPr>
        <w:spacing w:after="0" w:line="153" w:lineRule="exact"/>
        <w:rPr>
          <w:sz w:val="20"/>
          <w:szCs w:val="20"/>
          <w:color w:val="auto"/>
        </w:rPr>
      </w:pPr>
    </w:p>
    <w:p>
      <w:pPr>
        <w:ind w:right="100" w:firstLine="531"/>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During the years ended December 31, 2019, 2018 and 2017, there were no outstanding stock options excluded from the diluted EPS calculation because they were anti-dilutive. Basic and diluted EPS for the full-year is calculated using the weighted average shares of common stock outstanding during the year while quarterly basic and diluted EPS is calculated using the weighted average shares of common stock outstanding during the quarter; therefore, the sum of the four quarters’ EPS may not equal full-year EPS.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5"/>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2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7"/>
              <w:spacing w:after="0" w:line="144"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43"/>
              <w:spacing w:after="0" w:line="144"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56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07"/>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604</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639</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504</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2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80" w:type="dxa"/>
            <w:vAlign w:val="bottom"/>
          </w:tcPr>
          <w:p>
            <w:pPr>
              <w:jc w:val="right"/>
              <w:ind w:right="42"/>
              <w:spacing w:after="0" w:line="163" w:lineRule="exact"/>
              <w:rPr>
                <w:sz w:val="20"/>
                <w:szCs w:val="20"/>
                <w:color w:val="auto"/>
              </w:rPr>
            </w:pPr>
            <w:r>
              <w:rPr>
                <w:rFonts w:ascii="Arial" w:cs="Arial" w:eastAsia="Arial" w:hAnsi="Arial"/>
                <w:sz w:val="16"/>
                <w:szCs w:val="16"/>
                <w:b w:val="1"/>
                <w:bCs w:val="1"/>
                <w:color w:val="auto"/>
              </w:rPr>
              <w:t>122</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43"/>
              <w:spacing w:after="0" w:line="163" w:lineRule="exact"/>
              <w:rPr>
                <w:sz w:val="20"/>
                <w:szCs w:val="20"/>
                <w:color w:val="auto"/>
              </w:rPr>
            </w:pPr>
            <w:r>
              <w:rPr>
                <w:rFonts w:ascii="Arial" w:cs="Arial" w:eastAsia="Arial" w:hAnsi="Arial"/>
                <w:sz w:val="16"/>
                <w:szCs w:val="16"/>
                <w:color w:val="auto"/>
              </w:rPr>
              <w:t>133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43"/>
              <w:spacing w:after="0" w:line="163" w:lineRule="exact"/>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stock-based awards</w:t>
            </w:r>
          </w:p>
        </w:tc>
        <w:tc>
          <w:tcPr>
            <w:tcW w:w="116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62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116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123</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134</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63"/>
        </w:trPr>
        <w:tc>
          <w:tcPr>
            <w:tcW w:w="562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11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707"/>
              <w:spacing w:after="0" w:line="163"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b w:val="1"/>
                <w:bCs w:val="1"/>
                <w:color w:val="auto"/>
              </w:rPr>
              <w:t>4.95</w:t>
            </w:r>
          </w:p>
        </w:tc>
        <w:tc>
          <w:tcPr>
            <w:tcW w:w="440" w:type="dxa"/>
            <w:vAlign w:val="bottom"/>
            <w:gridSpan w:val="2"/>
            <w:shd w:val="clear" w:color="auto" w:fill="CFF0FC"/>
          </w:tcPr>
          <w:p>
            <w:pPr>
              <w:jc w:val="right"/>
              <w:ind w:right="200"/>
              <w:spacing w:after="0" w:line="16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63" w:lineRule="exact"/>
              <w:rPr>
                <w:sz w:val="20"/>
                <w:szCs w:val="20"/>
                <w:color w:val="auto"/>
              </w:rPr>
            </w:pPr>
            <w:r>
              <w:rPr>
                <w:rFonts w:ascii="Arial" w:cs="Arial" w:eastAsia="Arial" w:hAnsi="Arial"/>
                <w:sz w:val="16"/>
                <w:szCs w:val="16"/>
                <w:color w:val="auto"/>
              </w:rPr>
              <w:t>4.81</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line="163" w:lineRule="exact"/>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bottom w:val="single" w:sz="8" w:color="CFF0FC"/>
            </w:tcBorders>
            <w:vMerge w:val="restart"/>
          </w:tcPr>
          <w:p>
            <w:pPr>
              <w:ind w:left="200"/>
              <w:spacing w:after="0"/>
              <w:rPr>
                <w:sz w:val="20"/>
                <w:szCs w:val="20"/>
                <w:color w:val="auto"/>
              </w:rPr>
            </w:pPr>
            <w:r>
              <w:rPr>
                <w:rFonts w:ascii="Arial" w:cs="Arial" w:eastAsia="Arial" w:hAnsi="Arial"/>
                <w:sz w:val="16"/>
                <w:szCs w:val="16"/>
                <w:color w:val="auto"/>
              </w:rPr>
              <w:t>Diluted earnings per share attributable to common</w:t>
            </w:r>
          </w:p>
        </w:tc>
        <w:tc>
          <w:tcPr>
            <w:tcW w:w="1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20" w:type="dxa"/>
            <w:vAlign w:val="bottom"/>
            <w:vMerge w:val="continue"/>
          </w:tcPr>
          <w:p>
            <w:pPr>
              <w:spacing w:after="0"/>
              <w:rPr>
                <w:sz w:val="14"/>
                <w:szCs w:val="14"/>
                <w:color w:val="auto"/>
              </w:rPr>
            </w:pPr>
          </w:p>
        </w:tc>
        <w:tc>
          <w:tcPr>
            <w:tcW w:w="2040" w:type="dxa"/>
            <w:vAlign w:val="bottom"/>
            <w:gridSpan w:val="2"/>
            <w:vMerge w:val="restart"/>
          </w:tcPr>
          <w:p>
            <w:pPr>
              <w:jc w:val="right"/>
              <w:ind w:right="707"/>
              <w:spacing w:after="0"/>
              <w:rPr>
                <w:sz w:val="20"/>
                <w:szCs w:val="20"/>
                <w:color w:val="auto"/>
              </w:rPr>
            </w:pPr>
            <w:r>
              <w:rPr>
                <w:rFonts w:ascii="Arial" w:cs="Arial" w:eastAsia="Arial" w:hAnsi="Arial"/>
                <w:sz w:val="16"/>
                <w:szCs w:val="16"/>
                <w:b w:val="1"/>
                <w:bCs w:val="1"/>
                <w:color w:val="auto"/>
              </w:rPr>
              <w:t>$</w:t>
            </w:r>
          </w:p>
        </w:tc>
        <w:tc>
          <w:tcPr>
            <w:tcW w:w="5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4.91</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620" w:type="dxa"/>
            <w:vAlign w:val="bottom"/>
          </w:tcPr>
          <w:p>
            <w:pPr>
              <w:ind w:left="340"/>
              <w:spacing w:after="0" w:line="177" w:lineRule="exact"/>
              <w:rPr>
                <w:sz w:val="20"/>
                <w:szCs w:val="20"/>
                <w:color w:val="auto"/>
              </w:rPr>
            </w:pPr>
            <w:r>
              <w:rPr>
                <w:rFonts w:ascii="Arial" w:cs="Arial" w:eastAsia="Arial" w:hAnsi="Arial"/>
                <w:sz w:val="16"/>
                <w:szCs w:val="16"/>
                <w:color w:val="auto"/>
              </w:rPr>
              <w:t>stockholders</w:t>
            </w:r>
          </w:p>
        </w:tc>
        <w:tc>
          <w:tcPr>
            <w:tcW w:w="20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440" w:type="dxa"/>
            <w:vAlign w:val="bottom"/>
            <w:gridSpan w:val="2"/>
          </w:tcPr>
          <w:p>
            <w:pPr>
              <w:jc w:val="right"/>
              <w:ind w:right="200"/>
              <w:spacing w:after="0" w:line="177"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line="177" w:lineRule="exact"/>
              <w:rPr>
                <w:sz w:val="20"/>
                <w:szCs w:val="20"/>
                <w:color w:val="auto"/>
              </w:rPr>
            </w:pPr>
            <w:r>
              <w:rPr>
                <w:rFonts w:ascii="Arial" w:cs="Arial" w:eastAsia="Arial" w:hAnsi="Arial"/>
                <w:sz w:val="16"/>
                <w:szCs w:val="16"/>
                <w:color w:val="auto"/>
              </w:rPr>
              <w:t>4.78</w:t>
            </w:r>
          </w:p>
        </w:tc>
        <w:tc>
          <w:tcPr>
            <w:tcW w:w="160" w:type="dxa"/>
            <w:vAlign w:val="bottom"/>
          </w:tcPr>
          <w:p>
            <w:pPr>
              <w:spacing w:after="0"/>
              <w:rPr>
                <w:sz w:val="15"/>
                <w:szCs w:val="15"/>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3"/>
              <w:spacing w:after="0" w:line="177" w:lineRule="exact"/>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6"/>
                <w:szCs w:val="16"/>
                <w:b w:val="1"/>
                <w:bCs w:val="1"/>
                <w:color w:val="auto"/>
              </w:rPr>
              <w:t>NOTE 23.  GEOGRAPHIC INFORMATION</w:t>
            </w:r>
          </w:p>
        </w:tc>
        <w:tc>
          <w:tcPr>
            <w:tcW w:w="1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620" w:type="dxa"/>
            <w:vAlign w:val="bottom"/>
          </w:tcPr>
          <w:p>
            <w:pPr>
              <w:ind w:left="600"/>
              <w:spacing w:after="0"/>
              <w:rPr>
                <w:sz w:val="20"/>
                <w:szCs w:val="20"/>
                <w:color w:val="auto"/>
              </w:rPr>
            </w:pPr>
            <w:r>
              <w:rPr>
                <w:rFonts w:ascii="Arial" w:cs="Arial" w:eastAsia="Arial" w:hAnsi="Arial"/>
                <w:sz w:val="16"/>
                <w:szCs w:val="16"/>
                <w:color w:val="auto"/>
                <w:w w:val="97"/>
              </w:rPr>
              <w:t>The Company had the following net sales by country (dollars in millions):</w:t>
            </w: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95"/>
              </w:rPr>
              <w:t>Years ended December 31,</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20" w:type="dxa"/>
            <w:vAlign w:val="bottom"/>
            <w:tcBorders>
              <w:bottom w:val="single" w:sz="8" w:color="CFF0FC"/>
            </w:tcBorders>
          </w:tcPr>
          <w:p>
            <w:pPr>
              <w:spacing w:after="0"/>
              <w:rPr>
                <w:sz w:val="12"/>
                <w:szCs w:val="12"/>
                <w:color w:val="auto"/>
              </w:rPr>
            </w:pPr>
          </w:p>
        </w:tc>
        <w:tc>
          <w:tcPr>
            <w:tcW w:w="11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7"/>
              <w:spacing w:after="0" w:line="144"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343"/>
              <w:spacing w:after="0" w:line="144" w:lineRule="exact"/>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9"/>
        </w:trPr>
        <w:tc>
          <w:tcPr>
            <w:tcW w:w="56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States</w:t>
            </w:r>
          </w:p>
        </w:tc>
        <w:tc>
          <w:tcPr>
            <w:tcW w:w="116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07"/>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1,915</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1,922</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1,614</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China</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136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127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104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104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Japan</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79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101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Mexico</w:t>
            </w: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71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Germany</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59</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France</w:t>
            </w: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37</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United Kingdom</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35</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Brazil</w:t>
            </w:r>
          </w:p>
        </w:tc>
        <w:tc>
          <w:tcPr>
            <w:tcW w:w="1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58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Arial" w:cs="Arial" w:eastAsia="Arial" w:hAnsi="Arial"/>
                <w:sz w:val="16"/>
                <w:szCs w:val="16"/>
                <w:color w:val="auto"/>
              </w:rPr>
              <w:t>Turkey</w:t>
            </w: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ind w:right="42"/>
              <w:spacing w:after="0"/>
              <w:rPr>
                <w:sz w:val="20"/>
                <w:szCs w:val="20"/>
                <w:color w:val="auto"/>
              </w:rPr>
            </w:pPr>
            <w:r>
              <w:rPr>
                <w:rFonts w:ascii="Arial" w:cs="Arial" w:eastAsia="Arial" w:hAnsi="Arial"/>
                <w:sz w:val="16"/>
                <w:szCs w:val="16"/>
                <w:b w:val="1"/>
                <w:bCs w:val="1"/>
                <w:color w:val="auto"/>
              </w:rPr>
              <w:t>27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8"/>
        </w:trPr>
        <w:tc>
          <w:tcPr>
            <w:tcW w:w="562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160" w:type="dxa"/>
            <w:vAlign w:val="bottom"/>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201</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214</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179"/>
        </w:trPr>
        <w:tc>
          <w:tcPr>
            <w:tcW w:w="562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160" w:type="dxa"/>
            <w:vAlign w:val="bottom"/>
          </w:tcPr>
          <w:p>
            <w:pPr>
              <w:spacing w:after="0"/>
              <w:rPr>
                <w:sz w:val="15"/>
                <w:szCs w:val="15"/>
                <w:color w:val="auto"/>
              </w:rPr>
            </w:pPr>
          </w:p>
        </w:tc>
        <w:tc>
          <w:tcPr>
            <w:tcW w:w="880" w:type="dxa"/>
            <w:vAlign w:val="bottom"/>
          </w:tcPr>
          <w:p>
            <w:pPr>
              <w:jc w:val="right"/>
              <w:ind w:right="707"/>
              <w:spacing w:after="0" w:line="180" w:lineRule="exact"/>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2,698</w:t>
            </w:r>
          </w:p>
        </w:tc>
        <w:tc>
          <w:tcPr>
            <w:tcW w:w="4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2,713</w:t>
            </w:r>
          </w:p>
        </w:tc>
        <w:tc>
          <w:tcPr>
            <w:tcW w:w="160" w:type="dxa"/>
            <w:vAlign w:val="bottom"/>
          </w:tcPr>
          <w:p>
            <w:pPr>
              <w:spacing w:after="0"/>
              <w:rPr>
                <w:sz w:val="15"/>
                <w:szCs w:val="15"/>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vMerge w:val="restart"/>
          </w:tcPr>
          <w:p>
            <w:pPr>
              <w:jc w:val="right"/>
              <w:ind w:right="902"/>
              <w:spacing w:after="0"/>
              <w:rPr>
                <w:sz w:val="20"/>
                <w:szCs w:val="20"/>
                <w:color w:val="auto"/>
              </w:rPr>
            </w:pPr>
            <w:r>
              <w:rPr>
                <w:rFonts w:ascii="Arial" w:cs="Arial" w:eastAsia="Arial" w:hAnsi="Arial"/>
                <w:sz w:val="16"/>
                <w:szCs w:val="16"/>
                <w:color w:val="auto"/>
                <w:w w:val="89"/>
              </w:rPr>
              <w:t>93</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6"/>
        </w:trPr>
        <w:tc>
          <w:tcPr>
            <w:tcW w:w="56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6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had the following net long-lived assets by country (dollars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8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4"/>
        </w:trPr>
        <w:tc>
          <w:tcPr>
            <w:tcW w:w="3860" w:type="dxa"/>
            <w:vAlign w:val="bottom"/>
            <w:tcBorders>
              <w:bottom w:val="single" w:sz="8" w:color="CFF0FC"/>
            </w:tcBorders>
          </w:tcPr>
          <w:p>
            <w:pPr>
              <w:spacing w:after="0"/>
              <w:rPr>
                <w:sz w:val="12"/>
                <w:szCs w:val="12"/>
                <w:color w:val="auto"/>
              </w:rPr>
            </w:pPr>
          </w:p>
        </w:tc>
        <w:tc>
          <w:tcPr>
            <w:tcW w:w="292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67"/>
              <w:spacing w:after="0" w:line="144"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4"/>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3"/>
                <w:szCs w:val="13"/>
                <w:b w:val="1"/>
                <w:bCs w:val="1"/>
                <w:color w:val="auto"/>
              </w:rPr>
              <w:t>2017</w:t>
            </w:r>
          </w:p>
        </w:tc>
      </w:tr>
      <w:tr>
        <w:trPr>
          <w:trHeight w:val="179"/>
        </w:trPr>
        <w:tc>
          <w:tcPr>
            <w:tcW w:w="38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United States</w:t>
            </w:r>
          </w:p>
        </w:tc>
        <w:tc>
          <w:tcPr>
            <w:tcW w:w="29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7"/>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583</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427</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400</w:t>
            </w:r>
          </w:p>
        </w:tc>
      </w:tr>
      <w:tr>
        <w:trPr>
          <w:trHeight w:val="188"/>
        </w:trPr>
        <w:tc>
          <w:tcPr>
            <w:tcW w:w="3860" w:type="dxa"/>
            <w:vAlign w:val="bottom"/>
          </w:tcPr>
          <w:p>
            <w:pPr>
              <w:spacing w:after="0"/>
              <w:rPr>
                <w:sz w:val="20"/>
                <w:szCs w:val="20"/>
                <w:color w:val="auto"/>
              </w:rPr>
            </w:pPr>
            <w:r>
              <w:rPr>
                <w:rFonts w:ascii="Arial" w:cs="Arial" w:eastAsia="Arial" w:hAnsi="Arial"/>
                <w:sz w:val="16"/>
                <w:szCs w:val="16"/>
                <w:color w:val="auto"/>
              </w:rPr>
              <w:t>India</w:t>
            </w:r>
          </w:p>
        </w:tc>
        <w:tc>
          <w:tcPr>
            <w:tcW w:w="2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jc w:val="right"/>
              <w:ind w:right="42"/>
              <w:spacing w:after="0"/>
              <w:rPr>
                <w:sz w:val="20"/>
                <w:szCs w:val="20"/>
                <w:color w:val="auto"/>
              </w:rPr>
            </w:pPr>
            <w:r>
              <w:rPr>
                <w:rFonts w:ascii="Arial" w:cs="Arial" w:eastAsia="Arial" w:hAnsi="Arial"/>
                <w:sz w:val="16"/>
                <w:szCs w:val="16"/>
                <w:b w:val="1"/>
                <w:bCs w:val="1"/>
                <w:color w:val="auto"/>
              </w:rPr>
              <w:t>17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32</w:t>
            </w:r>
          </w:p>
        </w:tc>
      </w:tr>
      <w:tr>
        <w:trPr>
          <w:trHeight w:val="188"/>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Hungary</w:t>
            </w:r>
          </w:p>
        </w:tc>
        <w:tc>
          <w:tcPr>
            <w:tcW w:w="29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w:t>
            </w:r>
          </w:p>
        </w:tc>
      </w:tr>
      <w:tr>
        <w:trPr>
          <w:trHeight w:val="188"/>
        </w:trPr>
        <w:tc>
          <w:tcPr>
            <w:tcW w:w="3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292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5</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w:t>
            </w:r>
          </w:p>
        </w:tc>
      </w:tr>
      <w:tr>
        <w:trPr>
          <w:trHeight w:val="179"/>
        </w:trPr>
        <w:tc>
          <w:tcPr>
            <w:tcW w:w="38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29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7"/>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616</w:t>
            </w:r>
          </w:p>
        </w:tc>
        <w:tc>
          <w:tcPr>
            <w:tcW w:w="440" w:type="dxa"/>
            <w:vAlign w:val="bottom"/>
            <w:gridSpan w:val="2"/>
            <w:shd w:val="clear" w:color="auto" w:fill="CFF0FC"/>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466</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448</w:t>
            </w:r>
          </w:p>
        </w:tc>
      </w:tr>
      <w:tr>
        <w:trPr>
          <w:trHeight w:val="20"/>
        </w:trPr>
        <w:tc>
          <w:tcPr>
            <w:tcW w:w="3860" w:type="dxa"/>
            <w:vAlign w:val="bottom"/>
            <w:tcBorders>
              <w:top w:val="single" w:sz="8" w:color="CFF0FC"/>
            </w:tcBorders>
          </w:tcPr>
          <w:p>
            <w:pPr>
              <w:spacing w:after="0" w:line="20" w:lineRule="exact"/>
              <w:rPr>
                <w:sz w:val="1"/>
                <w:szCs w:val="1"/>
                <w:color w:val="auto"/>
              </w:rPr>
            </w:pPr>
          </w:p>
        </w:tc>
        <w:tc>
          <w:tcPr>
            <w:tcW w:w="29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24.  QUARTERLY FINANCIAL INFORMATION</w:t>
      </w:r>
    </w:p>
    <w:p>
      <w:pPr>
        <w:spacing w:after="0" w:line="153" w:lineRule="exact"/>
        <w:rPr>
          <w:sz w:val="20"/>
          <w:szCs w:val="20"/>
          <w:color w:val="auto"/>
        </w:rPr>
      </w:pPr>
    </w:p>
    <w:p>
      <w:pPr>
        <w:ind w:right="420" w:firstLine="603"/>
        <w:spacing w:after="0" w:line="237" w:lineRule="auto"/>
        <w:rPr>
          <w:sz w:val="20"/>
          <w:szCs w:val="20"/>
          <w:color w:val="auto"/>
        </w:rPr>
      </w:pPr>
      <w:r>
        <w:rPr>
          <w:rFonts w:ascii="Arial" w:cs="Arial" w:eastAsia="Arial" w:hAnsi="Arial"/>
          <w:sz w:val="16"/>
          <w:szCs w:val="16"/>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600"/>
              <w:spacing w:after="0"/>
              <w:rPr>
                <w:sz w:val="20"/>
                <w:szCs w:val="20"/>
                <w:color w:val="auto"/>
              </w:rPr>
            </w:pPr>
            <w:r>
              <w:rPr>
                <w:rFonts w:ascii="Arial" w:cs="Arial" w:eastAsia="Arial" w:hAnsi="Arial"/>
                <w:sz w:val="13"/>
                <w:szCs w:val="13"/>
                <w:b w:val="1"/>
                <w:bCs w:val="1"/>
                <w:color w:val="auto"/>
              </w:rPr>
              <w:t>Quarters ended,</w:t>
            </w: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r>
      <w:tr>
        <w:trPr>
          <w:trHeight w:val="144"/>
        </w:trPr>
        <w:tc>
          <w:tcPr>
            <w:tcW w:w="59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March 31</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ind w:left="140"/>
              <w:spacing w:after="0" w:line="144"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2"/>
                <w:szCs w:val="12"/>
                <w:color w:val="auto"/>
              </w:rPr>
            </w:pPr>
          </w:p>
        </w:tc>
        <w:tc>
          <w:tcPr>
            <w:tcW w:w="128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30</w:t>
            </w:r>
          </w:p>
        </w:tc>
        <w:tc>
          <w:tcPr>
            <w:tcW w:w="140" w:type="dxa"/>
            <w:vAlign w:val="bottom"/>
          </w:tcPr>
          <w:p>
            <w:pPr>
              <w:spacing w:after="0"/>
              <w:rPr>
                <w:sz w:val="12"/>
                <w:szCs w:val="12"/>
                <w:color w:val="auto"/>
              </w:rPr>
            </w:pPr>
          </w:p>
        </w:tc>
        <w:tc>
          <w:tcPr>
            <w:tcW w:w="1140" w:type="dxa"/>
            <w:vAlign w:val="bottom"/>
          </w:tcPr>
          <w:p>
            <w:pPr>
              <w:jc w:val="right"/>
              <w:ind w:right="243"/>
              <w:spacing w:after="0" w:line="144" w:lineRule="exact"/>
              <w:rPr>
                <w:sz w:val="20"/>
                <w:szCs w:val="20"/>
                <w:color w:val="auto"/>
              </w:rPr>
            </w:pPr>
            <w:r>
              <w:rPr>
                <w:rFonts w:ascii="Arial" w:cs="Arial" w:eastAsia="Arial" w:hAnsi="Arial"/>
                <w:sz w:val="13"/>
                <w:szCs w:val="13"/>
                <w:b w:val="1"/>
                <w:bCs w:val="1"/>
                <w:color w:val="auto"/>
                <w:w w:val="98"/>
              </w:rPr>
              <w:t>December 31</w:t>
            </w:r>
          </w:p>
        </w:tc>
      </w:tr>
      <w:tr>
        <w:trPr>
          <w:trHeight w:val="179"/>
        </w:trPr>
        <w:tc>
          <w:tcPr>
            <w:tcW w:w="59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i w:val="1"/>
                <w:iCs w:val="1"/>
                <w:color w:val="auto"/>
              </w:rPr>
              <w:t>2019</w:t>
            </w: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spacing w:after="0"/>
              <w:rPr>
                <w:sz w:val="15"/>
                <w:szCs w:val="15"/>
                <w:color w:val="auto"/>
              </w:rPr>
            </w:pP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Net sales</w:t>
            </w:r>
          </w:p>
        </w:tc>
        <w:tc>
          <w:tcPr>
            <w:tcW w:w="840" w:type="dxa"/>
            <w:vAlign w:val="bottom"/>
          </w:tcPr>
          <w:p>
            <w:pPr>
              <w:jc w:val="right"/>
              <w:ind w:right="689"/>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675</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737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669</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617</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359</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389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348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298</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Operating income</w:t>
            </w:r>
          </w:p>
        </w:tc>
        <w:tc>
          <w:tcPr>
            <w:tcW w:w="8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244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259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224</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165</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211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229</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194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134</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167</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149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107</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840" w:type="dxa"/>
            <w:vAlign w:val="bottom"/>
            <w:shd w:val="clear" w:color="auto" w:fill="CFF0FC"/>
          </w:tcPr>
          <w:p>
            <w:pPr>
              <w:jc w:val="right"/>
              <w:ind w:right="689"/>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w w:val="89"/>
              </w:rPr>
              <w:t>1.33</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1.47</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1.24</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0.90</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840" w:type="dxa"/>
            <w:vAlign w:val="bottom"/>
          </w:tcPr>
          <w:p>
            <w:pPr>
              <w:jc w:val="right"/>
              <w:ind w:right="689"/>
              <w:spacing w:after="0"/>
              <w:rPr>
                <w:sz w:val="20"/>
                <w:szCs w:val="20"/>
                <w:color w:val="auto"/>
              </w:rPr>
            </w:pPr>
            <w:r>
              <w:rPr>
                <w:rFonts w:ascii="Arial" w:cs="Arial" w:eastAsia="Arial" w:hAnsi="Arial"/>
                <w:sz w:val="15"/>
                <w:szCs w:val="15"/>
                <w:b w:val="1"/>
                <w:bCs w:val="1"/>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w w:val="89"/>
              </w:rPr>
              <w:t>1.32</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b w:val="1"/>
                <w:bCs w:val="1"/>
                <w:color w:val="auto"/>
              </w:rPr>
              <w:t>1.46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1.23</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ind w:right="43"/>
              <w:spacing w:after="0"/>
              <w:rPr>
                <w:sz w:val="20"/>
                <w:szCs w:val="20"/>
                <w:color w:val="auto"/>
              </w:rPr>
            </w:pPr>
            <w:r>
              <w:rPr>
                <w:rFonts w:ascii="Arial" w:cs="Arial" w:eastAsia="Arial" w:hAnsi="Arial"/>
                <w:sz w:val="16"/>
                <w:szCs w:val="16"/>
                <w:b w:val="1"/>
                <w:bCs w:val="1"/>
                <w:color w:val="auto"/>
              </w:rPr>
              <w:t>0.90</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2018</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Net sales</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663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692</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647</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342</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368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338</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Operating income</w:t>
            </w:r>
          </w:p>
        </w:tc>
        <w:tc>
          <w:tcPr>
            <w:tcW w:w="8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222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207</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191</w:t>
            </w: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218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174</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Net income</w:t>
            </w:r>
          </w:p>
        </w:tc>
        <w:tc>
          <w:tcPr>
            <w:tcW w:w="84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151</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147</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Basic earnings per share</w:t>
            </w:r>
          </w:p>
        </w:tc>
        <w:tc>
          <w:tcPr>
            <w:tcW w:w="840" w:type="dxa"/>
            <w:vAlign w:val="bottom"/>
            <w:shd w:val="clear" w:color="auto" w:fill="CFF0FC"/>
          </w:tcPr>
          <w:p>
            <w:pPr>
              <w:jc w:val="right"/>
              <w:ind w:right="689"/>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1.09</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1.15</w:t>
            </w:r>
          </w:p>
        </w:tc>
      </w:tr>
      <w:tr>
        <w:trPr>
          <w:trHeight w:val="199"/>
        </w:trPr>
        <w:tc>
          <w:tcPr>
            <w:tcW w:w="596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840" w:type="dxa"/>
            <w:vAlign w:val="bottom"/>
          </w:tcPr>
          <w:p>
            <w:pPr>
              <w:jc w:val="right"/>
              <w:ind w:right="689"/>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w w:val="89"/>
              </w:rPr>
              <w:t>1.08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4"/>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1.27</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1.14</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25.  ACQUISITIONS</w:t>
      </w:r>
    </w:p>
    <w:p>
      <w:pPr>
        <w:spacing w:after="0" w:line="13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Walker Die Casting Acquisition</w:t>
      </w:r>
    </w:p>
    <w:p>
      <w:pPr>
        <w:spacing w:after="0" w:line="151" w:lineRule="exact"/>
        <w:rPr>
          <w:sz w:val="20"/>
          <w:szCs w:val="20"/>
          <w:color w:val="auto"/>
        </w:rPr>
      </w:pPr>
    </w:p>
    <w:p>
      <w:pPr>
        <w:jc w:val="both"/>
        <w:ind w:right="20" w:firstLine="531"/>
        <w:spacing w:after="0" w:line="250" w:lineRule="auto"/>
        <w:rPr>
          <w:sz w:val="20"/>
          <w:szCs w:val="20"/>
          <w:color w:val="auto"/>
        </w:rPr>
      </w:pPr>
      <w:r>
        <w:rPr>
          <w:rFonts w:ascii="Arial" w:cs="Arial" w:eastAsia="Arial" w:hAnsi="Arial"/>
          <w:sz w:val="15"/>
          <w:szCs w:val="15"/>
          <w:color w:val="auto"/>
        </w:rPr>
        <w:t>On September 9, 2019, the Company acquired the assets of Walker Die Casting, Inc. (“Walker Die Casting”), an aluminum castings company, and C&amp;R Tool and Engineering, Inc. (“C&amp;R Tool and Engineering”), a supplier of metal-working tools, for approximately $103 million in cash, which included the effective settlement of pre-existing accounts payable of approximately $4 million. Walker Die Casting is an essential component supplier for the Company’s core on-highway transmission products. The Company has accounted for this acquisition in accordance with authoritative accounting guidance on business combinations. Control was obtained as of the purchase date through the purchase agreement. The acquired business was integrated into the Company's single operating segment.</w:t>
      </w:r>
    </w:p>
    <w:p>
      <w:pPr>
        <w:spacing w:after="0" w:line="122" w:lineRule="exact"/>
        <w:rPr>
          <w:sz w:val="20"/>
          <w:szCs w:val="20"/>
          <w:color w:val="auto"/>
        </w:rPr>
      </w:pPr>
    </w:p>
    <w:p>
      <w:pPr>
        <w:ind w:right="100" w:firstLine="531"/>
        <w:spacing w:after="0" w:line="231" w:lineRule="auto"/>
        <w:rPr>
          <w:sz w:val="20"/>
          <w:szCs w:val="20"/>
          <w:color w:val="auto"/>
        </w:rPr>
      </w:pPr>
      <w:r>
        <w:rPr>
          <w:rFonts w:ascii="Arial" w:cs="Arial" w:eastAsia="Arial" w:hAnsi="Arial"/>
          <w:sz w:val="16"/>
          <w:szCs w:val="16"/>
          <w:color w:val="auto"/>
        </w:rPr>
        <w:t>The preliminary purchase price of $99 million resulted in the recognition of property, plant and equipment, goodwill, inventory, intangible assets and other net assets of $53 million, $21 million, $18 million, $4 million and $3 million, respectively. The intangible assets were valued using an income approach, which included certain sensitive assumptions including discount rate and royalty rate. The intangible assets consist of customer relationships and tradename of $3 million and $1 million, respectively, and have weighted average remaining useful lives of approximately 7 years and 15 years, respectively. The amount allocated to goodwill is deductible for income tax purposes. Goodwill represents the excess of the consideration transferred over the preliminary estimate of fair values of the assets acquired and liabilities assumed and is primarily attributable to intangible assets, such as the assembled workforce, which are not separately recognizable. The carrying value of the goodwill associated with this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5" w:name="page96"/>
    <w:bookmarkEnd w:id="9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80"/>
        <w:spacing w:after="0" w:line="232" w:lineRule="auto"/>
        <w:rPr>
          <w:sz w:val="20"/>
          <w:szCs w:val="20"/>
          <w:color w:val="auto"/>
        </w:rPr>
      </w:pPr>
      <w:r>
        <w:rPr>
          <w:rFonts w:ascii="Arial" w:cs="Arial" w:eastAsia="Arial" w:hAnsi="Arial"/>
          <w:sz w:val="16"/>
          <w:szCs w:val="16"/>
          <w:color w:val="auto"/>
        </w:rPr>
        <w:t>business combination was $21 million at December 31, 2019. The Company has completed its initial accounting for the fair value of the acquired assets and liabilities, and any adjustments identified in the measurement period, such as working capital, not to exceed one year from the acquisition date, will be accounted for prospectively. For the fiscal year ended December 31, 2019, the results of Walker Die Casting and C&amp;R Tool and Engineering as of and after the date of acquisition have been included in the Company’s consolidated financial statements as of and for the year ended December 31, 2019, and net sales have been included in the Company’s Service Parts, Support Equipment and Other end market.</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AxleTech Electric Vehicle Systems Division Acquisition</w:t>
      </w:r>
    </w:p>
    <w:p>
      <w:pPr>
        <w:spacing w:after="0" w:line="151" w:lineRule="exact"/>
        <w:rPr>
          <w:sz w:val="20"/>
          <w:szCs w:val="20"/>
          <w:color w:val="auto"/>
        </w:rPr>
      </w:pPr>
    </w:p>
    <w:p>
      <w:pPr>
        <w:ind w:right="160" w:firstLine="531"/>
        <w:spacing w:after="0" w:line="232" w:lineRule="auto"/>
        <w:rPr>
          <w:sz w:val="20"/>
          <w:szCs w:val="20"/>
          <w:color w:val="auto"/>
        </w:rPr>
      </w:pPr>
      <w:r>
        <w:rPr>
          <w:rFonts w:ascii="Arial" w:cs="Arial" w:eastAsia="Arial" w:hAnsi="Arial"/>
          <w:sz w:val="16"/>
          <w:szCs w:val="16"/>
          <w:color w:val="auto"/>
        </w:rPr>
        <w:t>On April 16, 2019, the Company acquired from AxleTech, a technology company that engineers, designs, manufactures, sells and services powertrain solutions for on-highway and off-highway heavy-duty vehicles, all of the assets related to its electric vehicle systems division, which designs and manufactures fully integrated electrified-axle propulsion solutions for medium- and heavy-duty trucks and transit buses, for approximately $124 million in cash. The acquisition aligns with the Company's strategy to advance its position in propulsion solutions. The Company has accounted for this acquisition in accordance with authoritative accounting guidance on business combinations. Control was obtained as of the purchase date through the purchase agreement. The acquired business was integrated into the Company's single operating segment.</w:t>
      </w:r>
    </w:p>
    <w:p>
      <w:pPr>
        <w:spacing w:after="0" w:line="130" w:lineRule="exact"/>
        <w:rPr>
          <w:sz w:val="20"/>
          <w:szCs w:val="20"/>
          <w:color w:val="auto"/>
        </w:rPr>
      </w:pPr>
    </w:p>
    <w:p>
      <w:pPr>
        <w:ind w:firstLine="531"/>
        <w:spacing w:after="0" w:line="230" w:lineRule="auto"/>
        <w:rPr>
          <w:sz w:val="20"/>
          <w:szCs w:val="20"/>
          <w:color w:val="auto"/>
        </w:rPr>
      </w:pPr>
      <w:r>
        <w:rPr>
          <w:rFonts w:ascii="Arial" w:cs="Arial" w:eastAsia="Arial" w:hAnsi="Arial"/>
          <w:sz w:val="16"/>
          <w:szCs w:val="16"/>
          <w:color w:val="auto"/>
        </w:rPr>
        <w:t>The preliminary purchase price allocation for this transaction resulted in the recognition of goodwill, intangible assets, and property, plant and equipment of $67 million, $56 million, and $1 million, respectively. The intangible assets were valued using an income approach, which included certain sensitive assumptions including discount rate, royalty rate, asset life and future cash flows. The intangible assets consist of in-process research and development, customer relationships and developed technology of $ 50 million, $3 million and $3 million, respectively. Customer relationships and developed technology have weighted average remaining useful lives of approximately 6 years and 14 years, respectively. The amount allocated to goodwill is deductible for income tax purposes. Goodwill represents the excess of the consideration transferred over the preliminary estimate of fair values of the assets acquired and liabilities assumed and is primarily attributable to intangible assets, such as the assembled workforce, which are not separately recognizable. The carrying value of the goodwill associated with this business combination was $67 million at December 31, 2019. The Company has completed its initial accounting for the fair value of the acquired assets and liabilities, and any adjustments identified in the measurement period, which will not exceed one year from the acquisition date, will be accounted for prospectively. For the fiscal year ended December 31, 2019, the results of electric vehicle systems division acquired from AxleTech as of and after the date of acquisition have been included in the Company’s consolidated financial statements as of and for the year ended December 31, 2019, and net sales have been included in the Company’s North America On-Highway end market.</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Vantage Power Limited Acquisition</w:t>
      </w:r>
    </w:p>
    <w:p>
      <w:pPr>
        <w:spacing w:after="0" w:line="151" w:lineRule="exact"/>
        <w:rPr>
          <w:sz w:val="20"/>
          <w:szCs w:val="20"/>
          <w:color w:val="auto"/>
        </w:rPr>
      </w:pPr>
    </w:p>
    <w:p>
      <w:pPr>
        <w:ind w:right="80" w:firstLine="531"/>
        <w:spacing w:after="0" w:line="232" w:lineRule="auto"/>
        <w:rPr>
          <w:sz w:val="20"/>
          <w:szCs w:val="20"/>
          <w:color w:val="auto"/>
        </w:rPr>
      </w:pPr>
      <w:r>
        <w:rPr>
          <w:rFonts w:ascii="Arial" w:cs="Arial" w:eastAsia="Arial" w:hAnsi="Arial"/>
          <w:sz w:val="16"/>
          <w:szCs w:val="16"/>
          <w:color w:val="auto"/>
        </w:rPr>
        <w:t>On April 12, 2019, the Company acquired all of the outstanding shares of Vantage Power Limited, a privately owned company based in the United Kingdom which designs and manufactures powertrain electrification and connectivity technologies applicable to a broad range of commercial vehicle end markets. The Company paid approximately $9 million in cash on April 12, 2019 and may pay up to an additional $8 million over the next three years based on specified conditions being met. The Company has accounted for this acquisition in accordance with authoritative accounting guidance on business combinations. The acquired business was integrated into the Company's single operating segment as a wholly-owned subsidiary.</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I—Parent Company only Balance Sheets</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 2019</w:t>
            </w:r>
          </w:p>
        </w:tc>
        <w:tc>
          <w:tcPr>
            <w:tcW w:w="140" w:type="dxa"/>
            <w:vAlign w:val="bottom"/>
          </w:tcPr>
          <w:p>
            <w:pPr>
              <w:spacing w:after="0"/>
              <w:rPr>
                <w:sz w:val="13"/>
                <w:szCs w:val="13"/>
                <w:color w:val="auto"/>
              </w:rPr>
            </w:pPr>
          </w:p>
        </w:tc>
        <w:tc>
          <w:tcPr>
            <w:tcW w:w="1560" w:type="dxa"/>
            <w:vAlign w:val="bottom"/>
          </w:tcPr>
          <w:p>
            <w:pPr>
              <w:jc w:val="right"/>
              <w:ind w:right="283"/>
              <w:spacing w:after="0"/>
              <w:rPr>
                <w:sz w:val="20"/>
                <w:szCs w:val="20"/>
                <w:color w:val="auto"/>
              </w:rPr>
            </w:pPr>
            <w:r>
              <w:rPr>
                <w:rFonts w:ascii="Arial" w:cs="Arial" w:eastAsia="Arial" w:hAnsi="Arial"/>
                <w:sz w:val="13"/>
                <w:szCs w:val="13"/>
                <w:b w:val="1"/>
                <w:bCs w:val="1"/>
                <w:color w:val="auto"/>
              </w:rPr>
              <w:t>December 31, 2018</w:t>
            </w:r>
          </w:p>
        </w:tc>
      </w:tr>
      <w:tr>
        <w:trPr>
          <w:trHeight w:val="179"/>
        </w:trPr>
        <w:tc>
          <w:tcPr>
            <w:tcW w:w="58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ASSETS</w:t>
            </w:r>
          </w:p>
        </w:tc>
        <w:tc>
          <w:tcPr>
            <w:tcW w:w="20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5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1560" w:type="dxa"/>
            <w:vAlign w:val="bottom"/>
            <w:tcBorders>
              <w:top w:val="single" w:sz="8" w:color="auto"/>
            </w:tcBorders>
            <w:shd w:val="clear" w:color="auto" w:fill="CFF0FC"/>
          </w:tcPr>
          <w:p>
            <w:pPr>
              <w:spacing w:after="0"/>
              <w:rPr>
                <w:sz w:val="15"/>
                <w:szCs w:val="15"/>
                <w:color w:val="auto"/>
              </w:rPr>
            </w:pPr>
          </w:p>
        </w:tc>
      </w:tr>
      <w:tr>
        <w:trPr>
          <w:trHeight w:val="188"/>
        </w:trPr>
        <w:tc>
          <w:tcPr>
            <w:tcW w:w="5820" w:type="dxa"/>
            <w:vAlign w:val="bottom"/>
          </w:tcPr>
          <w:p>
            <w:pPr>
              <w:spacing w:after="0"/>
              <w:rPr>
                <w:sz w:val="20"/>
                <w:szCs w:val="20"/>
                <w:color w:val="auto"/>
              </w:rPr>
            </w:pPr>
            <w:r>
              <w:rPr>
                <w:rFonts w:ascii="Arial" w:cs="Arial" w:eastAsia="Arial" w:hAnsi="Arial"/>
                <w:sz w:val="16"/>
                <w:szCs w:val="16"/>
                <w:color w:val="auto"/>
              </w:rPr>
              <w:t>Current Assets:</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2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79"/>
        </w:trPr>
        <w:tc>
          <w:tcPr>
            <w:tcW w:w="5820" w:type="dxa"/>
            <w:vAlign w:val="bottom"/>
          </w:tcPr>
          <w:p>
            <w:pPr>
              <w:spacing w:after="0" w:line="180" w:lineRule="exact"/>
              <w:rPr>
                <w:sz w:val="20"/>
                <w:szCs w:val="20"/>
                <w:color w:val="auto"/>
              </w:rPr>
            </w:pPr>
            <w:r>
              <w:rPr>
                <w:rFonts w:ascii="Arial" w:cs="Arial" w:eastAsia="Arial" w:hAnsi="Arial"/>
                <w:sz w:val="16"/>
                <w:szCs w:val="16"/>
                <w:color w:val="auto"/>
              </w:rPr>
              <w:t>Total Current Assets</w:t>
            </w:r>
          </w:p>
        </w:tc>
        <w:tc>
          <w:tcPr>
            <w:tcW w:w="20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3"/>
              <w:spacing w:after="0" w:line="180" w:lineRule="exact"/>
              <w:rPr>
                <w:sz w:val="20"/>
                <w:szCs w:val="20"/>
                <w:color w:val="auto"/>
              </w:rPr>
            </w:pPr>
            <w:r>
              <w:rPr>
                <w:rFonts w:ascii="Arial" w:cs="Arial" w:eastAsia="Arial" w:hAnsi="Arial"/>
                <w:sz w:val="16"/>
                <w:szCs w:val="16"/>
                <w:color w:val="auto"/>
              </w:rPr>
              <w: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w:t>
            </w:r>
          </w:p>
        </w:tc>
      </w:tr>
      <w:tr>
        <w:trPr>
          <w:trHeight w:val="188"/>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and advances to subsidiaries</w:t>
            </w:r>
          </w:p>
        </w:tc>
        <w:tc>
          <w:tcPr>
            <w:tcW w:w="20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781</w:t>
            </w:r>
          </w:p>
        </w:tc>
        <w:tc>
          <w:tcPr>
            <w:tcW w:w="1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6"/>
                <w:szCs w:val="16"/>
                <w:color w:val="auto"/>
              </w:rPr>
              <w:t>659</w:t>
            </w:r>
          </w:p>
        </w:tc>
      </w:tr>
      <w:tr>
        <w:trPr>
          <w:trHeight w:val="219"/>
        </w:trPr>
        <w:tc>
          <w:tcPr>
            <w:tcW w:w="582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TOTAL ASSETS</w:t>
            </w:r>
          </w:p>
        </w:tc>
        <w:tc>
          <w:tcPr>
            <w:tcW w:w="20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781</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659</w:t>
            </w:r>
          </w:p>
        </w:tc>
      </w:tr>
      <w:tr>
        <w:trPr>
          <w:trHeight w:val="163"/>
        </w:trPr>
        <w:tc>
          <w:tcPr>
            <w:tcW w:w="582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 AND STOCKHOLDERS’ EQUITY</w:t>
            </w:r>
          </w:p>
        </w:tc>
        <w:tc>
          <w:tcPr>
            <w:tcW w:w="20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r>
      <w:tr>
        <w:trPr>
          <w:trHeight w:val="188"/>
        </w:trPr>
        <w:tc>
          <w:tcPr>
            <w:tcW w:w="5820" w:type="dxa"/>
            <w:vAlign w:val="bottom"/>
          </w:tcPr>
          <w:p>
            <w:pPr>
              <w:spacing w:after="0"/>
              <w:rPr>
                <w:sz w:val="20"/>
                <w:szCs w:val="20"/>
                <w:color w:val="auto"/>
              </w:rPr>
            </w:pPr>
            <w:r>
              <w:rPr>
                <w:rFonts w:ascii="Arial" w:cs="Arial" w:eastAsia="Arial" w:hAnsi="Arial"/>
                <w:sz w:val="16"/>
                <w:szCs w:val="16"/>
                <w:color w:val="auto"/>
              </w:rPr>
              <w:t>Current Liabilities:</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8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2220" w:type="dxa"/>
            <w:vAlign w:val="bottom"/>
            <w:gridSpan w:val="2"/>
            <w:shd w:val="clear" w:color="auto" w:fill="CFF0FC"/>
          </w:tcPr>
          <w:p>
            <w:pPr>
              <w:jc w:val="right"/>
              <w:ind w:right="7"/>
              <w:spacing w:after="0"/>
              <w:rPr>
                <w:sz w:val="20"/>
                <w:szCs w:val="20"/>
                <w:color w:val="auto"/>
              </w:rPr>
            </w:pPr>
            <w:r>
              <w:rPr>
                <w:rFonts w:ascii="Arial" w:cs="Arial" w:eastAsia="Arial" w:hAnsi="Arial"/>
                <w:sz w:val="16"/>
                <w:szCs w:val="16"/>
                <w:b w:val="1"/>
                <w:bCs w:val="1"/>
                <w:color w:val="auto"/>
              </w:rPr>
              <w:t>$</w:t>
            </w: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79"/>
        </w:trPr>
        <w:tc>
          <w:tcPr>
            <w:tcW w:w="5820" w:type="dxa"/>
            <w:vAlign w:val="bottom"/>
          </w:tcPr>
          <w:p>
            <w:pPr>
              <w:spacing w:after="0" w:line="180" w:lineRule="exact"/>
              <w:rPr>
                <w:sz w:val="20"/>
                <w:szCs w:val="20"/>
                <w:color w:val="auto"/>
              </w:rPr>
            </w:pPr>
            <w:r>
              <w:rPr>
                <w:rFonts w:ascii="Arial" w:cs="Arial" w:eastAsia="Arial" w:hAnsi="Arial"/>
                <w:sz w:val="16"/>
                <w:szCs w:val="16"/>
                <w:color w:val="auto"/>
              </w:rPr>
              <w:t>Total Current Liabilities</w:t>
            </w:r>
          </w:p>
        </w:tc>
        <w:tc>
          <w:tcPr>
            <w:tcW w:w="20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w:t>
            </w:r>
          </w:p>
        </w:tc>
      </w:tr>
      <w:tr>
        <w:trPr>
          <w:trHeight w:val="18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stock</w:t>
            </w:r>
          </w:p>
        </w:tc>
        <w:tc>
          <w:tcPr>
            <w:tcW w:w="2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w:t>
            </w:r>
          </w:p>
        </w:tc>
      </w:tr>
      <w:tr>
        <w:trPr>
          <w:trHeight w:val="188"/>
        </w:trPr>
        <w:tc>
          <w:tcPr>
            <w:tcW w:w="5820" w:type="dxa"/>
            <w:vAlign w:val="bottom"/>
          </w:tcPr>
          <w:p>
            <w:pPr>
              <w:ind w:left="200"/>
              <w:spacing w:after="0"/>
              <w:rPr>
                <w:sz w:val="20"/>
                <w:szCs w:val="20"/>
                <w:color w:val="auto"/>
              </w:rPr>
            </w:pPr>
            <w:r>
              <w:rPr>
                <w:rFonts w:ascii="Arial" w:cs="Arial" w:eastAsia="Arial" w:hAnsi="Arial"/>
                <w:sz w:val="16"/>
                <w:szCs w:val="16"/>
                <w:color w:val="auto"/>
              </w:rPr>
              <w:t>Paid in capital</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43"/>
              <w:spacing w:after="0"/>
              <w:rPr>
                <w:sz w:val="20"/>
                <w:szCs w:val="20"/>
                <w:color w:val="auto"/>
              </w:rPr>
            </w:pPr>
            <w:r>
              <w:rPr>
                <w:rFonts w:ascii="Arial" w:cs="Arial" w:eastAsia="Arial" w:hAnsi="Arial"/>
                <w:sz w:val="16"/>
                <w:szCs w:val="16"/>
                <w:b w:val="1"/>
                <w:bCs w:val="1"/>
                <w:color w:val="auto"/>
              </w:rPr>
              <w:t>1,802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63"/>
              <w:spacing w:after="0"/>
              <w:rPr>
                <w:sz w:val="20"/>
                <w:szCs w:val="20"/>
                <w:color w:val="auto"/>
              </w:rPr>
            </w:pPr>
            <w:r>
              <w:rPr>
                <w:rFonts w:ascii="Arial" w:cs="Arial" w:eastAsia="Arial" w:hAnsi="Arial"/>
                <w:sz w:val="16"/>
                <w:szCs w:val="16"/>
                <w:color w:val="auto"/>
              </w:rPr>
              <w:t>1,788</w:t>
            </w:r>
          </w:p>
        </w:tc>
      </w:tr>
      <w:tr>
        <w:trPr>
          <w:trHeight w:val="18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Treasury stock</w:t>
            </w:r>
          </w:p>
        </w:tc>
        <w:tc>
          <w:tcPr>
            <w:tcW w:w="20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15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w:t>
            </w:r>
          </w:p>
        </w:tc>
      </w:tr>
      <w:tr>
        <w:trPr>
          <w:trHeight w:val="188"/>
        </w:trPr>
        <w:tc>
          <w:tcPr>
            <w:tcW w:w="5820" w:type="dxa"/>
            <w:vAlign w:val="bottom"/>
          </w:tcPr>
          <w:p>
            <w:pPr>
              <w:ind w:left="200"/>
              <w:spacing w:after="0"/>
              <w:rPr>
                <w:sz w:val="20"/>
                <w:szCs w:val="20"/>
                <w:color w:val="auto"/>
              </w:rPr>
            </w:pPr>
            <w:r>
              <w:rPr>
                <w:rFonts w:ascii="Arial" w:cs="Arial" w:eastAsia="Arial" w:hAnsi="Arial"/>
                <w:sz w:val="16"/>
                <w:szCs w:val="16"/>
                <w:color w:val="auto"/>
              </w:rPr>
              <w:t>Accumulated deficit</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(970)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3"/>
              <w:spacing w:after="0"/>
              <w:rPr>
                <w:sz w:val="20"/>
                <w:szCs w:val="20"/>
                <w:color w:val="auto"/>
              </w:rPr>
            </w:pPr>
            <w:r>
              <w:rPr>
                <w:rFonts w:ascii="Arial" w:cs="Arial" w:eastAsia="Arial" w:hAnsi="Arial"/>
                <w:sz w:val="16"/>
                <w:szCs w:val="16"/>
                <w:color w:val="auto"/>
              </w:rPr>
              <w:t>(1,100)</w:t>
            </w:r>
          </w:p>
        </w:tc>
      </w:tr>
      <w:tr>
        <w:trPr>
          <w:trHeight w:val="188"/>
        </w:trPr>
        <w:tc>
          <w:tcPr>
            <w:tcW w:w="58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other comprehensive loss, net of tax</w:t>
            </w:r>
          </w:p>
        </w:tc>
        <w:tc>
          <w:tcPr>
            <w:tcW w:w="206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(52)</w:t>
            </w:r>
          </w:p>
        </w:tc>
        <w:tc>
          <w:tcPr>
            <w:tcW w:w="180" w:type="dxa"/>
            <w:vAlign w:val="bottom"/>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ind w:right="3"/>
              <w:spacing w:after="0"/>
              <w:rPr>
                <w:sz w:val="20"/>
                <w:szCs w:val="20"/>
                <w:color w:val="auto"/>
              </w:rPr>
            </w:pPr>
            <w:r>
              <w:rPr>
                <w:rFonts w:ascii="Arial" w:cs="Arial" w:eastAsia="Arial" w:hAnsi="Arial"/>
                <w:sz w:val="16"/>
                <w:szCs w:val="16"/>
                <w:color w:val="auto"/>
              </w:rPr>
              <w:t>(30)</w:t>
            </w:r>
          </w:p>
        </w:tc>
      </w:tr>
      <w:tr>
        <w:trPr>
          <w:trHeight w:val="179"/>
        </w:trPr>
        <w:tc>
          <w:tcPr>
            <w:tcW w:w="5820" w:type="dxa"/>
            <w:vAlign w:val="bottom"/>
          </w:tcPr>
          <w:p>
            <w:pPr>
              <w:spacing w:after="0" w:line="180" w:lineRule="exact"/>
              <w:rPr>
                <w:sz w:val="20"/>
                <w:szCs w:val="20"/>
                <w:color w:val="auto"/>
              </w:rPr>
            </w:pPr>
            <w:r>
              <w:rPr>
                <w:rFonts w:ascii="Arial" w:cs="Arial" w:eastAsia="Arial" w:hAnsi="Arial"/>
                <w:sz w:val="16"/>
                <w:szCs w:val="16"/>
                <w:color w:val="auto"/>
              </w:rPr>
              <w:t>TOTAL LIABILITIES AND STOCKHOLDERS’ EQUITY</w:t>
            </w:r>
          </w:p>
        </w:tc>
        <w:tc>
          <w:tcPr>
            <w:tcW w:w="206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tcPr>
          <w:p>
            <w:pPr>
              <w:jc w:val="right"/>
              <w:ind w:right="43"/>
              <w:spacing w:after="0" w:line="180" w:lineRule="exact"/>
              <w:rPr>
                <w:sz w:val="20"/>
                <w:szCs w:val="20"/>
                <w:color w:val="auto"/>
              </w:rPr>
            </w:pPr>
            <w:r>
              <w:rPr>
                <w:rFonts w:ascii="Arial" w:cs="Arial" w:eastAsia="Arial" w:hAnsi="Arial"/>
                <w:sz w:val="16"/>
                <w:szCs w:val="16"/>
                <w:b w:val="1"/>
                <w:bCs w:val="1"/>
                <w:color w:val="auto"/>
              </w:rPr>
              <w:t>781</w:t>
            </w: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63"/>
              <w:spacing w:after="0" w:line="180" w:lineRule="exact"/>
              <w:rPr>
                <w:sz w:val="20"/>
                <w:szCs w:val="20"/>
                <w:color w:val="auto"/>
              </w:rPr>
            </w:pPr>
            <w:r>
              <w:rPr>
                <w:rFonts w:ascii="Arial" w:cs="Arial" w:eastAsia="Arial" w:hAnsi="Arial"/>
                <w:sz w:val="16"/>
                <w:szCs w:val="16"/>
                <w:color w:val="auto"/>
              </w:rPr>
              <w:t>659</w:t>
            </w:r>
          </w:p>
        </w:tc>
      </w:tr>
      <w:tr>
        <w:trPr>
          <w:trHeight w:val="20"/>
        </w:trPr>
        <w:tc>
          <w:tcPr>
            <w:tcW w:w="5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 is an integral part of the Parent Company only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I—Parent Company only Statements of Comprehensive Income</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4"/>
        </w:trPr>
        <w:tc>
          <w:tcPr>
            <w:tcW w:w="4960" w:type="dxa"/>
            <w:vAlign w:val="bottom"/>
            <w:tcBorders>
              <w:bottom w:val="single" w:sz="8" w:color="CFF0FC"/>
            </w:tcBorders>
          </w:tcPr>
          <w:p>
            <w:pPr>
              <w:spacing w:after="0"/>
              <w:rPr>
                <w:sz w:val="12"/>
                <w:szCs w:val="12"/>
                <w:color w:val="auto"/>
              </w:rPr>
            </w:pPr>
          </w:p>
        </w:tc>
        <w:tc>
          <w:tcPr>
            <w:tcW w:w="182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ind w:right="66"/>
              <w:spacing w:after="0" w:line="144" w:lineRule="exact"/>
              <w:rPr>
                <w:sz w:val="20"/>
                <w:szCs w:val="20"/>
                <w:color w:val="auto"/>
              </w:rPr>
            </w:pPr>
            <w:r>
              <w:rPr>
                <w:rFonts w:ascii="Arial" w:cs="Arial" w:eastAsia="Arial" w:hAnsi="Arial"/>
                <w:sz w:val="13"/>
                <w:szCs w:val="13"/>
                <w:b w:val="1"/>
                <w:bCs w:val="1"/>
                <w:color w:val="auto"/>
              </w:rPr>
              <w:t>2019</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4"/>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4"/>
              <w:spacing w:after="0" w:line="144" w:lineRule="exact"/>
              <w:rPr>
                <w:sz w:val="20"/>
                <w:szCs w:val="20"/>
                <w:color w:val="auto"/>
              </w:rPr>
            </w:pPr>
            <w:r>
              <w:rPr>
                <w:rFonts w:ascii="Arial" w:cs="Arial" w:eastAsia="Arial" w:hAnsi="Arial"/>
                <w:sz w:val="13"/>
                <w:szCs w:val="13"/>
                <w:b w:val="1"/>
                <w:bCs w:val="1"/>
                <w:color w:val="auto"/>
              </w:rPr>
              <w:t>2017</w:t>
            </w:r>
          </w:p>
        </w:tc>
      </w:tr>
      <w:tr>
        <w:trPr>
          <w:trHeight w:val="179"/>
        </w:trPr>
        <w:tc>
          <w:tcPr>
            <w:tcW w:w="4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820" w:type="dxa"/>
            <w:vAlign w:val="bottom"/>
            <w:shd w:val="clear" w:color="auto" w:fill="CFF0FC"/>
          </w:tcPr>
          <w:p>
            <w:pPr>
              <w:spacing w:after="0"/>
              <w:rPr>
                <w:sz w:val="15"/>
                <w:szCs w:val="15"/>
                <w:color w:val="auto"/>
              </w:rPr>
            </w:pPr>
          </w:p>
        </w:tc>
        <w:tc>
          <w:tcPr>
            <w:tcW w:w="940" w:type="dxa"/>
            <w:vAlign w:val="bottom"/>
            <w:shd w:val="clear" w:color="auto" w:fill="CFF0FC"/>
          </w:tcPr>
          <w:p>
            <w:pPr>
              <w:jc w:val="right"/>
              <w:ind w:right="766"/>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440" w:type="dxa"/>
            <w:vAlign w:val="bottom"/>
            <w:gridSpan w:val="2"/>
            <w:shd w:val="clear" w:color="auto" w:fill="CFF0FC"/>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w:t>
            </w:r>
          </w:p>
        </w:tc>
      </w:tr>
      <w:tr>
        <w:trPr>
          <w:trHeight w:val="188"/>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 fees</w:t>
            </w:r>
          </w:p>
        </w:tc>
        <w:tc>
          <w:tcPr>
            <w:tcW w:w="182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r>
      <w:tr>
        <w:trPr>
          <w:trHeight w:val="179"/>
        </w:trPr>
        <w:tc>
          <w:tcPr>
            <w:tcW w:w="49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operating income</w:t>
            </w:r>
          </w:p>
        </w:tc>
        <w:tc>
          <w:tcPr>
            <w:tcW w:w="18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w:t>
            </w:r>
          </w:p>
        </w:tc>
      </w:tr>
      <w:tr>
        <w:trPr>
          <w:trHeight w:val="179"/>
        </w:trPr>
        <w:tc>
          <w:tcPr>
            <w:tcW w:w="4960" w:type="dxa"/>
            <w:vAlign w:val="bottom"/>
          </w:tcPr>
          <w:p>
            <w:pPr>
              <w:spacing w:after="0" w:line="180" w:lineRule="exact"/>
              <w:rPr>
                <w:sz w:val="20"/>
                <w:szCs w:val="20"/>
                <w:color w:val="auto"/>
              </w:rPr>
            </w:pPr>
            <w:r>
              <w:rPr>
                <w:rFonts w:ascii="Arial" w:cs="Arial" w:eastAsia="Arial" w:hAnsi="Arial"/>
                <w:sz w:val="16"/>
                <w:szCs w:val="16"/>
                <w:color w:val="auto"/>
              </w:rPr>
              <w:t>Other income:</w:t>
            </w:r>
          </w:p>
        </w:tc>
        <w:tc>
          <w:tcPr>
            <w:tcW w:w="182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88"/>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Equity earnings of consolidated subsidiary</w:t>
            </w:r>
          </w:p>
        </w:tc>
        <w:tc>
          <w:tcPr>
            <w:tcW w:w="182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604</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639</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504</w:t>
            </w:r>
          </w:p>
        </w:tc>
      </w:tr>
      <w:tr>
        <w:trPr>
          <w:trHeight w:val="179"/>
        </w:trPr>
        <w:tc>
          <w:tcPr>
            <w:tcW w:w="4960" w:type="dxa"/>
            <w:vAlign w:val="bottom"/>
          </w:tcPr>
          <w:p>
            <w:pPr>
              <w:spacing w:after="0" w:line="180" w:lineRule="exact"/>
              <w:rPr>
                <w:sz w:val="20"/>
                <w:szCs w:val="20"/>
                <w:color w:val="auto"/>
              </w:rPr>
            </w:pPr>
            <w:r>
              <w:rPr>
                <w:rFonts w:ascii="Arial" w:cs="Arial" w:eastAsia="Arial" w:hAnsi="Arial"/>
                <w:sz w:val="16"/>
                <w:szCs w:val="16"/>
                <w:color w:val="auto"/>
              </w:rPr>
              <w:t>Income before income taxes</w:t>
            </w:r>
          </w:p>
        </w:tc>
        <w:tc>
          <w:tcPr>
            <w:tcW w:w="1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2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604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right"/>
              <w:ind w:right="44"/>
              <w:spacing w:after="0" w:line="180" w:lineRule="exact"/>
              <w:rPr>
                <w:sz w:val="20"/>
                <w:szCs w:val="20"/>
                <w:color w:val="auto"/>
              </w:rPr>
            </w:pPr>
            <w:r>
              <w:rPr>
                <w:rFonts w:ascii="Arial" w:cs="Arial" w:eastAsia="Arial" w:hAnsi="Arial"/>
                <w:sz w:val="16"/>
                <w:szCs w:val="16"/>
                <w:color w:val="auto"/>
              </w:rPr>
              <w:t>639</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4"/>
              <w:spacing w:after="0" w:line="180" w:lineRule="exact"/>
              <w:rPr>
                <w:sz w:val="20"/>
                <w:szCs w:val="20"/>
                <w:color w:val="auto"/>
              </w:rPr>
            </w:pPr>
            <w:r>
              <w:rPr>
                <w:rFonts w:ascii="Arial" w:cs="Arial" w:eastAsia="Arial" w:hAnsi="Arial"/>
                <w:sz w:val="16"/>
                <w:szCs w:val="16"/>
                <w:color w:val="auto"/>
              </w:rPr>
              <w:t>504</w:t>
            </w:r>
          </w:p>
        </w:tc>
      </w:tr>
      <w:tr>
        <w:trPr>
          <w:trHeight w:val="188"/>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820" w:type="dxa"/>
            <w:vAlign w:val="bottom"/>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219"/>
        </w:trPr>
        <w:tc>
          <w:tcPr>
            <w:tcW w:w="49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income</w:t>
            </w:r>
          </w:p>
        </w:tc>
        <w:tc>
          <w:tcPr>
            <w:tcW w:w="18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766"/>
              <w:spacing w:after="0" w:line="180" w:lineRule="exact"/>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604</w:t>
            </w:r>
          </w:p>
        </w:tc>
        <w:tc>
          <w:tcPr>
            <w:tcW w:w="1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22"/>
              <w:spacing w:after="0" w:line="180" w:lineRule="exact"/>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639</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504</w:t>
            </w:r>
          </w:p>
        </w:tc>
      </w:tr>
      <w:tr>
        <w:trPr>
          <w:trHeight w:val="163"/>
        </w:trPr>
        <w:tc>
          <w:tcPr>
            <w:tcW w:w="49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Comprehensive income</w:t>
            </w:r>
          </w:p>
        </w:tc>
        <w:tc>
          <w:tcPr>
            <w:tcW w:w="18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66"/>
              <w:spacing w:after="0" w:line="163" w:lineRule="exact"/>
              <w:rPr>
                <w:sz w:val="20"/>
                <w:szCs w:val="20"/>
                <w:color w:val="auto"/>
              </w:rPr>
            </w:pPr>
            <w:r>
              <w:rPr>
                <w:rFonts w:ascii="Arial" w:cs="Arial" w:eastAsia="Arial" w:hAnsi="Arial"/>
                <w:sz w:val="16"/>
                <w:szCs w:val="16"/>
                <w:b w:val="1"/>
                <w:bCs w:val="1"/>
                <w:color w:val="auto"/>
                <w:w w:val="89"/>
              </w:rPr>
              <w:t>$</w:t>
            </w:r>
          </w:p>
        </w:tc>
        <w:tc>
          <w:tcPr>
            <w:tcW w:w="52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b w:val="1"/>
                <w:bCs w:val="1"/>
                <w:color w:val="auto"/>
              </w:rPr>
              <w:t>582</w:t>
            </w:r>
          </w:p>
        </w:tc>
        <w:tc>
          <w:tcPr>
            <w:tcW w:w="440" w:type="dxa"/>
            <w:vAlign w:val="bottom"/>
            <w:gridSpan w:val="2"/>
            <w:shd w:val="clear" w:color="auto" w:fill="CFF0FC"/>
          </w:tcPr>
          <w:p>
            <w:pPr>
              <w:jc w:val="right"/>
              <w:ind w:right="122"/>
              <w:spacing w:after="0" w:line="16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624</w:t>
            </w: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7"/>
              <w:spacing w:after="0" w:line="163"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552</w:t>
            </w: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8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 is an integral part of the Parent Company only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I—Parent Company only Statements of Cash Flows</w:t>
      </w:r>
    </w:p>
    <w:p>
      <w:pPr>
        <w:jc w:val="center"/>
        <w:spacing w:after="0"/>
        <w:rPr>
          <w:sz w:val="20"/>
          <w:szCs w:val="20"/>
          <w:color w:val="auto"/>
        </w:rPr>
      </w:pPr>
      <w:r>
        <w:rPr>
          <w:rFonts w:ascii="Arial" w:cs="Arial" w:eastAsia="Arial" w:hAnsi="Arial"/>
          <w:sz w:val="16"/>
          <w:szCs w:val="16"/>
          <w:b w:val="1"/>
          <w:bCs w:val="1"/>
          <w:color w:val="auto"/>
        </w:rPr>
        <w:t>(dollars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4"/>
        </w:trPr>
        <w:tc>
          <w:tcPr>
            <w:tcW w:w="5320" w:type="dxa"/>
            <w:vAlign w:val="bottom"/>
            <w:tcBorders>
              <w:bottom w:val="single" w:sz="8" w:color="CFF0FC"/>
            </w:tcBorders>
          </w:tcPr>
          <w:p>
            <w:pPr>
              <w:spacing w:after="0"/>
              <w:rPr>
                <w:sz w:val="12"/>
                <w:szCs w:val="12"/>
                <w:color w:val="auto"/>
              </w:rPr>
            </w:pPr>
          </w:p>
        </w:tc>
        <w:tc>
          <w:tcPr>
            <w:tcW w:w="1460" w:type="dxa"/>
            <w:vAlign w:val="bottom"/>
            <w:tcBorders>
              <w:bottom w:val="single" w:sz="8" w:color="CFF0FC"/>
            </w:tcBorders>
          </w:tcPr>
          <w:p>
            <w:pPr>
              <w:spacing w:after="0"/>
              <w:rPr>
                <w:sz w:val="12"/>
                <w:szCs w:val="12"/>
                <w:color w:val="auto"/>
              </w:rPr>
            </w:pPr>
          </w:p>
        </w:tc>
        <w:tc>
          <w:tcPr>
            <w:tcW w:w="920" w:type="dxa"/>
            <w:vAlign w:val="bottom"/>
            <w:tcBorders>
              <w:bottom w:val="single" w:sz="8" w:color="auto"/>
            </w:tcBorders>
          </w:tcPr>
          <w:p>
            <w:pPr>
              <w:jc w:val="right"/>
              <w:ind w:right="50"/>
              <w:spacing w:after="0" w:line="144" w:lineRule="exact"/>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3"/>
              <w:spacing w:after="0" w:line="144" w:lineRule="exact"/>
              <w:rPr>
                <w:sz w:val="20"/>
                <w:szCs w:val="20"/>
                <w:color w:val="auto"/>
              </w:rPr>
            </w:pPr>
            <w:r>
              <w:rPr>
                <w:rFonts w:ascii="Arial" w:cs="Arial" w:eastAsia="Arial" w:hAnsi="Arial"/>
                <w:sz w:val="13"/>
                <w:szCs w:val="13"/>
                <w:b w:val="1"/>
                <w:bCs w:val="1"/>
                <w:color w:val="auto"/>
              </w:rPr>
              <w:t>2018</w:t>
            </w:r>
          </w:p>
        </w:tc>
        <w:tc>
          <w:tcPr>
            <w:tcW w:w="1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83"/>
              <w:spacing w:after="0" w:line="144" w:lineRule="exact"/>
              <w:rPr>
                <w:sz w:val="20"/>
                <w:szCs w:val="20"/>
                <w:color w:val="auto"/>
              </w:rPr>
            </w:pPr>
            <w:r>
              <w:rPr>
                <w:rFonts w:ascii="Arial" w:cs="Arial" w:eastAsia="Arial" w:hAnsi="Arial"/>
                <w:sz w:val="13"/>
                <w:szCs w:val="13"/>
                <w:b w:val="1"/>
                <w:bCs w:val="1"/>
                <w:color w:val="auto"/>
              </w:rPr>
              <w:t>2017</w:t>
            </w:r>
          </w:p>
        </w:tc>
      </w:tr>
      <w:tr>
        <w:trPr>
          <w:trHeight w:val="179"/>
        </w:trPr>
        <w:tc>
          <w:tcPr>
            <w:tcW w:w="532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CASH FLOWS FROM OPERATING ACTIVITIES:</w:t>
            </w: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8"/>
        </w:trPr>
        <w:tc>
          <w:tcPr>
            <w:tcW w:w="5320" w:type="dxa"/>
            <w:vAlign w:val="bottom"/>
          </w:tcPr>
          <w:p>
            <w:pPr>
              <w:spacing w:after="0"/>
              <w:rPr>
                <w:sz w:val="20"/>
                <w:szCs w:val="20"/>
                <w:color w:val="auto"/>
              </w:rPr>
            </w:pPr>
            <w:r>
              <w:rPr>
                <w:rFonts w:ascii="Arial" w:cs="Arial" w:eastAsia="Arial" w:hAnsi="Arial"/>
                <w:sz w:val="16"/>
                <w:szCs w:val="16"/>
                <w:color w:val="auto"/>
              </w:rPr>
              <w:t>Net income</w:t>
            </w:r>
          </w:p>
        </w:tc>
        <w:tc>
          <w:tcPr>
            <w:tcW w:w="2380" w:type="dxa"/>
            <w:vAlign w:val="bottom"/>
            <w:gridSpan w:val="2"/>
          </w:tcPr>
          <w:p>
            <w:pPr>
              <w:jc w:val="right"/>
              <w:ind w:right="75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42"/>
              <w:spacing w:after="0"/>
              <w:rPr>
                <w:sz w:val="20"/>
                <w:szCs w:val="20"/>
                <w:color w:val="auto"/>
              </w:rPr>
            </w:pPr>
            <w:r>
              <w:rPr>
                <w:rFonts w:ascii="Arial" w:cs="Arial" w:eastAsia="Arial" w:hAnsi="Arial"/>
                <w:sz w:val="16"/>
                <w:szCs w:val="16"/>
                <w:b w:val="1"/>
                <w:bCs w:val="1"/>
                <w:color w:val="auto"/>
              </w:rPr>
              <w:t>604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639</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504</w:t>
            </w:r>
          </w:p>
        </w:tc>
      </w:tr>
      <w:tr>
        <w:trPr>
          <w:trHeight w:val="18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Deduct items included in net income not providing cash:</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r>
      <w:tr>
        <w:trPr>
          <w:trHeight w:val="188"/>
        </w:trPr>
        <w:tc>
          <w:tcPr>
            <w:tcW w:w="53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Equity in earnings in consolidated subsidiary</w:t>
            </w:r>
          </w:p>
        </w:tc>
        <w:tc>
          <w:tcPr>
            <w:tcW w:w="146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(604)</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r>
      <w:tr>
        <w:trPr>
          <w:trHeight w:val="179"/>
        </w:trPr>
        <w:tc>
          <w:tcPr>
            <w:tcW w:w="532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provided by operating activities</w:t>
            </w:r>
          </w:p>
        </w:tc>
        <w:tc>
          <w:tcPr>
            <w:tcW w:w="14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179"/>
        </w:trPr>
        <w:tc>
          <w:tcPr>
            <w:tcW w:w="5320" w:type="dxa"/>
            <w:vAlign w:val="bottom"/>
          </w:tcPr>
          <w:p>
            <w:pPr>
              <w:spacing w:after="0" w:line="180" w:lineRule="exact"/>
              <w:rPr>
                <w:sz w:val="20"/>
                <w:szCs w:val="20"/>
                <w:color w:val="auto"/>
              </w:rPr>
            </w:pPr>
            <w:r>
              <w:rPr>
                <w:rFonts w:ascii="Arial" w:cs="Arial" w:eastAsia="Arial" w:hAnsi="Arial"/>
                <w:sz w:val="16"/>
                <w:szCs w:val="16"/>
                <w:b w:val="1"/>
                <w:bCs w:val="1"/>
                <w:color w:val="auto"/>
              </w:rPr>
              <w:t>CASH FLOWS FROM INVESTING ACTIVITIES:</w:t>
            </w:r>
          </w:p>
        </w:tc>
        <w:tc>
          <w:tcPr>
            <w:tcW w:w="146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188"/>
        </w:trPr>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Investments in subsidiaries</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r>
      <w:tr>
        <w:trPr>
          <w:trHeight w:val="188"/>
        </w:trPr>
        <w:tc>
          <w:tcPr>
            <w:tcW w:w="53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Dividends</w:t>
            </w:r>
          </w:p>
        </w:tc>
        <w:tc>
          <w:tcPr>
            <w:tcW w:w="146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73</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89</w:t>
            </w:r>
          </w:p>
        </w:tc>
      </w:tr>
      <w:tr>
        <w:trPr>
          <w:trHeight w:val="179"/>
        </w:trPr>
        <w:tc>
          <w:tcPr>
            <w:tcW w:w="532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provided by investing activities</w:t>
            </w:r>
          </w:p>
        </w:tc>
        <w:tc>
          <w:tcPr>
            <w:tcW w:w="146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68</w:t>
            </w: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70</w:t>
            </w:r>
          </w:p>
        </w:tc>
      </w:tr>
      <w:tr>
        <w:trPr>
          <w:trHeight w:val="179"/>
        </w:trPr>
        <w:tc>
          <w:tcPr>
            <w:tcW w:w="5320" w:type="dxa"/>
            <w:vAlign w:val="bottom"/>
          </w:tcPr>
          <w:p>
            <w:pPr>
              <w:spacing w:after="0" w:line="180" w:lineRule="exact"/>
              <w:rPr>
                <w:sz w:val="20"/>
                <w:szCs w:val="20"/>
                <w:color w:val="auto"/>
              </w:rPr>
            </w:pPr>
            <w:r>
              <w:rPr>
                <w:rFonts w:ascii="Arial" w:cs="Arial" w:eastAsia="Arial" w:hAnsi="Arial"/>
                <w:sz w:val="16"/>
                <w:szCs w:val="16"/>
                <w:b w:val="1"/>
                <w:bCs w:val="1"/>
                <w:color w:val="auto"/>
              </w:rPr>
              <w:t>CASH FLOWS FROM FINANCING ACTIVITIES:</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8"/>
        </w:trPr>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Capital contributions</w:t>
            </w:r>
          </w:p>
        </w:tc>
        <w:tc>
          <w:tcPr>
            <w:tcW w:w="146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19</w:t>
            </w:r>
          </w:p>
        </w:tc>
      </w:tr>
      <w:tr>
        <w:trPr>
          <w:trHeight w:val="188"/>
        </w:trPr>
        <w:tc>
          <w:tcPr>
            <w:tcW w:w="53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Dividends</w:t>
            </w:r>
          </w:p>
        </w:tc>
        <w:tc>
          <w:tcPr>
            <w:tcW w:w="146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w:t>
            </w:r>
          </w:p>
        </w:tc>
        <w:tc>
          <w:tcPr>
            <w:tcW w:w="14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179"/>
        </w:trPr>
        <w:tc>
          <w:tcPr>
            <w:tcW w:w="532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Net cash used in financing activities</w:t>
            </w:r>
          </w:p>
        </w:tc>
        <w:tc>
          <w:tcPr>
            <w:tcW w:w="1460" w:type="dxa"/>
            <w:vAlign w:val="bottom"/>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(68)</w:t>
            </w:r>
          </w:p>
        </w:tc>
        <w:tc>
          <w:tcPr>
            <w:tcW w:w="14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(58)</w:t>
            </w:r>
          </w:p>
        </w:tc>
        <w:tc>
          <w:tcPr>
            <w:tcW w:w="1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color w:val="auto"/>
              </w:rPr>
              <w:t>(70)</w:t>
            </w:r>
          </w:p>
        </w:tc>
      </w:tr>
      <w:tr>
        <w:trPr>
          <w:trHeight w:val="179"/>
        </w:trPr>
        <w:tc>
          <w:tcPr>
            <w:tcW w:w="5320" w:type="dxa"/>
            <w:vAlign w:val="bottom"/>
          </w:tcPr>
          <w:p>
            <w:pPr>
              <w:spacing w:after="0" w:line="180" w:lineRule="exact"/>
              <w:rPr>
                <w:sz w:val="20"/>
                <w:szCs w:val="20"/>
                <w:color w:val="auto"/>
              </w:rPr>
            </w:pPr>
            <w:r>
              <w:rPr>
                <w:rFonts w:ascii="Arial" w:cs="Arial" w:eastAsia="Arial" w:hAnsi="Arial"/>
                <w:sz w:val="16"/>
                <w:szCs w:val="16"/>
                <w:color w:val="auto"/>
              </w:rPr>
              <w:t>Net increase (decrease) during period</w:t>
            </w: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5"/>
                <w:szCs w:val="15"/>
                <w:color w:val="auto"/>
              </w:rPr>
            </w:pPr>
          </w:p>
        </w:tc>
        <w:tc>
          <w:tcPr>
            <w:tcW w:w="11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188"/>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460" w:type="dxa"/>
            <w:vAlign w:val="bottom"/>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w:t>
            </w:r>
          </w:p>
        </w:tc>
      </w:tr>
      <w:tr>
        <w:trPr>
          <w:trHeight w:val="179"/>
        </w:trPr>
        <w:tc>
          <w:tcPr>
            <w:tcW w:w="5320" w:type="dxa"/>
            <w:vAlign w:val="bottom"/>
          </w:tcPr>
          <w:p>
            <w:pPr>
              <w:spacing w:after="0" w:line="180" w:lineRule="exact"/>
              <w:rPr>
                <w:sz w:val="20"/>
                <w:szCs w:val="20"/>
                <w:color w:val="auto"/>
              </w:rPr>
            </w:pPr>
            <w:r>
              <w:rPr>
                <w:rFonts w:ascii="Arial" w:cs="Arial" w:eastAsia="Arial" w:hAnsi="Arial"/>
                <w:sz w:val="16"/>
                <w:szCs w:val="16"/>
                <w:color w:val="auto"/>
              </w:rPr>
              <w:t>Cash and cash equivalents at end of period</w:t>
            </w:r>
          </w:p>
        </w:tc>
        <w:tc>
          <w:tcPr>
            <w:tcW w:w="1460" w:type="dxa"/>
            <w:vAlign w:val="bottom"/>
          </w:tcPr>
          <w:p>
            <w:pPr>
              <w:spacing w:after="0"/>
              <w:rPr>
                <w:sz w:val="15"/>
                <w:szCs w:val="15"/>
                <w:color w:val="auto"/>
              </w:rPr>
            </w:pPr>
          </w:p>
        </w:tc>
        <w:tc>
          <w:tcPr>
            <w:tcW w:w="920" w:type="dxa"/>
            <w:vAlign w:val="bottom"/>
          </w:tcPr>
          <w:p>
            <w:pPr>
              <w:jc w:val="right"/>
              <w:ind w:right="750"/>
              <w:spacing w:after="0" w:line="180" w:lineRule="exact"/>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ind w:right="42"/>
              <w:spacing w:after="0" w:line="180" w:lineRule="exact"/>
              <w:rPr>
                <w:sz w:val="20"/>
                <w:szCs w:val="20"/>
                <w:color w:val="auto"/>
              </w:rPr>
            </w:pPr>
            <w:r>
              <w:rPr>
                <w:rFonts w:ascii="Arial" w:cs="Arial" w:eastAsia="Arial" w:hAnsi="Arial"/>
                <w:sz w:val="16"/>
                <w:szCs w:val="16"/>
                <w:b w:val="1"/>
                <w:bCs w:val="1"/>
                <w:color w:val="auto"/>
              </w:rPr>
              <w:t>—</w:t>
            </w:r>
          </w:p>
        </w:tc>
        <w:tc>
          <w:tcPr>
            <w:tcW w:w="440" w:type="dxa"/>
            <w:vAlign w:val="bottom"/>
            <w:gridSpan w:val="2"/>
          </w:tcPr>
          <w:p>
            <w:pPr>
              <w:jc w:val="right"/>
              <w:ind w:right="200"/>
              <w:spacing w:after="0" w:line="180" w:lineRule="exact"/>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43"/>
              <w:spacing w:after="0" w:line="180" w:lineRule="exact"/>
              <w:rPr>
                <w:sz w:val="20"/>
                <w:szCs w:val="20"/>
                <w:color w:val="auto"/>
              </w:rPr>
            </w:pPr>
            <w:r>
              <w:rPr>
                <w:rFonts w:ascii="Arial" w:cs="Arial" w:eastAsia="Arial" w:hAnsi="Arial"/>
                <w:sz w:val="16"/>
                <w:szCs w:val="16"/>
                <w:color w:val="auto"/>
              </w:rPr>
              <w:t>—</w:t>
            </w:r>
          </w:p>
        </w:tc>
      </w:tr>
      <w:tr>
        <w:trPr>
          <w:trHeight w:val="20"/>
        </w:trPr>
        <w:tc>
          <w:tcPr>
            <w:tcW w:w="5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 is an integral part of the Parent Company only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Allison Transmission Holdings, Inc.</w:t>
      </w:r>
    </w:p>
    <w:p>
      <w:pPr>
        <w:spacing w:after="0" w:line="12"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Schedule I—Parent Company only Footnote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1—BASIS OF PRESENTATION</w:t>
      </w:r>
    </w:p>
    <w:p>
      <w:pPr>
        <w:spacing w:after="0" w:line="153"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8 “Debt” of Notes to Consolidated Financial Statements). The entire amount of the Parent Company’s consolidated net assets was subject to restrictions on payment of dividends as of December 31, 2019, 2018 and 2017.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260"/>
          </w:cols>
          <w:pgMar w:left="240" w:top="140" w:right="39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53" w:lineRule="exact"/>
        <w:rPr>
          <w:sz w:val="20"/>
          <w:szCs w:val="20"/>
          <w:color w:val="auto"/>
        </w:rPr>
      </w:pPr>
    </w:p>
    <w:p>
      <w:pPr>
        <w:ind w:firstLine="531"/>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Exchange Act), as of December 31, 2019.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2" w:lineRule="exact"/>
        <w:rPr>
          <w:sz w:val="20"/>
          <w:szCs w:val="20"/>
          <w:color w:val="auto"/>
        </w:rPr>
      </w:pPr>
    </w:p>
    <w:p>
      <w:pPr>
        <w:ind w:right="20" w:firstLine="531"/>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December 31, 2019,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53" w:lineRule="exact"/>
        <w:rPr>
          <w:sz w:val="20"/>
          <w:szCs w:val="20"/>
          <w:color w:val="auto"/>
        </w:rPr>
      </w:pPr>
    </w:p>
    <w:p>
      <w:pPr>
        <w:ind w:right="20" w:firstLine="531"/>
        <w:spacing w:after="0" w:line="23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31" w:lineRule="exact"/>
        <w:rPr>
          <w:sz w:val="20"/>
          <w:szCs w:val="20"/>
          <w:color w:val="auto"/>
        </w:rPr>
      </w:pPr>
    </w:p>
    <w:p>
      <w:pPr>
        <w:ind w:right="160" w:firstLine="531"/>
        <w:spacing w:after="0" w:line="234"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180" w:firstLine="531"/>
        <w:spacing w:after="0" w:line="232"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assessment of the effectiveness of our internal control over financial reporting as of December 31, 2019. In making this assessment, our management used the criteria set forth by the Committee of Sponsoring Organizations of the Treadway Commission in Internal Control—Integrated Framework (2013). Based on this assessment, management concluded that our internal control over financial reporting was effective as of December 31, 2019. PricewaterhouseCoopers LLP, our independent registered public accounting firm, has audited the effectiveness of our internal control over financial reporting as of December 31, 2019. Their report is included in Part II, Item 8, “Financial Statements and Supplementary Data” in this Annual Report on Form 10-K.</w:t>
      </w:r>
    </w:p>
    <w:p>
      <w:pPr>
        <w:spacing w:after="0" w:line="130" w:lineRule="exact"/>
        <w:rPr>
          <w:sz w:val="20"/>
          <w:szCs w:val="20"/>
          <w:color w:val="auto"/>
        </w:rPr>
      </w:pPr>
    </w:p>
    <w:p>
      <w:pPr>
        <w:jc w:val="both"/>
        <w:ind w:right="200" w:firstLine="531"/>
        <w:spacing w:after="0" w:line="234" w:lineRule="auto"/>
        <w:rPr>
          <w:sz w:val="20"/>
          <w:szCs w:val="20"/>
          <w:color w:val="auto"/>
        </w:rPr>
      </w:pPr>
      <w:r>
        <w:rPr>
          <w:rFonts w:ascii="Arial" w:cs="Arial" w:eastAsia="Arial" w:hAnsi="Arial"/>
          <w:sz w:val="16"/>
          <w:szCs w:val="16"/>
          <w:color w:val="auto"/>
        </w:rPr>
        <w:t>Management’s assessment of and conclusion on the effectiveness of internal controls over financial reporting did not include the internal controls of Walker Die Casting, which was acquired by us in September 2019. Due to the timing of this acquisition and as permitted by SEC guidance, management excluded Walker Die Casting from its December 31, 2019 assessment of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53" w:lineRule="exact"/>
        <w:rPr>
          <w:sz w:val="20"/>
          <w:szCs w:val="20"/>
          <w:color w:val="auto"/>
        </w:rPr>
      </w:pPr>
    </w:p>
    <w:p>
      <w:pPr>
        <w:ind w:firstLine="531"/>
        <w:spacing w:after="0" w:line="237"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2019 that have materially affected, or are reasonably likely to materially affect, our internal control over financial reporting.</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53" w:lineRule="exact"/>
        <w:rPr>
          <w:sz w:val="20"/>
          <w:szCs w:val="20"/>
          <w:color w:val="auto"/>
        </w:rPr>
      </w:pPr>
    </w:p>
    <w:p>
      <w:pPr>
        <w:ind w:right="160" w:firstLine="531"/>
        <w:spacing w:after="0" w:line="255" w:lineRule="auto"/>
        <w:rPr>
          <w:sz w:val="20"/>
          <w:szCs w:val="20"/>
          <w:color w:val="auto"/>
        </w:rPr>
      </w:pPr>
      <w:r>
        <w:rPr>
          <w:rFonts w:ascii="Arial" w:cs="Arial" w:eastAsia="Arial" w:hAnsi="Arial"/>
          <w:sz w:val="15"/>
          <w:szCs w:val="15"/>
          <w:color w:val="auto"/>
        </w:rPr>
        <w:t>The information required by this Item concerning our executive officers, directors and nominees for director and Audit Committee members and financial expert(s) and disclosure of delinquent filers under section 16(a) of the Exchange Act is incorporated herein by reference from our definitive Proxy Statement for our 2020 annual meeting of stockholders which will be filed with the SEC pursuant to Regulation 14A within 120 days after the end of our last fiscal year.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w:t>
      </w:r>
    </w:p>
    <w:p>
      <w:pPr>
        <w:spacing w:after="0" w:line="153" w:lineRule="exact"/>
        <w:rPr>
          <w:sz w:val="20"/>
          <w:szCs w:val="20"/>
          <w:color w:val="auto"/>
        </w:rPr>
      </w:pPr>
    </w:p>
    <w:p>
      <w:pPr>
        <w:ind w:right="60" w:firstLine="531"/>
        <w:spacing w:after="0" w:line="233" w:lineRule="auto"/>
        <w:rPr>
          <w:sz w:val="20"/>
          <w:szCs w:val="20"/>
          <w:color w:val="auto"/>
        </w:rPr>
      </w:pPr>
      <w:r>
        <w:rPr>
          <w:rFonts w:ascii="Arial" w:cs="Arial" w:eastAsia="Arial" w:hAnsi="Arial"/>
          <w:sz w:val="16"/>
          <w:szCs w:val="16"/>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Allison Code of Business Conduct, or any grant of a waiver from a provision of the Allison Code of Business Conduct.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53" w:lineRule="exact"/>
        <w:rPr>
          <w:sz w:val="20"/>
          <w:szCs w:val="20"/>
          <w:color w:val="auto"/>
        </w:rPr>
      </w:pPr>
    </w:p>
    <w:p>
      <w:pPr>
        <w:ind w:right="100" w:firstLine="531"/>
        <w:spacing w:after="0" w:line="233" w:lineRule="auto"/>
        <w:rPr>
          <w:sz w:val="20"/>
          <w:szCs w:val="20"/>
          <w:color w:val="auto"/>
        </w:rPr>
      </w:pPr>
      <w:r>
        <w:rPr>
          <w:rFonts w:ascii="Arial" w:cs="Arial" w:eastAsia="Arial" w:hAnsi="Arial"/>
          <w:sz w:val="16"/>
          <w:szCs w:val="16"/>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and pay ratio disclosure, are incorporated herein by reference to our definitive Proxy Statement for our 2020 annual meeting of stockholders which will be filed with the SEC pursuant to Regulation 14A within 120 days after the end of our last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53" w:lineRule="exact"/>
        <w:rPr>
          <w:sz w:val="20"/>
          <w:szCs w:val="20"/>
          <w:color w:val="auto"/>
        </w:rPr>
      </w:pPr>
    </w:p>
    <w:p>
      <w:pPr>
        <w:ind w:right="20" w:firstLine="531"/>
        <w:spacing w:after="0" w:line="234" w:lineRule="auto"/>
        <w:rPr>
          <w:sz w:val="20"/>
          <w:szCs w:val="20"/>
          <w:color w:val="auto"/>
        </w:rPr>
      </w:pPr>
      <w:r>
        <w:rPr>
          <w:rFonts w:ascii="Arial" w:cs="Arial" w:eastAsia="Arial" w:hAnsi="Arial"/>
          <w:sz w:val="16"/>
          <w:szCs w:val="16"/>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2020 annual meeting of stockholders which will be filed with the SEC pursuant to Regulation 14A within 120 days after the end of our last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53" w:lineRule="exact"/>
        <w:rPr>
          <w:sz w:val="20"/>
          <w:szCs w:val="20"/>
          <w:color w:val="auto"/>
        </w:rPr>
      </w:pPr>
    </w:p>
    <w:p>
      <w:pPr>
        <w:jc w:val="both"/>
        <w:ind w:right="100" w:firstLine="531"/>
        <w:spacing w:after="0" w:line="234" w:lineRule="auto"/>
        <w:rPr>
          <w:sz w:val="20"/>
          <w:szCs w:val="20"/>
          <w:color w:val="auto"/>
        </w:rPr>
      </w:pPr>
      <w:r>
        <w:rPr>
          <w:rFonts w:ascii="Arial" w:cs="Arial" w:eastAsia="Arial" w:hAnsi="Arial"/>
          <w:sz w:val="16"/>
          <w:szCs w:val="16"/>
          <w:color w:val="auto"/>
        </w:rPr>
        <w:t>The information required by this Item concerning certain relationships and related person transactions, and director independence is incorporated herein by reference to our definitive Proxy Statement for our 2020 annual meeting of stockholders which will be filed with the SEC pursuant to Regulation 14A within 120 days after the end of our last fiscal year.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53" w:lineRule="exact"/>
        <w:rPr>
          <w:sz w:val="20"/>
          <w:szCs w:val="20"/>
          <w:color w:val="auto"/>
        </w:rPr>
      </w:pPr>
    </w:p>
    <w:p>
      <w:pPr>
        <w:jc w:val="both"/>
        <w:ind w:firstLine="531"/>
        <w:spacing w:after="0" w:line="234" w:lineRule="auto"/>
        <w:rPr>
          <w:sz w:val="20"/>
          <w:szCs w:val="20"/>
          <w:color w:val="auto"/>
        </w:rPr>
      </w:pPr>
      <w:r>
        <w:rPr>
          <w:rFonts w:ascii="Arial" w:cs="Arial" w:eastAsia="Arial" w:hAnsi="Arial"/>
          <w:sz w:val="16"/>
          <w:szCs w:val="16"/>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2020 annual meeting of stockholders which will be filed with the SEC pursuant to Regulation 14A within 120 days after the end of our last fiscal year.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3" w:name="page104"/>
    <w:bookmarkEnd w:id="10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IV.</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(a)(1) Financial Statements.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response to this item is included in Part II, Item 8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(a)(2) Financial Statement Schedules.</w:t>
      </w:r>
    </w:p>
    <w:p>
      <w:pPr>
        <w:spacing w:after="0" w:line="153" w:lineRule="exact"/>
        <w:rPr>
          <w:sz w:val="20"/>
          <w:szCs w:val="20"/>
          <w:color w:val="auto"/>
        </w:rPr>
      </w:pPr>
    </w:p>
    <w:p>
      <w:pPr>
        <w:ind w:right="100" w:firstLine="531"/>
        <w:spacing w:after="0" w:line="232" w:lineRule="auto"/>
        <w:rPr>
          <w:sz w:val="20"/>
          <w:szCs w:val="20"/>
          <w:color w:val="auto"/>
        </w:rPr>
      </w:pPr>
      <w:r>
        <w:rPr>
          <w:rFonts w:ascii="Arial" w:cs="Arial" w:eastAsia="Arial" w:hAnsi="Arial"/>
          <w:sz w:val="16"/>
          <w:szCs w:val="16"/>
          <w:color w:val="auto"/>
        </w:rPr>
        <w:t>Schedule I – Parent Company only Balance Sheets as of the years ended December 31, 2019 and 2018, Schedule I – Parent Company only Statements of Comprehensive Income for the years ended December 31, 2019, 2018 and 2017, Schedule I – Parent Company only Statements of Cash Flows for the years ended December 31, 2019, 2018 and 2017 and Schedule I – Parent Company only Footnote are included in Part II, Item 8 of this Annual Report on Form 10-K. All other schedules have been omitted because they are not required or because the information required is included in the consolidated financial statements and notes thereto.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(a)(3) Exhibits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the response to Item 15(b) below.</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Exhibits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exhibits are filed as part of, or are incorporated by reference into, this Annual Report on Form 10-K:</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Exhibit</w:t>
            </w:r>
          </w:p>
        </w:tc>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9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5"/>
              </w:rPr>
              <w:t>No.</w:t>
            </w:r>
          </w:p>
        </w:tc>
        <w:tc>
          <w:tcPr>
            <w:tcW w:w="2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900" w:type="dxa"/>
            <w:vAlign w:val="bottom"/>
            <w:gridSpan w:val="9"/>
          </w:tcPr>
          <w:p>
            <w:pPr>
              <w:ind w:left="1840"/>
              <w:spacing w:after="0"/>
              <w:rPr>
                <w:sz w:val="20"/>
                <w:szCs w:val="20"/>
                <w:color w:val="auto"/>
              </w:rPr>
            </w:pPr>
            <w:r>
              <w:rPr>
                <w:rFonts w:ascii="Arial" w:cs="Arial" w:eastAsia="Arial" w:hAnsi="Arial"/>
                <w:sz w:val="13"/>
                <w:szCs w:val="13"/>
                <w:b w:val="1"/>
                <w:bCs w:val="1"/>
                <w:color w:val="auto"/>
              </w:rPr>
              <w:t>DESCRIPTION OF EXHIBIT</w:t>
            </w:r>
          </w:p>
        </w:tc>
      </w:tr>
      <w:tr>
        <w:trPr>
          <w:trHeight w:val="250"/>
        </w:trPr>
        <w:tc>
          <w:tcPr>
            <w:tcW w:w="800" w:type="dxa"/>
            <w:vAlign w:val="bottom"/>
            <w:tcBorders>
              <w:top w:val="single" w:sz="8" w:color="auto"/>
            </w:tcBorders>
          </w:tcPr>
          <w:p>
            <w:pPr>
              <w:jc w:val="right"/>
              <w:ind w:right="346"/>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21"/>
                <w:szCs w:val="21"/>
                <w:color w:val="auto"/>
              </w:rPr>
            </w:pPr>
          </w:p>
        </w:tc>
        <w:tc>
          <w:tcPr>
            <w:tcW w:w="10500" w:type="dxa"/>
            <w:vAlign w:val="bottom"/>
            <w:tcBorders>
              <w:top w:val="single" w:sz="8" w:color="auto"/>
            </w:tcBorders>
            <w:gridSpan w:val="11"/>
          </w:tcPr>
          <w:p>
            <w:pPr>
              <w:spacing w:after="0"/>
              <w:rPr>
                <w:rFonts w:ascii="Arial" w:cs="Arial" w:eastAsia="Arial" w:hAnsi="Arial"/>
                <w:sz w:val="16"/>
                <w:szCs w:val="16"/>
                <w:color w:val="0000EE"/>
              </w:rPr>
            </w:pPr>
            <w:hyperlink r:id="rId141">
              <w:r>
                <w:rPr>
                  <w:rFonts w:ascii="Arial" w:cs="Arial" w:eastAsia="Arial" w:hAnsi="Arial"/>
                  <w:sz w:val="16"/>
                  <w:szCs w:val="16"/>
                  <w:color w:val="0000EE"/>
                </w:rPr>
                <w:t>Second Amended and Restated Certificate of Incorporation of Allison Transmission Holdings, Inc. (incorporated by reference to Exhibit 3.1 to the</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40" w:type="dxa"/>
            <w:vAlign w:val="bottom"/>
            <w:tcBorders>
              <w:top w:val="single" w:sz="8" w:color="0000EE"/>
              <w:bottom w:val="single" w:sz="8" w:color="0000EE"/>
            </w:tcBorders>
            <w:gridSpan w:val="4"/>
          </w:tcPr>
          <w:p>
            <w:pPr>
              <w:spacing w:after="0" w:line="156" w:lineRule="exact"/>
              <w:rPr>
                <w:rFonts w:ascii="Arial" w:cs="Arial" w:eastAsia="Arial" w:hAnsi="Arial"/>
                <w:sz w:val="16"/>
                <w:szCs w:val="16"/>
                <w:color w:val="0000EE"/>
                <w:w w:val="97"/>
              </w:rPr>
            </w:pPr>
            <w:hyperlink r:id="rId141">
              <w:r>
                <w:rPr>
                  <w:rFonts w:ascii="Arial" w:cs="Arial" w:eastAsia="Arial" w:hAnsi="Arial"/>
                  <w:sz w:val="16"/>
                  <w:szCs w:val="16"/>
                  <w:color w:val="0000EE"/>
                  <w:w w:val="97"/>
                </w:rPr>
                <w:t>Registrant’s Quarterly Report on Form 10-Q for the quarter ended March 31, 2012 filed April 26, 2012 (File No. 001-35456))</w:t>
              </w:r>
            </w:hyperlink>
          </w:p>
        </w:tc>
        <w:tc>
          <w:tcPr>
            <w:tcW w:w="1440" w:type="dxa"/>
            <w:vAlign w:val="bottom"/>
            <w:tcBorders>
              <w:top w:val="single" w:sz="8" w:color="0000EE"/>
            </w:tcBorders>
            <w:gridSpan w:val="2"/>
          </w:tcPr>
          <w:p>
            <w:pPr>
              <w:spacing w:after="0"/>
              <w:rPr>
                <w:sz w:val="13"/>
                <w:szCs w:val="13"/>
                <w:color w:val="auto"/>
              </w:rPr>
            </w:pPr>
          </w:p>
        </w:tc>
        <w:tc>
          <w:tcPr>
            <w:tcW w:w="520" w:type="dxa"/>
            <w:vAlign w:val="bottom"/>
            <w:gridSpan w:val="5"/>
          </w:tcPr>
          <w:p>
            <w:pPr>
              <w:spacing w:after="0"/>
              <w:rPr>
                <w:sz w:val="13"/>
                <w:szCs w:val="13"/>
                <w:color w:val="auto"/>
              </w:rPr>
            </w:pPr>
          </w:p>
        </w:tc>
      </w:tr>
      <w:tr>
        <w:trPr>
          <w:trHeight w:val="262"/>
        </w:trPr>
        <w:tc>
          <w:tcPr>
            <w:tcW w:w="800" w:type="dxa"/>
            <w:vAlign w:val="bottom"/>
          </w:tcPr>
          <w:p>
            <w:pPr>
              <w:jc w:val="right"/>
              <w:ind w:right="346"/>
              <w:spacing w:after="0"/>
              <w:rPr>
                <w:sz w:val="20"/>
                <w:szCs w:val="20"/>
                <w:color w:val="auto"/>
              </w:rPr>
            </w:pPr>
            <w:r>
              <w:rPr>
                <w:rFonts w:ascii="Arial" w:cs="Arial" w:eastAsia="Arial" w:hAnsi="Arial"/>
                <w:sz w:val="16"/>
                <w:szCs w:val="16"/>
                <w:color w:val="auto"/>
              </w:rPr>
              <w:t>3.2</w:t>
            </w:r>
          </w:p>
        </w:tc>
        <w:tc>
          <w:tcPr>
            <w:tcW w:w="140" w:type="dxa"/>
            <w:vAlign w:val="bottom"/>
          </w:tcPr>
          <w:p>
            <w:pPr>
              <w:spacing w:after="0"/>
              <w:rPr>
                <w:sz w:val="22"/>
                <w:szCs w:val="22"/>
                <w:color w:val="auto"/>
              </w:rPr>
            </w:pPr>
          </w:p>
        </w:tc>
        <w:tc>
          <w:tcPr>
            <w:tcW w:w="10500" w:type="dxa"/>
            <w:vAlign w:val="bottom"/>
            <w:gridSpan w:val="11"/>
          </w:tcPr>
          <w:p>
            <w:pPr>
              <w:spacing w:after="0"/>
              <w:rPr>
                <w:rFonts w:ascii="Arial" w:cs="Arial" w:eastAsia="Arial" w:hAnsi="Arial"/>
                <w:sz w:val="16"/>
                <w:szCs w:val="16"/>
                <w:color w:val="0000EE"/>
                <w:w w:val="98"/>
              </w:rPr>
            </w:pPr>
            <w:hyperlink r:id="rId142">
              <w:r>
                <w:rPr>
                  <w:rFonts w:ascii="Arial" w:cs="Arial" w:eastAsia="Arial" w:hAnsi="Arial"/>
                  <w:sz w:val="16"/>
                  <w:szCs w:val="16"/>
                  <w:color w:val="0000EE"/>
                  <w:w w:val="98"/>
                </w:rPr>
                <w:t>Amendment to Second Amended and Restated Certificate of Incorporation of Allison Transmission Holdings, Inc. (incorporated by reference to Exhibit</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80" w:type="dxa"/>
            <w:vAlign w:val="bottom"/>
            <w:tcBorders>
              <w:top w:val="single" w:sz="8" w:color="0000EE"/>
              <w:bottom w:val="single" w:sz="8" w:color="0000EE"/>
            </w:tcBorders>
            <w:gridSpan w:val="3"/>
          </w:tcPr>
          <w:p>
            <w:pPr>
              <w:spacing w:after="0" w:line="156" w:lineRule="exact"/>
              <w:rPr>
                <w:rFonts w:ascii="Arial" w:cs="Arial" w:eastAsia="Arial" w:hAnsi="Arial"/>
                <w:sz w:val="16"/>
                <w:szCs w:val="16"/>
                <w:color w:val="0000EE"/>
                <w:w w:val="97"/>
              </w:rPr>
            </w:pPr>
            <w:hyperlink r:id="rId142">
              <w:r>
                <w:rPr>
                  <w:rFonts w:ascii="Arial" w:cs="Arial" w:eastAsia="Arial" w:hAnsi="Arial"/>
                  <w:sz w:val="16"/>
                  <w:szCs w:val="16"/>
                  <w:color w:val="0000EE"/>
                  <w:w w:val="97"/>
                </w:rPr>
                <w:t>3.</w:t>
              </w:r>
              <w:r>
                <w:rPr>
                  <w:rFonts w:ascii="Arial" w:cs="Arial" w:eastAsia="Arial" w:hAnsi="Arial"/>
                  <w:sz w:val="16"/>
                  <w:szCs w:val="16"/>
                  <w:u w:val="single" w:color="auto"/>
                  <w:color w:val="0000EE"/>
                  <w:w w:val="97"/>
                </w:rPr>
                <w:t>1</w:t>
              </w:r>
              <w:r>
                <w:rPr>
                  <w:rFonts w:ascii="Arial" w:cs="Arial" w:eastAsia="Arial" w:hAnsi="Arial"/>
                  <w:sz w:val="16"/>
                  <w:szCs w:val="16"/>
                  <w:color w:val="0000EE"/>
                  <w:w w:val="97"/>
                </w:rPr>
                <w:t xml:space="preserve"> to the Registrant’s Current Report on Form 8-K filed May 18, 2016)</w:t>
              </w:r>
            </w:hyperlink>
          </w:p>
        </w:tc>
        <w:tc>
          <w:tcPr>
            <w:tcW w:w="5460" w:type="dxa"/>
            <w:vAlign w:val="bottom"/>
            <w:tcBorders>
              <w:top w:val="single" w:sz="8" w:color="0000EE"/>
            </w:tcBorders>
            <w:gridSpan w:val="6"/>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62"/>
        </w:trPr>
        <w:tc>
          <w:tcPr>
            <w:tcW w:w="800" w:type="dxa"/>
            <w:vAlign w:val="bottom"/>
          </w:tcPr>
          <w:p>
            <w:pPr>
              <w:jc w:val="right"/>
              <w:ind w:right="346"/>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22"/>
                <w:szCs w:val="22"/>
                <w:color w:val="auto"/>
              </w:rPr>
            </w:pPr>
          </w:p>
        </w:tc>
        <w:tc>
          <w:tcPr>
            <w:tcW w:w="10500" w:type="dxa"/>
            <w:vAlign w:val="bottom"/>
            <w:gridSpan w:val="11"/>
          </w:tcPr>
          <w:p>
            <w:pPr>
              <w:spacing w:after="0"/>
              <w:rPr>
                <w:rFonts w:ascii="Arial" w:cs="Arial" w:eastAsia="Arial" w:hAnsi="Arial"/>
                <w:sz w:val="16"/>
                <w:szCs w:val="16"/>
                <w:color w:val="0000EE"/>
                <w:w w:val="98"/>
              </w:rPr>
            </w:pPr>
            <w:hyperlink r:id="rId143">
              <w:r>
                <w:rPr>
                  <w:rFonts w:ascii="Arial" w:cs="Arial" w:eastAsia="Arial" w:hAnsi="Arial"/>
                  <w:sz w:val="16"/>
                  <w:szCs w:val="16"/>
                  <w:color w:val="0000EE"/>
                  <w:w w:val="98"/>
                </w:rPr>
                <w:t>Fifth Amended and Restated Bylaws of Allison Transmission Holdings, Inc. (incorporated by reference to Exhibit 3.2 to the Registrant’s Current Report</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tcBorders>
              <w:top w:val="single" w:sz="8" w:color="0000EE"/>
              <w:bottom w:val="single" w:sz="8" w:color="0000EE"/>
            </w:tcBorders>
          </w:tcPr>
          <w:p>
            <w:pPr>
              <w:spacing w:after="0" w:line="156" w:lineRule="exact"/>
              <w:rPr>
                <w:rFonts w:ascii="Arial" w:cs="Arial" w:eastAsia="Arial" w:hAnsi="Arial"/>
                <w:sz w:val="16"/>
                <w:szCs w:val="16"/>
                <w:color w:val="0000EE"/>
                <w:w w:val="96"/>
              </w:rPr>
            </w:pPr>
            <w:hyperlink r:id="rId143">
              <w:r>
                <w:rPr>
                  <w:rFonts w:ascii="Arial" w:cs="Arial" w:eastAsia="Arial" w:hAnsi="Arial"/>
                  <w:sz w:val="16"/>
                  <w:szCs w:val="16"/>
                  <w:color w:val="0000EE"/>
                  <w:w w:val="96"/>
                </w:rPr>
                <w:t>on Form 8-K filed May 18, 2016)</w:t>
              </w:r>
            </w:hyperlink>
          </w:p>
        </w:tc>
        <w:tc>
          <w:tcPr>
            <w:tcW w:w="8120" w:type="dxa"/>
            <w:vAlign w:val="bottom"/>
            <w:tcBorders>
              <w:top w:val="single" w:sz="8" w:color="0000EE"/>
            </w:tcBorders>
            <w:gridSpan w:val="9"/>
          </w:tcPr>
          <w:p>
            <w:pPr>
              <w:spacing w:after="0"/>
              <w:rPr>
                <w:sz w:val="13"/>
                <w:szCs w:val="13"/>
                <w:color w:val="auto"/>
              </w:rPr>
            </w:pPr>
          </w:p>
        </w:tc>
        <w:tc>
          <w:tcPr>
            <w:tcW w:w="140" w:type="dxa"/>
            <w:vAlign w:val="bottom"/>
          </w:tcPr>
          <w:p>
            <w:pPr>
              <w:spacing w:after="0"/>
              <w:rPr>
                <w:sz w:val="13"/>
                <w:szCs w:val="13"/>
                <w:color w:val="auto"/>
              </w:rPr>
            </w:pPr>
          </w:p>
        </w:tc>
      </w:tr>
      <w:tr>
        <w:trPr>
          <w:trHeight w:val="262"/>
        </w:trPr>
        <w:tc>
          <w:tcPr>
            <w:tcW w:w="800" w:type="dxa"/>
            <w:vAlign w:val="bottom"/>
          </w:tcPr>
          <w:p>
            <w:pPr>
              <w:jc w:val="right"/>
              <w:ind w:right="346"/>
              <w:spacing w:after="0"/>
              <w:rPr>
                <w:sz w:val="20"/>
                <w:szCs w:val="20"/>
                <w:color w:val="auto"/>
              </w:rPr>
            </w:pPr>
            <w:r>
              <w:rPr>
                <w:rFonts w:ascii="Arial" w:cs="Arial" w:eastAsia="Arial" w:hAnsi="Arial"/>
                <w:sz w:val="16"/>
                <w:szCs w:val="16"/>
                <w:color w:val="auto"/>
              </w:rPr>
              <w:t>4.1</w:t>
            </w:r>
          </w:p>
        </w:tc>
        <w:tc>
          <w:tcPr>
            <w:tcW w:w="140" w:type="dxa"/>
            <w:vAlign w:val="bottom"/>
          </w:tcPr>
          <w:p>
            <w:pPr>
              <w:spacing w:after="0"/>
              <w:rPr>
                <w:sz w:val="22"/>
                <w:szCs w:val="22"/>
                <w:color w:val="auto"/>
              </w:rPr>
            </w:pPr>
          </w:p>
        </w:tc>
        <w:tc>
          <w:tcPr>
            <w:tcW w:w="10200" w:type="dxa"/>
            <w:vAlign w:val="bottom"/>
            <w:tcBorders>
              <w:bottom w:val="single" w:sz="8" w:color="0000EE"/>
            </w:tcBorders>
            <w:gridSpan w:val="8"/>
          </w:tcPr>
          <w:p>
            <w:pPr>
              <w:spacing w:after="0"/>
              <w:rPr>
                <w:rFonts w:ascii="Arial" w:cs="Arial" w:eastAsia="Arial" w:hAnsi="Arial"/>
                <w:sz w:val="16"/>
                <w:szCs w:val="16"/>
                <w:color w:val="0000EE"/>
                <w:w w:val="97"/>
              </w:rPr>
            </w:pPr>
            <w:hyperlink r:id="rId144">
              <w:r>
                <w:rPr>
                  <w:rFonts w:ascii="Arial" w:cs="Arial" w:eastAsia="Arial" w:hAnsi="Arial"/>
                  <w:sz w:val="16"/>
                  <w:szCs w:val="16"/>
                  <w:color w:val="0000EE"/>
                  <w:w w:val="97"/>
                </w:rPr>
                <w:t>Form of Stock Certificate (incorporated by reference to Exhibit 4.1 to Amendment No. 3 to the Registrant’s Registration Statement on Form S-1 filed</w:t>
              </w:r>
            </w:hyperlink>
          </w:p>
        </w:tc>
        <w:tc>
          <w:tcPr>
            <w:tcW w:w="300" w:type="dxa"/>
            <w:vAlign w:val="bottom"/>
            <w:gridSpan w:val="3"/>
          </w:tcPr>
          <w:p>
            <w:pPr>
              <w:spacing w:after="0"/>
              <w:rPr>
                <w:sz w:val="22"/>
                <w:szCs w:val="22"/>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500" w:type="dxa"/>
            <w:vAlign w:val="bottom"/>
            <w:gridSpan w:val="11"/>
          </w:tcPr>
          <w:p>
            <w:pPr>
              <w:spacing w:after="0" w:line="156" w:lineRule="exact"/>
              <w:rPr>
                <w:rFonts w:ascii="Arial" w:cs="Arial" w:eastAsia="Arial" w:hAnsi="Arial"/>
                <w:sz w:val="16"/>
                <w:szCs w:val="16"/>
                <w:color w:val="0000EE"/>
              </w:rPr>
            </w:pPr>
            <w:hyperlink r:id="rId144">
              <w:r>
                <w:rPr>
                  <w:rFonts w:ascii="Arial" w:cs="Arial" w:eastAsia="Arial" w:hAnsi="Arial"/>
                  <w:sz w:val="16"/>
                  <w:szCs w:val="16"/>
                  <w:color w:val="0000EE"/>
                </w:rPr>
                <w:t>June 17, 2011 (File No. 333-172932))</w:t>
              </w:r>
            </w:hyperlink>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gridSpan w:val="2"/>
            <w:shd w:val="clear" w:color="auto" w:fill="0000EE"/>
          </w:tcPr>
          <w:p>
            <w:pPr>
              <w:spacing w:after="0" w:line="20" w:lineRule="exact"/>
              <w:rPr>
                <w:sz w:val="1"/>
                <w:szCs w:val="1"/>
                <w:color w:val="auto"/>
              </w:rPr>
            </w:pPr>
          </w:p>
        </w:tc>
        <w:tc>
          <w:tcPr>
            <w:tcW w:w="700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r>
      <w:tr>
        <w:trPr>
          <w:trHeight w:val="262"/>
        </w:trPr>
        <w:tc>
          <w:tcPr>
            <w:tcW w:w="800" w:type="dxa"/>
            <w:vAlign w:val="bottom"/>
          </w:tcPr>
          <w:p>
            <w:pPr>
              <w:jc w:val="right"/>
              <w:ind w:right="346"/>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22"/>
                <w:szCs w:val="22"/>
                <w:color w:val="auto"/>
              </w:rPr>
            </w:pPr>
          </w:p>
        </w:tc>
        <w:tc>
          <w:tcPr>
            <w:tcW w:w="10500" w:type="dxa"/>
            <w:vAlign w:val="bottom"/>
            <w:gridSpan w:val="11"/>
          </w:tcPr>
          <w:p>
            <w:pPr>
              <w:spacing w:after="0"/>
              <w:rPr>
                <w:rFonts w:ascii="Arial" w:cs="Arial" w:eastAsia="Arial" w:hAnsi="Arial"/>
                <w:sz w:val="16"/>
                <w:szCs w:val="16"/>
                <w:color w:val="0000EE"/>
              </w:rPr>
            </w:pPr>
            <w:hyperlink r:id="rId145">
              <w:r>
                <w:rPr>
                  <w:rFonts w:ascii="Arial" w:cs="Arial" w:eastAsia="Arial" w:hAnsi="Arial"/>
                  <w:sz w:val="16"/>
                  <w:szCs w:val="16"/>
                  <w:color w:val="0000EE"/>
                </w:rPr>
                <w:t>Indenture, dated as of September 23, 2016, between the Issuer and Wilmington Trust, National Association, as Trustee (including the form of 5.0%</w:t>
              </w:r>
            </w:hyperlink>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top w:val="single" w:sz="8" w:color="0000EE"/>
            </w:tcBorders>
            <w:gridSpan w:val="7"/>
          </w:tcPr>
          <w:p>
            <w:pPr>
              <w:spacing w:after="0" w:line="156" w:lineRule="exact"/>
              <w:rPr>
                <w:rFonts w:ascii="Arial" w:cs="Arial" w:eastAsia="Arial" w:hAnsi="Arial"/>
                <w:sz w:val="16"/>
                <w:szCs w:val="16"/>
                <w:color w:val="0000EE"/>
              </w:rPr>
            </w:pPr>
            <w:hyperlink r:id="rId145">
              <w:r>
                <w:rPr>
                  <w:rFonts w:ascii="Arial" w:cs="Arial" w:eastAsia="Arial" w:hAnsi="Arial"/>
                  <w:sz w:val="16"/>
                  <w:szCs w:val="16"/>
                  <w:color w:val="0000EE"/>
                </w:rPr>
                <w:t>Senior Notes due 2024) (incorporated by reference to Exhibit 4.1 to the Registrant’s Current Report on Form 8-K filed September 23, 2016)</w:t>
              </w:r>
            </w:hyperlink>
          </w:p>
        </w:tc>
        <w:tc>
          <w:tcPr>
            <w:tcW w:w="380" w:type="dxa"/>
            <w:vAlign w:val="bottom"/>
            <w:gridSpan w:val="4"/>
          </w:tcPr>
          <w:p>
            <w:pPr>
              <w:spacing w:after="0"/>
              <w:rPr>
                <w:sz w:val="13"/>
                <w:szCs w:val="13"/>
                <w:color w:val="auto"/>
              </w:rPr>
            </w:pPr>
          </w:p>
        </w:tc>
      </w:tr>
      <w:tr>
        <w:trPr>
          <w:trHeight w:val="20"/>
        </w:trPr>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11440"/>
          </w:cols>
          <w:pgMar w:left="240" w:top="140" w:right="219" w:bottom="1440" w:gutter="0" w:footer="0" w:header="0"/>
        </w:sectPr>
      </w:pPr>
    </w:p>
    <w:p>
      <w:pPr>
        <w:ind w:left="160"/>
        <w:spacing w:after="0"/>
        <w:rPr>
          <w:sz w:val="20"/>
          <w:szCs w:val="20"/>
          <w:color w:val="auto"/>
        </w:rPr>
      </w:pPr>
      <w:r>
        <w:rPr>
          <w:rFonts w:ascii="Arial" w:cs="Arial" w:eastAsia="Arial" w:hAnsi="Arial"/>
          <w:sz w:val="15"/>
          <w:szCs w:val="15"/>
          <w:color w:val="auto"/>
        </w:rPr>
        <w:t>4.3</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4.4</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br w:type="column"/>
      </w:r>
    </w:p>
    <w:p>
      <w:pPr>
        <w:ind w:right="60"/>
        <w:spacing w:after="0" w:line="237" w:lineRule="auto"/>
        <w:rPr>
          <w:rFonts w:ascii="Arial" w:cs="Arial" w:eastAsia="Arial" w:hAnsi="Arial"/>
          <w:sz w:val="16"/>
          <w:szCs w:val="16"/>
          <w:u w:val="single" w:color="auto"/>
          <w:color w:val="0000EE"/>
        </w:rPr>
      </w:pPr>
      <w:hyperlink r:id="rId146">
        <w:r>
          <w:rPr>
            <w:rFonts w:ascii="Arial" w:cs="Arial" w:eastAsia="Arial" w:hAnsi="Arial"/>
            <w:sz w:val="16"/>
            <w:szCs w:val="16"/>
            <w:u w:val="single" w:color="auto"/>
            <w:color w:val="0000EE"/>
          </w:rPr>
          <w:t>Indenture, dated as of September 26, 2017, between the Issuer and Wilmington Trust, National Association, as Trustee (including form of 4.75% Senior</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Notes due 2027) (incorporated by reference to Exhibit 4.1 to the Registrant’s Current Report on Form 8-K filed September 26, 2017)</w:t>
        </w:r>
      </w:hyperlink>
    </w:p>
    <w:p>
      <w:pPr>
        <w:spacing w:after="0" w:line="94" w:lineRule="exact"/>
        <w:rPr>
          <w:sz w:val="20"/>
          <w:szCs w:val="20"/>
          <w:color w:val="auto"/>
        </w:rPr>
      </w:pPr>
    </w:p>
    <w:p>
      <w:pPr>
        <w:ind w:right="300"/>
        <w:spacing w:after="0" w:line="237" w:lineRule="auto"/>
        <w:rPr>
          <w:rFonts w:ascii="Arial" w:cs="Arial" w:eastAsia="Arial" w:hAnsi="Arial"/>
          <w:sz w:val="16"/>
          <w:szCs w:val="16"/>
          <w:u w:val="single" w:color="auto"/>
          <w:color w:val="0000EE"/>
        </w:rPr>
      </w:pPr>
      <w:hyperlink r:id="rId147">
        <w:r>
          <w:rPr>
            <w:rFonts w:ascii="Arial" w:cs="Arial" w:eastAsia="Arial" w:hAnsi="Arial"/>
            <w:sz w:val="16"/>
            <w:szCs w:val="16"/>
            <w:u w:val="single" w:color="auto"/>
            <w:color w:val="0000EE"/>
          </w:rPr>
          <w:t>Indenture, dated as of March 29, 2019, between the Issuer and Wilmington Trust, National Association, as Trustee (including form of 5.875% Senior</w:t>
        </w:r>
      </w:hyperlink>
      <w:r>
        <w:rPr>
          <w:rFonts w:ascii="Arial" w:cs="Arial" w:eastAsia="Arial" w:hAnsi="Arial"/>
          <w:sz w:val="16"/>
          <w:szCs w:val="16"/>
          <w:u w:val="single" w:color="auto"/>
          <w:color w:val="0000EE"/>
        </w:rPr>
        <w:t xml:space="preserve"> </w:t>
      </w:r>
      <w:hyperlink r:id="rId147">
        <w:r>
          <w:rPr>
            <w:rFonts w:ascii="Arial" w:cs="Arial" w:eastAsia="Arial" w:hAnsi="Arial"/>
            <w:sz w:val="16"/>
            <w:szCs w:val="16"/>
            <w:u w:val="single" w:color="auto"/>
            <w:color w:val="0000EE"/>
          </w:rPr>
          <w:t>Notes due 2029) (incorporated by reference to Exhibit 4.1 to the Registrant’s Current Report on Form 8-K filed March 29, 2019)</w:t>
        </w:r>
      </w:hyperlink>
    </w:p>
    <w:p>
      <w:pPr>
        <w:spacing w:after="0" w:line="129" w:lineRule="exact"/>
        <w:rPr>
          <w:sz w:val="20"/>
          <w:szCs w:val="20"/>
          <w:color w:val="auto"/>
        </w:rPr>
      </w:pPr>
    </w:p>
    <w:p>
      <w:pPr>
        <w:spacing w:after="0"/>
        <w:rPr>
          <w:rFonts w:ascii="Arial" w:cs="Arial" w:eastAsia="Arial" w:hAnsi="Arial"/>
          <w:sz w:val="16"/>
          <w:szCs w:val="16"/>
          <w:u w:val="single" w:color="auto"/>
          <w:color w:val="0000EE"/>
        </w:rPr>
      </w:pPr>
      <w:hyperlink w:anchor="page109">
        <w:r>
          <w:rPr>
            <w:rFonts w:ascii="Arial" w:cs="Arial" w:eastAsia="Arial" w:hAnsi="Arial"/>
            <w:sz w:val="16"/>
            <w:szCs w:val="16"/>
            <w:u w:val="single" w:color="auto"/>
            <w:color w:val="0000EE"/>
          </w:rPr>
          <w:t>Description of Securities (filed herewith)</w:t>
        </w:r>
      </w:hyperlink>
    </w:p>
    <w:p>
      <w:pPr>
        <w:spacing w:after="0" w:line="195" w:lineRule="exact"/>
        <w:rPr>
          <w:sz w:val="20"/>
          <w:szCs w:val="20"/>
          <w:color w:val="auto"/>
        </w:rPr>
      </w:pPr>
    </w:p>
    <w:p>
      <w:pPr>
        <w:sectPr>
          <w:pgSz w:w="11900" w:h="16838" w:orient="portrait"/>
          <w:cols w:equalWidth="0" w:num="2">
            <w:col w:w="380" w:space="560"/>
            <w:col w:w="10500"/>
          </w:cols>
          <w:pgMar w:left="240" w:top="140" w:right="219" w:bottom="1440" w:gutter="0" w:footer="0" w:header="0"/>
          <w:type w:val="continuous"/>
        </w:sectPr>
      </w:pPr>
    </w:p>
    <w:p>
      <w:pPr>
        <w:ind w:left="80"/>
        <w:spacing w:after="0"/>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w:t>
      </w:r>
      <w:r>
        <w:rPr>
          <w:sz w:val="20"/>
          <w:szCs w:val="20"/>
          <w:color w:val="auto"/>
        </w:rPr>
        <w:tab/>
      </w:r>
      <w:hyperlink r:id="rId148">
        <w:r>
          <w:rPr>
            <w:rFonts w:ascii="Arial" w:cs="Arial" w:eastAsia="Arial" w:hAnsi="Arial"/>
            <w:sz w:val="15"/>
            <w:szCs w:val="15"/>
            <w:u w:val="single" w:color="auto"/>
            <w:color w:val="0000EE"/>
          </w:rPr>
          <w:t>Second Amended and Restated Credit Agreement, dated as of March 29, 2019, among Allison Transmission Holdings, Inc., Allison Transmission, Inc.,</w:t>
        </w:r>
      </w:hyperlink>
    </w:p>
    <w:p>
      <w:pPr>
        <w:ind w:left="940" w:right="960"/>
        <w:spacing w:after="0" w:line="265" w:lineRule="auto"/>
        <w:rPr>
          <w:rFonts w:ascii="Arial" w:cs="Arial" w:eastAsia="Arial" w:hAnsi="Arial"/>
          <w:sz w:val="15"/>
          <w:szCs w:val="15"/>
          <w:u w:val="single" w:color="auto"/>
          <w:color w:val="0000EE"/>
        </w:rPr>
      </w:pPr>
      <w:hyperlink r:id="rId148">
        <w:r>
          <w:rPr>
            <w:rFonts w:ascii="Arial" w:cs="Arial" w:eastAsia="Arial" w:hAnsi="Arial"/>
            <w:sz w:val="15"/>
            <w:szCs w:val="15"/>
            <w:u w:val="single" w:color="auto"/>
            <w:color w:val="0000EE"/>
          </w:rPr>
          <w:t>as Borrower, the several banks and other financial institutions or entities from time to time parties thereto as lenders and Citibank, N.A., as</w:t>
        </w:r>
      </w:hyperlink>
      <w:r>
        <w:rPr>
          <w:rFonts w:ascii="Arial" w:cs="Arial" w:eastAsia="Arial" w:hAnsi="Arial"/>
          <w:sz w:val="15"/>
          <w:szCs w:val="15"/>
          <w:u w:val="single" w:color="auto"/>
          <w:color w:val="0000EE"/>
        </w:rPr>
        <w:t xml:space="preserve"> </w:t>
      </w:r>
      <w:hyperlink r:id="rId148">
        <w:r>
          <w:rPr>
            <w:rFonts w:ascii="Arial" w:cs="Arial" w:eastAsia="Arial" w:hAnsi="Arial"/>
            <w:sz w:val="15"/>
            <w:szCs w:val="15"/>
            <w:u w:val="single" w:color="auto"/>
            <w:color w:val="0000EE"/>
          </w:rPr>
          <w:t>Administrative Agent (incorporated by reference to Exhibit 10.1 to the Registrant’s Current Report on Form 8-K filed March 29, 2019)</w:t>
        </w:r>
      </w:hyperlink>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type w:val="continuous"/>
        </w:sectPr>
      </w:pPr>
    </w:p>
    <w:bookmarkStart w:id="104" w:name="page105"/>
    <w:bookmarkEnd w:id="10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left="940" w:right="340" w:hanging="851"/>
        <w:spacing w:after="0" w:line="233"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10.2</w:t>
      </w:r>
      <w:r>
        <w:rPr>
          <w:sz w:val="20"/>
          <w:szCs w:val="20"/>
          <w:color w:val="auto"/>
        </w:rPr>
        <w:tab/>
      </w:r>
      <w:hyperlink r:id="rId150">
        <w:r>
          <w:rPr>
            <w:rFonts w:ascii="Arial" w:cs="Arial" w:eastAsia="Arial" w:hAnsi="Arial"/>
            <w:sz w:val="16"/>
            <w:szCs w:val="16"/>
            <w:u w:val="single" w:color="auto"/>
            <w:color w:val="0000EE"/>
          </w:rPr>
          <w:t>Amendment No. 1 dated October 11, 2019, to the Second Amended and Restated Credit Agreement, dated as of March 29, 2019, among Allison</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Transmission Holdings, Inc., Allison Transmission, Inc., as Borrower, the several banks and other financial institutions or entities from time to time</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parties thereto as lenders, Citibank, N.A as Administrative Agent and as the 2019 refinancing term lender and the other agents and arrangers party</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thereto (incorporated by reference to Exhibit 10.1 to the Registrant’s Current Report on Form 8-K filed October 15, 2019)</w:t>
        </w:r>
      </w:hyperlink>
    </w:p>
    <w:p>
      <w:pPr>
        <w:spacing w:after="0" w:line="95" w:lineRule="exact"/>
        <w:rPr>
          <w:rFonts w:ascii="Arial" w:cs="Arial" w:eastAsia="Arial" w:hAnsi="Arial"/>
          <w:sz w:val="16"/>
          <w:szCs w:val="16"/>
          <w:u w:val="single" w:color="auto"/>
          <w:color w:val="0000EE"/>
        </w:rPr>
      </w:pPr>
    </w:p>
    <w:p>
      <w:pPr>
        <w:ind w:left="940" w:right="360" w:hanging="851"/>
        <w:spacing w:after="0" w:line="23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10.3</w:t>
      </w:r>
      <w:r>
        <w:rPr>
          <w:sz w:val="20"/>
          <w:szCs w:val="20"/>
          <w:color w:val="auto"/>
        </w:rPr>
        <w:tab/>
      </w:r>
      <w:hyperlink r:id="rId151">
        <w:r>
          <w:rPr>
            <w:rFonts w:ascii="Arial" w:cs="Arial" w:eastAsia="Arial" w:hAnsi="Arial"/>
            <w:sz w:val="16"/>
            <w:szCs w:val="16"/>
            <w:u w:val="single" w:color="auto"/>
            <w:color w:val="0000EE"/>
          </w:rPr>
          <w:t>Guarantee And Collateral Agreement made by Allison Transmission Holdings, Inc., Allison Transmission, Inc., as Borrower, and the Subsidiary</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Guarantors party thereto in favor of Citicorp North America, Inc., as Administrative Agent, dated as of August 7, 2007 (incorporated by reference to</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Exhibit 10.3 to the Registrant’s Registration Statement on Form S-1 filed March 18, 2011 (File No. 333-172932))</w:t>
        </w:r>
      </w:hyperlink>
    </w:p>
    <w:p>
      <w:pPr>
        <w:spacing w:after="0" w:line="87" w:lineRule="exact"/>
        <w:rPr>
          <w:rFonts w:ascii="Arial" w:cs="Arial" w:eastAsia="Arial" w:hAnsi="Arial"/>
          <w:sz w:val="16"/>
          <w:szCs w:val="16"/>
          <w:u w:val="single" w:color="auto"/>
          <w:color w:val="0000EE"/>
        </w:rPr>
      </w:pPr>
    </w:p>
    <w:p>
      <w:pPr>
        <w:ind w:left="80"/>
        <w:spacing w:after="0"/>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10.4</w:t>
      </w:r>
      <w:r>
        <w:rPr>
          <w:sz w:val="20"/>
          <w:szCs w:val="20"/>
          <w:color w:val="auto"/>
        </w:rPr>
        <w:tab/>
      </w:r>
      <w:hyperlink r:id="rId152">
        <w:r>
          <w:rPr>
            <w:rFonts w:ascii="Arial" w:cs="Arial" w:eastAsia="Arial" w:hAnsi="Arial"/>
            <w:sz w:val="15"/>
            <w:szCs w:val="15"/>
            <w:u w:val="single" w:color="auto"/>
            <w:color w:val="0000EE"/>
          </w:rPr>
          <w:t>Trademark Security Agreement made by Allison Transmission, Inc. in favor of Citicorp North America, Inc., as Administrative Agent, dated as of August</w:t>
        </w:r>
      </w:hyperlink>
    </w:p>
    <w:p>
      <w:pPr>
        <w:ind w:left="940"/>
        <w:spacing w:after="0"/>
        <w:rPr>
          <w:rFonts w:ascii="Arial" w:cs="Arial" w:eastAsia="Arial" w:hAnsi="Arial"/>
          <w:sz w:val="15"/>
          <w:szCs w:val="15"/>
          <w:u w:val="single" w:color="auto"/>
          <w:color w:val="0000EE"/>
        </w:rPr>
      </w:pPr>
      <w:hyperlink r:id="rId152">
        <w:r>
          <w:rPr>
            <w:rFonts w:ascii="Arial" w:cs="Arial" w:eastAsia="Arial" w:hAnsi="Arial"/>
            <w:sz w:val="15"/>
            <w:szCs w:val="15"/>
            <w:u w:val="single" w:color="auto"/>
            <w:color w:val="0000EE"/>
          </w:rPr>
          <w:t>7, 2007 (incorporated by reference to Exhibit 10.4 to the Registrant’s Registration Statement on Form S-1 filed March 18, 2011 (File No. 333-172932))</w:t>
        </w:r>
      </w:hyperlink>
    </w:p>
    <w:p>
      <w:pPr>
        <w:spacing w:after="0" w:line="109" w:lineRule="exact"/>
        <w:rPr>
          <w:rFonts w:ascii="Arial" w:cs="Arial" w:eastAsia="Arial" w:hAnsi="Arial"/>
          <w:sz w:val="16"/>
          <w:szCs w:val="16"/>
          <w:u w:val="single" w:color="auto"/>
          <w:color w:val="0000EE"/>
        </w:rPr>
      </w:pPr>
    </w:p>
    <w:p>
      <w:pPr>
        <w:jc w:val="both"/>
        <w:ind w:left="940" w:right="60" w:hanging="851"/>
        <w:spacing w:after="0" w:line="23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10.5</w:t>
      </w:r>
      <w:r>
        <w:rPr>
          <w:sz w:val="20"/>
          <w:szCs w:val="20"/>
          <w:color w:val="auto"/>
        </w:rPr>
        <w:tab/>
      </w:r>
      <w:hyperlink r:id="rId153">
        <w:r>
          <w:rPr>
            <w:rFonts w:ascii="Arial" w:cs="Arial" w:eastAsia="Arial" w:hAnsi="Arial"/>
            <w:sz w:val="16"/>
            <w:szCs w:val="16"/>
            <w:u w:val="single" w:color="auto"/>
            <w:color w:val="0000EE"/>
          </w:rPr>
          <w:t>Copyright Security Agreement made by Allison Transmission, Inc. in favor of Citicorp North America, Inc., as Administrative Agent, dated as of August</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7, 2007 (incorporated by reference to Exhibit 10.5 to Amendment No. 2 to the Registrant’s Registration Statement on Form S-1 filed May 16, 2011 (File</w:t>
        </w:r>
      </w:hyperlink>
      <w:r>
        <w:rPr>
          <w:rFonts w:ascii="Arial" w:cs="Arial" w:eastAsia="Arial" w:hAnsi="Arial"/>
          <w:sz w:val="16"/>
          <w:szCs w:val="16"/>
          <w:u w:val="single" w:color="auto"/>
          <w:color w:val="0000EE"/>
        </w:rPr>
        <w:t xml:space="preserve"> </w:t>
      </w:r>
      <w:hyperlink r:id="rId153">
        <w:r>
          <w:rPr>
            <w:rFonts w:ascii="Arial" w:cs="Arial" w:eastAsia="Arial" w:hAnsi="Arial"/>
            <w:sz w:val="16"/>
            <w:szCs w:val="16"/>
            <w:u w:val="single" w:color="auto"/>
            <w:color w:val="0000EE"/>
          </w:rPr>
          <w:t>No. 333-172932))</w:t>
        </w:r>
      </w:hyperlink>
    </w:p>
    <w:p>
      <w:pPr>
        <w:spacing w:after="0" w:line="95" w:lineRule="exact"/>
        <w:rPr>
          <w:rFonts w:ascii="Arial" w:cs="Arial" w:eastAsia="Arial" w:hAnsi="Arial"/>
          <w:sz w:val="16"/>
          <w:szCs w:val="16"/>
          <w:u w:val="single" w:color="auto"/>
          <w:color w:val="0000EE"/>
        </w:rPr>
      </w:pPr>
    </w:p>
    <w:p>
      <w:pPr>
        <w:ind w:left="940" w:right="36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10.6*</w:t>
      </w:r>
      <w:r>
        <w:rPr>
          <w:sz w:val="20"/>
          <w:szCs w:val="20"/>
          <w:color w:val="auto"/>
        </w:rPr>
        <w:tab/>
      </w:r>
      <w:hyperlink r:id="rId154">
        <w:r>
          <w:rPr>
            <w:rFonts w:ascii="Arial" w:cs="Arial" w:eastAsia="Arial" w:hAnsi="Arial"/>
            <w:sz w:val="16"/>
            <w:szCs w:val="16"/>
            <w:u w:val="single" w:color="auto"/>
            <w:color w:val="0000EE"/>
          </w:rPr>
          <w:t>Allison Transmission Holdings, Inc. 2015 Equity Incentive Award Plan (incorporated by reference to Appendix A to the Registrant’s Definitive Proxy</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Statement on Schedule 14A filed April 2, 2015)</w:t>
        </w:r>
      </w:hyperlink>
    </w:p>
    <w:p>
      <w:pPr>
        <w:spacing w:after="0" w:line="94" w:lineRule="exact"/>
        <w:rPr>
          <w:sz w:val="20"/>
          <w:szCs w:val="20"/>
          <w:color w:val="auto"/>
        </w:rPr>
      </w:pPr>
    </w:p>
    <w:p>
      <w:pPr>
        <w:ind w:left="940" w:right="36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10.7*</w:t>
      </w:r>
      <w:r>
        <w:rPr>
          <w:sz w:val="20"/>
          <w:szCs w:val="20"/>
          <w:color w:val="auto"/>
        </w:rPr>
        <w:tab/>
      </w:r>
      <w:hyperlink r:id="rId154">
        <w:r>
          <w:rPr>
            <w:rFonts w:ascii="Arial" w:cs="Arial" w:eastAsia="Arial" w:hAnsi="Arial"/>
            <w:sz w:val="16"/>
            <w:szCs w:val="16"/>
            <w:u w:val="single" w:color="auto"/>
            <w:color w:val="0000EE"/>
          </w:rPr>
          <w:t>Allison Transmission Holdings, Inc. 2016 Incentive Plan (incorporated by reference to Appendix B to the Registrant’s Definitive Proxy Statement on</w:t>
        </w:r>
      </w:hyperlink>
      <w:r>
        <w:rPr>
          <w:rFonts w:ascii="Arial" w:cs="Arial" w:eastAsia="Arial" w:hAnsi="Arial"/>
          <w:sz w:val="16"/>
          <w:szCs w:val="16"/>
          <w:u w:val="single" w:color="auto"/>
          <w:color w:val="0000EE"/>
        </w:rPr>
        <w:t xml:space="preserve"> </w:t>
      </w:r>
      <w:hyperlink r:id="rId154">
        <w:r>
          <w:rPr>
            <w:rFonts w:ascii="Arial" w:cs="Arial" w:eastAsia="Arial" w:hAnsi="Arial"/>
            <w:sz w:val="16"/>
            <w:szCs w:val="16"/>
            <w:u w:val="single" w:color="auto"/>
            <w:color w:val="0000EE"/>
          </w:rPr>
          <w:t>Schedule 14A filed April 2, 2015)</w:t>
        </w:r>
      </w:hyperlink>
    </w:p>
    <w:p>
      <w:pPr>
        <w:spacing w:after="0" w:line="94" w:lineRule="exact"/>
        <w:rPr>
          <w:sz w:val="20"/>
          <w:szCs w:val="20"/>
          <w:color w:val="auto"/>
        </w:rPr>
      </w:pPr>
    </w:p>
    <w:p>
      <w:pPr>
        <w:ind w:left="940" w:right="2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10.8*</w:t>
      </w:r>
      <w:r>
        <w:rPr>
          <w:sz w:val="20"/>
          <w:szCs w:val="20"/>
          <w:color w:val="auto"/>
        </w:rPr>
        <w:tab/>
      </w:r>
      <w:hyperlink r:id="rId155">
        <w:r>
          <w:rPr>
            <w:rFonts w:ascii="Arial" w:cs="Arial" w:eastAsia="Arial" w:hAnsi="Arial"/>
            <w:sz w:val="16"/>
            <w:szCs w:val="16"/>
            <w:u w:val="single" w:color="auto"/>
            <w:color w:val="0000EE"/>
          </w:rPr>
          <w:t>Form of 2015 Equity Incentive Award Plan Restricted Stock Agreement (incorporated by reference to Exhibit 10.41 to the Registrant’s Annual Report on</w:t>
        </w:r>
      </w:hyperlink>
      <w:r>
        <w:rPr>
          <w:rFonts w:ascii="Arial" w:cs="Arial" w:eastAsia="Arial" w:hAnsi="Arial"/>
          <w:sz w:val="16"/>
          <w:szCs w:val="16"/>
          <w:u w:val="single" w:color="auto"/>
          <w:color w:val="0000EE"/>
        </w:rPr>
        <w:t xml:space="preserve"> </w:t>
      </w:r>
      <w:hyperlink r:id="rId155">
        <w:r>
          <w:rPr>
            <w:rFonts w:ascii="Arial" w:cs="Arial" w:eastAsia="Arial" w:hAnsi="Arial"/>
            <w:sz w:val="16"/>
            <w:szCs w:val="16"/>
            <w:u w:val="single" w:color="auto"/>
            <w:color w:val="0000EE"/>
          </w:rPr>
          <w:t>Form 10-K for the year ended December 31, 2015 filed February 19, 2016)</w:t>
        </w:r>
      </w:hyperlink>
    </w:p>
    <w:p>
      <w:pPr>
        <w:spacing w:after="0" w:line="94" w:lineRule="exact"/>
        <w:rPr>
          <w:sz w:val="20"/>
          <w:szCs w:val="20"/>
          <w:color w:val="auto"/>
        </w:rPr>
      </w:pPr>
    </w:p>
    <w:p>
      <w:pPr>
        <w:ind w:left="940" w:right="42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10.9*</w:t>
      </w:r>
      <w:r>
        <w:rPr>
          <w:sz w:val="20"/>
          <w:szCs w:val="20"/>
          <w:color w:val="auto"/>
        </w:rPr>
        <w:tab/>
      </w:r>
      <w:hyperlink r:id="rId156">
        <w:r>
          <w:rPr>
            <w:rFonts w:ascii="Arial" w:cs="Arial" w:eastAsia="Arial" w:hAnsi="Arial"/>
            <w:sz w:val="16"/>
            <w:szCs w:val="16"/>
            <w:u w:val="single" w:color="auto"/>
            <w:color w:val="0000EE"/>
          </w:rPr>
          <w:t>Form of 2015 Equity Incentive Award Plan Restricted Stock Unit Agreement (incorporated by reference to Exhibit 10.42 to the Registrant’s Annual</w:t>
        </w:r>
      </w:hyperlink>
      <w:r>
        <w:rPr>
          <w:rFonts w:ascii="Arial" w:cs="Arial" w:eastAsia="Arial" w:hAnsi="Arial"/>
          <w:sz w:val="16"/>
          <w:szCs w:val="16"/>
          <w:u w:val="single" w:color="auto"/>
          <w:color w:val="0000EE"/>
        </w:rPr>
        <w:t xml:space="preserve"> </w:t>
      </w:r>
      <w:hyperlink r:id="rId156">
        <w:r>
          <w:rPr>
            <w:rFonts w:ascii="Arial" w:cs="Arial" w:eastAsia="Arial" w:hAnsi="Arial"/>
            <w:sz w:val="16"/>
            <w:szCs w:val="16"/>
            <w:u w:val="single" w:color="auto"/>
            <w:color w:val="0000EE"/>
          </w:rPr>
          <w:t>Report on Form 10-K for the year ended December 31, 2015 filed February 19, 2016)</w:t>
        </w:r>
      </w:hyperlink>
    </w:p>
    <w:p>
      <w:pPr>
        <w:spacing w:after="0" w:line="94" w:lineRule="exact"/>
        <w:rPr>
          <w:sz w:val="20"/>
          <w:szCs w:val="20"/>
          <w:color w:val="auto"/>
        </w:rPr>
      </w:pPr>
    </w:p>
    <w:p>
      <w:pPr>
        <w:ind w:left="940" w:right="26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10.10*</w:t>
      </w:r>
      <w:r>
        <w:rPr>
          <w:sz w:val="20"/>
          <w:szCs w:val="20"/>
          <w:color w:val="auto"/>
        </w:rPr>
        <w:tab/>
      </w:r>
      <w:hyperlink r:id="rId157">
        <w:r>
          <w:rPr>
            <w:rFonts w:ascii="Arial" w:cs="Arial" w:eastAsia="Arial" w:hAnsi="Arial"/>
            <w:sz w:val="16"/>
            <w:szCs w:val="16"/>
            <w:u w:val="single" w:color="auto"/>
            <w:color w:val="0000EE"/>
          </w:rPr>
          <w:t>Form of 2015 Equity Incentive Award Plan Stock Option Agreement (incorporated by reference to Exhibit 10.43 to the Registrant’s Annual Report on</w:t>
        </w:r>
      </w:hyperlink>
      <w:r>
        <w:rPr>
          <w:rFonts w:ascii="Arial" w:cs="Arial" w:eastAsia="Arial" w:hAnsi="Arial"/>
          <w:sz w:val="16"/>
          <w:szCs w:val="16"/>
          <w:u w:val="single" w:color="auto"/>
          <w:color w:val="0000EE"/>
        </w:rPr>
        <w:t xml:space="preserve"> </w:t>
      </w:r>
      <w:hyperlink r:id="rId157">
        <w:r>
          <w:rPr>
            <w:rFonts w:ascii="Arial" w:cs="Arial" w:eastAsia="Arial" w:hAnsi="Arial"/>
            <w:sz w:val="16"/>
            <w:szCs w:val="16"/>
            <w:u w:val="single" w:color="auto"/>
            <w:color w:val="0000EE"/>
          </w:rPr>
          <w:t>Form 10-K for the year ended December 31, 2015 filed February 19, 2016)</w:t>
        </w:r>
      </w:hyperlink>
    </w:p>
    <w:p>
      <w:pPr>
        <w:spacing w:after="0" w:line="94" w:lineRule="exact"/>
        <w:rPr>
          <w:sz w:val="20"/>
          <w:szCs w:val="20"/>
          <w:color w:val="auto"/>
        </w:rPr>
      </w:pPr>
    </w:p>
    <w:p>
      <w:pPr>
        <w:ind w:left="940" w:right="24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10.11*</w:t>
      </w:r>
      <w:r>
        <w:rPr>
          <w:sz w:val="20"/>
          <w:szCs w:val="20"/>
          <w:color w:val="auto"/>
        </w:rPr>
        <w:tab/>
      </w:r>
      <w:hyperlink r:id="rId158">
        <w:r>
          <w:rPr>
            <w:rFonts w:ascii="Arial" w:cs="Arial" w:eastAsia="Arial" w:hAnsi="Arial"/>
            <w:sz w:val="16"/>
            <w:szCs w:val="16"/>
            <w:u w:val="single" w:color="auto"/>
            <w:color w:val="0000EE"/>
          </w:rPr>
          <w:t>Form of 2015 Equity Incentive Award Plan Performance Stock Unit Agreement (incorporated by reference to Exhibit 10.25 to the Registrant’s Annual</w:t>
        </w:r>
      </w:hyperlink>
      <w:r>
        <w:rPr>
          <w:rFonts w:ascii="Arial" w:cs="Arial" w:eastAsia="Arial" w:hAnsi="Arial"/>
          <w:sz w:val="16"/>
          <w:szCs w:val="16"/>
          <w:u w:val="single" w:color="auto"/>
          <w:color w:val="0000EE"/>
        </w:rPr>
        <w:t xml:space="preserve"> </w:t>
      </w:r>
      <w:hyperlink r:id="rId158">
        <w:r>
          <w:rPr>
            <w:rFonts w:ascii="Arial" w:cs="Arial" w:eastAsia="Arial" w:hAnsi="Arial"/>
            <w:sz w:val="16"/>
            <w:szCs w:val="16"/>
            <w:u w:val="single" w:color="auto"/>
            <w:color w:val="0000EE"/>
          </w:rPr>
          <w:t>Report on Form 10-K for the year ended December 31, 2016 filed February 24, 2017)</w:t>
        </w:r>
      </w:hyperlink>
    </w:p>
    <w:p>
      <w:pPr>
        <w:spacing w:after="0" w:line="94" w:lineRule="exact"/>
        <w:rPr>
          <w:sz w:val="20"/>
          <w:szCs w:val="20"/>
          <w:color w:val="auto"/>
        </w:rPr>
      </w:pPr>
    </w:p>
    <w:p>
      <w:pPr>
        <w:ind w:left="940" w:right="78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10.12*</w:t>
      </w:r>
      <w:r>
        <w:rPr>
          <w:sz w:val="20"/>
          <w:szCs w:val="20"/>
          <w:color w:val="auto"/>
        </w:rPr>
        <w:tab/>
      </w:r>
      <w:hyperlink r:id="rId159">
        <w:r>
          <w:rPr>
            <w:rFonts w:ascii="Arial" w:cs="Arial" w:eastAsia="Arial" w:hAnsi="Arial"/>
            <w:sz w:val="16"/>
            <w:szCs w:val="16"/>
            <w:u w:val="single" w:color="auto"/>
            <w:color w:val="0000EE"/>
          </w:rPr>
          <w:t>Allison Transmission Holdings, Inc. 2011 Equity Incentive Award Plan (incorporated by reference to Exhibit 10.10 to Amendment No. 3 to the</w:t>
        </w:r>
      </w:hyperlink>
      <w:r>
        <w:rPr>
          <w:rFonts w:ascii="Arial" w:cs="Arial" w:eastAsia="Arial" w:hAnsi="Arial"/>
          <w:sz w:val="16"/>
          <w:szCs w:val="16"/>
          <w:u w:val="single" w:color="auto"/>
          <w:color w:val="0000EE"/>
        </w:rPr>
        <w:t xml:space="preserve"> </w:t>
      </w:r>
      <w:hyperlink r:id="rId159">
        <w:r>
          <w:rPr>
            <w:rFonts w:ascii="Arial" w:cs="Arial" w:eastAsia="Arial" w:hAnsi="Arial"/>
            <w:sz w:val="16"/>
            <w:szCs w:val="16"/>
            <w:u w:val="single" w:color="auto"/>
            <w:color w:val="0000EE"/>
          </w:rPr>
          <w:t>Registrant’s Registration Statement on Form S-1 filed June 17, 2011 (File No. 333-172932))</w:t>
        </w:r>
      </w:hyperlink>
    </w:p>
    <w:p>
      <w:pPr>
        <w:spacing w:after="0" w:line="94" w:lineRule="exact"/>
        <w:rPr>
          <w:sz w:val="20"/>
          <w:szCs w:val="20"/>
          <w:color w:val="auto"/>
        </w:rPr>
      </w:pPr>
    </w:p>
    <w:p>
      <w:pPr>
        <w:ind w:left="940" w:right="34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10.13*</w:t>
      </w:r>
      <w:r>
        <w:rPr>
          <w:sz w:val="20"/>
          <w:szCs w:val="20"/>
          <w:color w:val="auto"/>
        </w:rPr>
        <w:tab/>
      </w:r>
      <w:hyperlink r:id="rId160">
        <w:r>
          <w:rPr>
            <w:rFonts w:ascii="Arial" w:cs="Arial" w:eastAsia="Arial" w:hAnsi="Arial"/>
            <w:sz w:val="16"/>
            <w:szCs w:val="16"/>
            <w:u w:val="single" w:color="auto"/>
            <w:color w:val="0000EE"/>
          </w:rPr>
          <w:t>Form of 2011 Equity Incentive Award Plan Restricted Stock Unit Agreement (incorporated by reference to Exhibit 10.12 to Amendment No. 3 to the</w:t>
        </w:r>
      </w:hyperlink>
      <w:r>
        <w:rPr>
          <w:rFonts w:ascii="Arial" w:cs="Arial" w:eastAsia="Arial" w:hAnsi="Arial"/>
          <w:sz w:val="16"/>
          <w:szCs w:val="16"/>
          <w:u w:val="single" w:color="auto"/>
          <w:color w:val="0000EE"/>
        </w:rPr>
        <w:t xml:space="preserve"> </w:t>
      </w:r>
      <w:hyperlink r:id="rId160">
        <w:r>
          <w:rPr>
            <w:rFonts w:ascii="Arial" w:cs="Arial" w:eastAsia="Arial" w:hAnsi="Arial"/>
            <w:sz w:val="16"/>
            <w:szCs w:val="16"/>
            <w:u w:val="single" w:color="auto"/>
            <w:color w:val="0000EE"/>
          </w:rPr>
          <w:t>Registrant’s Registration Statement on Form S-1 filed June 17, 2011 (File No. 333-172932))</w:t>
        </w:r>
      </w:hyperlink>
    </w:p>
    <w:p>
      <w:pPr>
        <w:spacing w:after="0" w:line="94" w:lineRule="exact"/>
        <w:rPr>
          <w:sz w:val="20"/>
          <w:szCs w:val="20"/>
          <w:color w:val="auto"/>
        </w:rPr>
      </w:pPr>
    </w:p>
    <w:p>
      <w:pPr>
        <w:ind w:left="940" w:right="4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10.14*</w:t>
      </w:r>
      <w:r>
        <w:rPr>
          <w:sz w:val="20"/>
          <w:szCs w:val="20"/>
          <w:color w:val="auto"/>
        </w:rPr>
        <w:tab/>
      </w:r>
      <w:hyperlink r:id="rId161">
        <w:r>
          <w:rPr>
            <w:rFonts w:ascii="Arial" w:cs="Arial" w:eastAsia="Arial" w:hAnsi="Arial"/>
            <w:sz w:val="16"/>
            <w:szCs w:val="16"/>
            <w:u w:val="single" w:color="auto"/>
            <w:color w:val="0000EE"/>
          </w:rPr>
          <w:t>Form of 2011 Equity Incentive Award Plan Stock Option Agreement (incorporated by reference to Exhibit 10.13 to Amendment No. 3 to the Registrant’s</w:t>
        </w:r>
      </w:hyperlink>
      <w:r>
        <w:rPr>
          <w:rFonts w:ascii="Arial" w:cs="Arial" w:eastAsia="Arial" w:hAnsi="Arial"/>
          <w:sz w:val="16"/>
          <w:szCs w:val="16"/>
          <w:u w:val="single" w:color="auto"/>
          <w:color w:val="0000EE"/>
        </w:rPr>
        <w:t xml:space="preserve"> </w:t>
      </w:r>
      <w:hyperlink r:id="rId161">
        <w:r>
          <w:rPr>
            <w:rFonts w:ascii="Arial" w:cs="Arial" w:eastAsia="Arial" w:hAnsi="Arial"/>
            <w:sz w:val="16"/>
            <w:szCs w:val="16"/>
            <w:u w:val="single" w:color="auto"/>
            <w:color w:val="0000EE"/>
          </w:rPr>
          <w:t>Registration Statement on Form S-1 filed June 17, 2011 (File No. 333-172932))</w:t>
        </w:r>
      </w:hyperlink>
    </w:p>
    <w:p>
      <w:pPr>
        <w:spacing w:after="0" w:line="94" w:lineRule="exact"/>
        <w:rPr>
          <w:sz w:val="20"/>
          <w:szCs w:val="20"/>
          <w:color w:val="auto"/>
        </w:rPr>
      </w:pPr>
    </w:p>
    <w:p>
      <w:pPr>
        <w:ind w:left="940" w:hanging="851"/>
        <w:spacing w:after="0" w:line="234"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10.15*</w:t>
      </w:r>
      <w:r>
        <w:rPr>
          <w:sz w:val="20"/>
          <w:szCs w:val="20"/>
          <w:color w:val="auto"/>
        </w:rPr>
        <w:tab/>
      </w:r>
      <w:hyperlink r:id="rId162">
        <w:r>
          <w:rPr>
            <w:rFonts w:ascii="Arial" w:cs="Arial" w:eastAsia="Arial" w:hAnsi="Arial"/>
            <w:sz w:val="16"/>
            <w:szCs w:val="16"/>
            <w:u w:val="single" w:color="auto"/>
            <w:color w:val="0000EE"/>
          </w:rPr>
          <w:t>Form Amendment to Stock Option Agreement under the Allison Transmission Holdings, Inc. 2011 Equity Incentive Award Plan and Equity Incentive</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Plan of Allison Transmission Holdings, Inc. (incorporated by reference to Exhibit 10.27 to the Registrant’s Quarterly Report on Form 10-Q for the quarter</w:t>
        </w:r>
      </w:hyperlink>
      <w:r>
        <w:rPr>
          <w:rFonts w:ascii="Arial" w:cs="Arial" w:eastAsia="Arial" w:hAnsi="Arial"/>
          <w:sz w:val="16"/>
          <w:szCs w:val="16"/>
          <w:u w:val="single" w:color="auto"/>
          <w:color w:val="0000EE"/>
        </w:rPr>
        <w:t xml:space="preserve"> </w:t>
      </w:r>
      <w:hyperlink r:id="rId162">
        <w:r>
          <w:rPr>
            <w:rFonts w:ascii="Arial" w:cs="Arial" w:eastAsia="Arial" w:hAnsi="Arial"/>
            <w:sz w:val="16"/>
            <w:szCs w:val="16"/>
            <w:u w:val="single" w:color="auto"/>
            <w:color w:val="0000EE"/>
          </w:rPr>
          <w:t>ended June 30, 2013 filed July 30, 2013 (File No. 001-35456))</w:t>
        </w:r>
      </w:hyperlink>
    </w:p>
    <w:p>
      <w:pPr>
        <w:spacing w:after="0" w:line="95" w:lineRule="exact"/>
        <w:rPr>
          <w:rFonts w:ascii="Arial" w:cs="Arial" w:eastAsia="Arial" w:hAnsi="Arial"/>
          <w:sz w:val="16"/>
          <w:szCs w:val="16"/>
          <w:u w:val="single" w:color="auto"/>
          <w:color w:val="0000EE"/>
        </w:rPr>
      </w:pPr>
    </w:p>
    <w:p>
      <w:pPr>
        <w:ind w:left="940" w:right="10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10.16*</w:t>
      </w:r>
      <w:r>
        <w:rPr>
          <w:sz w:val="20"/>
          <w:szCs w:val="20"/>
          <w:color w:val="auto"/>
        </w:rPr>
        <w:tab/>
      </w:r>
      <w:hyperlink r:id="rId163">
        <w:r>
          <w:rPr>
            <w:rFonts w:ascii="Arial" w:cs="Arial" w:eastAsia="Arial" w:hAnsi="Arial"/>
            <w:sz w:val="16"/>
            <w:szCs w:val="16"/>
            <w:u w:val="single" w:color="auto"/>
            <w:color w:val="0000EE"/>
          </w:rPr>
          <w:t>Form of 2011 Equity Incentive Award Plan Stock Option Agreement (incorporated by reference to Exhibit 10.29 to the Registrant’s Quarterly Report on</w:t>
        </w:r>
      </w:hyperlink>
      <w:r>
        <w:rPr>
          <w:rFonts w:ascii="Arial" w:cs="Arial" w:eastAsia="Arial" w:hAnsi="Arial"/>
          <w:sz w:val="16"/>
          <w:szCs w:val="16"/>
          <w:u w:val="single" w:color="auto"/>
          <w:color w:val="0000EE"/>
        </w:rPr>
        <w:t xml:space="preserve"> </w:t>
      </w:r>
      <w:hyperlink r:id="rId163">
        <w:r>
          <w:rPr>
            <w:rFonts w:ascii="Arial" w:cs="Arial" w:eastAsia="Arial" w:hAnsi="Arial"/>
            <w:sz w:val="16"/>
            <w:szCs w:val="16"/>
            <w:u w:val="single" w:color="auto"/>
            <w:color w:val="0000EE"/>
          </w:rPr>
          <w:t>Form 10-Q for the quarter ended September 30, 2013 filed October 29, 2013 (File No. 001-35456))</w:t>
        </w:r>
      </w:hyperlink>
    </w:p>
    <w:p>
      <w:pPr>
        <w:spacing w:after="0" w:line="94" w:lineRule="exact"/>
        <w:rPr>
          <w:sz w:val="20"/>
          <w:szCs w:val="20"/>
          <w:color w:val="auto"/>
        </w:rPr>
      </w:pPr>
    </w:p>
    <w:p>
      <w:pPr>
        <w:ind w:left="940" w:right="620" w:hanging="851"/>
        <w:spacing w:after="0" w:line="23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10.17*</w:t>
      </w:r>
      <w:r>
        <w:rPr>
          <w:sz w:val="20"/>
          <w:szCs w:val="20"/>
          <w:color w:val="auto"/>
        </w:rPr>
        <w:tab/>
      </w:r>
      <w:hyperlink r:id="rId164">
        <w:r>
          <w:rPr>
            <w:rFonts w:ascii="Arial" w:cs="Arial" w:eastAsia="Arial" w:hAnsi="Arial"/>
            <w:sz w:val="16"/>
            <w:szCs w:val="16"/>
            <w:u w:val="single" w:color="auto"/>
            <w:color w:val="0000EE"/>
          </w:rPr>
          <w:t>Equity Incentive Plan of Allison Transmission Holdings, Inc. (incorporated by reference to Exhibit 10.14 to Amendment No. 2 to the Registrant’s</w:t>
        </w:r>
      </w:hyperlink>
      <w:r>
        <w:rPr>
          <w:rFonts w:ascii="Arial" w:cs="Arial" w:eastAsia="Arial" w:hAnsi="Arial"/>
          <w:sz w:val="16"/>
          <w:szCs w:val="16"/>
          <w:u w:val="single" w:color="auto"/>
          <w:color w:val="0000EE"/>
        </w:rPr>
        <w:t xml:space="preserve"> </w:t>
      </w:r>
      <w:hyperlink r:id="rId164">
        <w:r>
          <w:rPr>
            <w:rFonts w:ascii="Arial" w:cs="Arial" w:eastAsia="Arial" w:hAnsi="Arial"/>
            <w:sz w:val="16"/>
            <w:szCs w:val="16"/>
            <w:u w:val="single" w:color="auto"/>
            <w:color w:val="0000EE"/>
          </w:rPr>
          <w:t>Registration Statement on Form S-1 filed May 16, 2011 (File No. 333-172932))</w:t>
        </w:r>
      </w:hyperlink>
    </w:p>
    <w:p>
      <w:pPr>
        <w:spacing w:after="0" w:line="86" w:lineRule="exact"/>
        <w:rPr>
          <w:sz w:val="20"/>
          <w:szCs w:val="20"/>
          <w:color w:val="auto"/>
        </w:rPr>
      </w:pPr>
    </w:p>
    <w:p>
      <w:pPr>
        <w:ind w:left="80"/>
        <w:spacing w:after="0"/>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10.18*</w:t>
      </w:r>
      <w:r>
        <w:rPr>
          <w:sz w:val="20"/>
          <w:szCs w:val="20"/>
          <w:color w:val="auto"/>
        </w:rPr>
        <w:tab/>
      </w:r>
      <w:hyperlink r:id="rId165">
        <w:r>
          <w:rPr>
            <w:rFonts w:ascii="Arial" w:cs="Arial" w:eastAsia="Arial" w:hAnsi="Arial"/>
            <w:sz w:val="15"/>
            <w:szCs w:val="15"/>
            <w:u w:val="single" w:color="auto"/>
            <w:color w:val="0000EE"/>
          </w:rPr>
          <w:t>Form of Employee Stock Option Agreement under Equity Incentive Plan of Allison Transmission Holdings, Inc. (incorporated by reference to Exhibit</w:t>
        </w:r>
      </w:hyperlink>
    </w:p>
    <w:p>
      <w:pPr>
        <w:ind w:left="940"/>
        <w:spacing w:after="0"/>
        <w:rPr>
          <w:rFonts w:ascii="Arial" w:cs="Arial" w:eastAsia="Arial" w:hAnsi="Arial"/>
          <w:sz w:val="16"/>
          <w:szCs w:val="16"/>
          <w:u w:val="single" w:color="auto"/>
          <w:color w:val="0000EE"/>
        </w:rPr>
      </w:pPr>
      <w:hyperlink r:id="rId165">
        <w:r>
          <w:rPr>
            <w:rFonts w:ascii="Arial" w:cs="Arial" w:eastAsia="Arial" w:hAnsi="Arial"/>
            <w:sz w:val="16"/>
            <w:szCs w:val="16"/>
            <w:u w:val="single" w:color="auto"/>
            <w:color w:val="0000EE"/>
          </w:rPr>
          <w:t>10.15 to Amendment No. 2 to the Registrant’s Registration Statement on Form S-1 filed May 16, 2011 (File No. 333-172932))</w:t>
        </w:r>
      </w:hyperlink>
    </w:p>
    <w:p>
      <w:pPr>
        <w:spacing w:after="0" w:line="90" w:lineRule="exact"/>
        <w:rPr>
          <w:sz w:val="20"/>
          <w:szCs w:val="20"/>
          <w:color w:val="auto"/>
        </w:rPr>
      </w:pPr>
    </w:p>
    <w:p>
      <w:pPr>
        <w:ind w:left="80"/>
        <w:spacing w:after="0"/>
        <w:tabs>
          <w:tab w:leader="none" w:pos="920" w:val="left"/>
        </w:tabs>
        <w:rPr>
          <w:rFonts w:ascii="Arial" w:cs="Arial" w:eastAsia="Arial" w:hAnsi="Arial"/>
          <w:sz w:val="15"/>
          <w:szCs w:val="15"/>
          <w:u w:val="single" w:color="auto"/>
          <w:color w:val="0000EE"/>
        </w:rPr>
      </w:pPr>
      <w:r>
        <w:rPr>
          <w:rFonts w:ascii="Arial" w:cs="Arial" w:eastAsia="Arial" w:hAnsi="Arial"/>
          <w:sz w:val="16"/>
          <w:szCs w:val="16"/>
          <w:color w:val="auto"/>
        </w:rPr>
        <w:t>10.19*</w:t>
      </w:r>
      <w:r>
        <w:rPr>
          <w:sz w:val="20"/>
          <w:szCs w:val="20"/>
          <w:color w:val="auto"/>
        </w:rPr>
        <w:tab/>
      </w:r>
      <w:hyperlink r:id="rId166">
        <w:r>
          <w:rPr>
            <w:rFonts w:ascii="Arial" w:cs="Arial" w:eastAsia="Arial" w:hAnsi="Arial"/>
            <w:sz w:val="15"/>
            <w:szCs w:val="15"/>
            <w:u w:val="single" w:color="auto"/>
            <w:color w:val="0000EE"/>
          </w:rPr>
          <w:t>Form Amendment to Stock Option Agreement under Equity Incentive Plan of Allison Transmission Holdings, Inc. (incorporated by reference to Exhibit</w:t>
        </w:r>
      </w:hyperlink>
    </w:p>
    <w:p>
      <w:pPr>
        <w:ind w:left="940"/>
        <w:spacing w:after="0"/>
        <w:rPr>
          <w:rFonts w:ascii="Arial" w:cs="Arial" w:eastAsia="Arial" w:hAnsi="Arial"/>
          <w:sz w:val="16"/>
          <w:szCs w:val="16"/>
          <w:u w:val="single" w:color="auto"/>
          <w:color w:val="0000EE"/>
        </w:rPr>
      </w:pPr>
      <w:hyperlink r:id="rId166">
        <w:r>
          <w:rPr>
            <w:rFonts w:ascii="Arial" w:cs="Arial" w:eastAsia="Arial" w:hAnsi="Arial"/>
            <w:sz w:val="16"/>
            <w:szCs w:val="16"/>
            <w:u w:val="single" w:color="auto"/>
            <w:color w:val="0000EE"/>
          </w:rPr>
          <w:t>10.24 to the Registrant’s Annual Report on Form 10-K for the year ended December 31, 2012 filed on February 28, 2013 (File No. 001-35456))</w:t>
        </w:r>
      </w:hyperlink>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05" w:name="page106"/>
    <w:bookmarkEnd w:id="105"/>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08" w:lineRule="exact"/>
        <w:rPr>
          <w:sz w:val="20"/>
          <w:szCs w:val="20"/>
          <w:color w:val="auto"/>
        </w:rPr>
      </w:pPr>
    </w:p>
    <w:p>
      <w:pPr>
        <w:ind w:left="946" w:right="2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10.20*</w:t>
      </w:r>
      <w:r>
        <w:rPr>
          <w:sz w:val="20"/>
          <w:szCs w:val="20"/>
          <w:color w:val="auto"/>
        </w:rPr>
        <w:tab/>
      </w:r>
      <w:hyperlink r:id="rId168">
        <w:r>
          <w:rPr>
            <w:rFonts w:ascii="Arial" w:cs="Arial" w:eastAsia="Arial" w:hAnsi="Arial"/>
            <w:sz w:val="16"/>
            <w:szCs w:val="16"/>
            <w:u w:val="single" w:color="auto"/>
            <w:color w:val="0000EE"/>
          </w:rPr>
          <w:t>Deferred Compensation Plan of Allison Transmission Inc. (incorporated by reference to Exhibit 10.21 to the Registrant’s Quarterly Report on Form 10-Q</w:t>
        </w:r>
      </w:hyperlink>
      <w:r>
        <w:rPr>
          <w:rFonts w:ascii="Arial" w:cs="Arial" w:eastAsia="Arial" w:hAnsi="Arial"/>
          <w:sz w:val="16"/>
          <w:szCs w:val="16"/>
          <w:u w:val="single" w:color="auto"/>
          <w:color w:val="0000EE"/>
        </w:rPr>
        <w:t xml:space="preserve"> </w:t>
      </w:r>
      <w:hyperlink r:id="rId168">
        <w:r>
          <w:rPr>
            <w:rFonts w:ascii="Arial" w:cs="Arial" w:eastAsia="Arial" w:hAnsi="Arial"/>
            <w:sz w:val="16"/>
            <w:szCs w:val="16"/>
            <w:u w:val="single" w:color="auto"/>
            <w:color w:val="0000EE"/>
          </w:rPr>
          <w:t>for the quarter ended June 30, 2012 filed July 31, 2012)</w:t>
        </w:r>
      </w:hyperlink>
    </w:p>
    <w:p>
      <w:pPr>
        <w:spacing w:after="0" w:line="55" w:lineRule="exact"/>
        <w:rPr>
          <w:sz w:val="20"/>
          <w:szCs w:val="20"/>
          <w:color w:val="auto"/>
        </w:rPr>
      </w:pPr>
    </w:p>
    <w:p>
      <w:pPr>
        <w:ind w:left="86"/>
        <w:spacing w:after="0"/>
        <w:tabs>
          <w:tab w:leader="none" w:pos="926" w:val="left"/>
        </w:tabs>
        <w:rPr>
          <w:rFonts w:ascii="Arial" w:cs="Arial" w:eastAsia="Arial" w:hAnsi="Arial"/>
          <w:sz w:val="15"/>
          <w:szCs w:val="15"/>
          <w:u w:val="single" w:color="auto"/>
          <w:color w:val="0000EE"/>
        </w:rPr>
      </w:pPr>
      <w:hyperlink w:anchor="page112"/>
      <w:r>
        <w:rPr>
          <w:rFonts w:ascii="Arial" w:cs="Arial" w:eastAsia="Arial" w:hAnsi="Arial"/>
          <w:sz w:val="31"/>
          <w:szCs w:val="31"/>
          <w:color w:val="000000"/>
          <w:vertAlign w:val="superscript"/>
        </w:rPr>
        <w:t>10.21*</w:t>
      </w:r>
      <w:r>
        <w:rPr>
          <w:rFonts w:ascii="Arial" w:cs="Arial" w:eastAsia="Arial" w:hAnsi="Arial"/>
          <w:sz w:val="16"/>
          <w:szCs w:val="16"/>
          <w:color w:val="0000EE"/>
        </w:rPr>
        <w:tab/>
      </w:r>
      <w:hyperlink w:anchor="page112">
        <w:r>
          <w:rPr>
            <w:rFonts w:ascii="Arial" w:cs="Arial" w:eastAsia="Arial" w:hAnsi="Arial"/>
            <w:sz w:val="15"/>
            <w:szCs w:val="15"/>
            <w:u w:val="single" w:color="auto"/>
            <w:color w:val="0000EE"/>
          </w:rPr>
          <w:t>Fifth Amended and Restated Non-Employee Director Compensation Policy (filed herewith)</w:t>
        </w:r>
      </w:hyperlink>
    </w:p>
    <w:p>
      <w:pPr>
        <w:ind w:left="946" w:right="42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10.22*</w:t>
      </w:r>
      <w:r>
        <w:rPr>
          <w:sz w:val="20"/>
          <w:szCs w:val="20"/>
          <w:color w:val="auto"/>
        </w:rPr>
        <w:tab/>
      </w:r>
      <w:hyperlink r:id="rId169">
        <w:r>
          <w:rPr>
            <w:rFonts w:ascii="Arial" w:cs="Arial" w:eastAsia="Arial" w:hAnsi="Arial"/>
            <w:sz w:val="16"/>
            <w:szCs w:val="16"/>
            <w:u w:val="single" w:color="auto"/>
            <w:color w:val="0000EE"/>
          </w:rPr>
          <w:t>Amended and Restated Non-Employee Director Deferred Compensation Plan of Allison Transmission Holdings, Inc. (incorporated by reference to</w:t>
        </w:r>
      </w:hyperlink>
      <w:r>
        <w:rPr>
          <w:rFonts w:ascii="Arial" w:cs="Arial" w:eastAsia="Arial" w:hAnsi="Arial"/>
          <w:sz w:val="16"/>
          <w:szCs w:val="16"/>
          <w:u w:val="single" w:color="auto"/>
          <w:color w:val="0000EE"/>
        </w:rPr>
        <w:t xml:space="preserve"> </w:t>
      </w:r>
      <w:hyperlink r:id="rId169">
        <w:r>
          <w:rPr>
            <w:rFonts w:ascii="Arial" w:cs="Arial" w:eastAsia="Arial" w:hAnsi="Arial"/>
            <w:sz w:val="16"/>
            <w:szCs w:val="16"/>
            <w:u w:val="single" w:color="auto"/>
            <w:color w:val="0000EE"/>
          </w:rPr>
          <w:t>Exhibit 10.38 to the Registrant’s Quarterly Report on Form 10-Q for the quarter ended March 31, 2015 filed April 28, 2015)</w:t>
        </w:r>
      </w:hyperlink>
    </w:p>
    <w:p>
      <w:pPr>
        <w:spacing w:after="0" w:line="94" w:lineRule="exact"/>
        <w:rPr>
          <w:sz w:val="20"/>
          <w:szCs w:val="20"/>
          <w:color w:val="auto"/>
        </w:rPr>
      </w:pPr>
    </w:p>
    <w:p>
      <w:pPr>
        <w:ind w:left="946" w:right="76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10.23*</w:t>
      </w:r>
      <w:r>
        <w:rPr>
          <w:sz w:val="20"/>
          <w:szCs w:val="20"/>
          <w:color w:val="auto"/>
        </w:rPr>
        <w:tab/>
      </w:r>
      <w:hyperlink r:id="rId170">
        <w:r>
          <w:rPr>
            <w:rFonts w:ascii="Arial" w:cs="Arial" w:eastAsia="Arial" w:hAnsi="Arial"/>
            <w:sz w:val="16"/>
            <w:szCs w:val="16"/>
            <w:u w:val="single" w:color="auto"/>
            <w:color w:val="0000EE"/>
          </w:rPr>
          <w:t>Form of Allison Transmission Holdings, Inc. Indemnification Agreement (incorporated by reference to Exhibit 10.9 to Amendment No. 2 to the</w:t>
        </w:r>
      </w:hyperlink>
      <w:r>
        <w:rPr>
          <w:rFonts w:ascii="Arial" w:cs="Arial" w:eastAsia="Arial" w:hAnsi="Arial"/>
          <w:sz w:val="16"/>
          <w:szCs w:val="16"/>
          <w:u w:val="single" w:color="auto"/>
          <w:color w:val="0000EE"/>
        </w:rPr>
        <w:t xml:space="preserve"> </w:t>
      </w:r>
      <w:hyperlink r:id="rId170">
        <w:r>
          <w:rPr>
            <w:rFonts w:ascii="Arial" w:cs="Arial" w:eastAsia="Arial" w:hAnsi="Arial"/>
            <w:sz w:val="16"/>
            <w:szCs w:val="16"/>
            <w:u w:val="single" w:color="auto"/>
            <w:color w:val="0000EE"/>
          </w:rPr>
          <w:t>Registrant’s Registration Statement on Form S-1 filed May 16, 2011 (File No. 333-172932))</w:t>
        </w:r>
      </w:hyperlink>
    </w:p>
    <w:p>
      <w:pPr>
        <w:spacing w:after="0" w:line="94" w:lineRule="exact"/>
        <w:rPr>
          <w:sz w:val="20"/>
          <w:szCs w:val="20"/>
          <w:color w:val="auto"/>
        </w:rPr>
      </w:pPr>
    </w:p>
    <w:p>
      <w:pPr>
        <w:ind w:left="946" w:right="22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10.24*</w:t>
      </w:r>
      <w:r>
        <w:rPr>
          <w:sz w:val="20"/>
          <w:szCs w:val="20"/>
          <w:color w:val="auto"/>
        </w:rPr>
        <w:tab/>
      </w:r>
      <w:hyperlink r:id="rId171">
        <w:r>
          <w:rPr>
            <w:rFonts w:ascii="Arial" w:cs="Arial" w:eastAsia="Arial" w:hAnsi="Arial"/>
            <w:sz w:val="16"/>
            <w:szCs w:val="16"/>
            <w:u w:val="single" w:color="auto"/>
            <w:color w:val="0000EE"/>
          </w:rPr>
          <w:t>Form of Change in Control Severance Agreement (incorporated by reference to Exhibit 10.34 to the Registrant’s Annual Report on Form 10-K for the</w:t>
        </w:r>
      </w:hyperlink>
      <w:r>
        <w:rPr>
          <w:rFonts w:ascii="Arial" w:cs="Arial" w:eastAsia="Arial" w:hAnsi="Arial"/>
          <w:sz w:val="16"/>
          <w:szCs w:val="16"/>
          <w:u w:val="single" w:color="auto"/>
          <w:color w:val="0000EE"/>
        </w:rPr>
        <w:t xml:space="preserve"> </w:t>
      </w:r>
      <w:hyperlink r:id="rId171">
        <w:r>
          <w:rPr>
            <w:rFonts w:ascii="Arial" w:cs="Arial" w:eastAsia="Arial" w:hAnsi="Arial"/>
            <w:sz w:val="16"/>
            <w:szCs w:val="16"/>
            <w:u w:val="single" w:color="auto"/>
            <w:color w:val="0000EE"/>
          </w:rPr>
          <w:t>year ended December 31, 2013 filed February 24, 2014)</w:t>
        </w:r>
      </w:hyperlink>
    </w:p>
    <w:p>
      <w:pPr>
        <w:spacing w:after="0" w:line="94" w:lineRule="exact"/>
        <w:rPr>
          <w:sz w:val="20"/>
          <w:szCs w:val="20"/>
          <w:color w:val="auto"/>
        </w:rPr>
      </w:pPr>
    </w:p>
    <w:p>
      <w:pPr>
        <w:ind w:left="946" w:right="26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r:id="rId172">
        <w:r>
          <w:rPr>
            <w:rFonts w:ascii="Arial" w:cs="Arial" w:eastAsia="Arial" w:hAnsi="Arial"/>
            <w:sz w:val="16"/>
            <w:szCs w:val="16"/>
            <w:u w:val="single" w:color="auto"/>
            <w:color w:val="0000EE"/>
          </w:rPr>
          <w:t>Employment Agreement, between Allison Transmission, Inc. and Lawrence E. Dewey, dated as of December 21, 2016 (incorporated by reference to</w:t>
        </w:r>
      </w:hyperlink>
      <w:r>
        <w:rPr>
          <w:rFonts w:ascii="Arial" w:cs="Arial" w:eastAsia="Arial" w:hAnsi="Arial"/>
          <w:sz w:val="16"/>
          <w:szCs w:val="16"/>
          <w:u w:val="single" w:color="auto"/>
          <w:color w:val="0000EE"/>
        </w:rPr>
        <w:t xml:space="preserve"> </w:t>
      </w:r>
      <w:hyperlink r:id="rId172">
        <w:r>
          <w:rPr>
            <w:rFonts w:ascii="Arial" w:cs="Arial" w:eastAsia="Arial" w:hAnsi="Arial"/>
            <w:sz w:val="16"/>
            <w:szCs w:val="16"/>
            <w:u w:val="single" w:color="auto"/>
            <w:color w:val="0000EE"/>
          </w:rPr>
          <w:t>Exhibit 10.1 to the Registrant’s Current Report on Form 8-K filed December 21, 2016)</w:t>
        </w:r>
      </w:hyperlink>
    </w:p>
    <w:p>
      <w:pPr>
        <w:spacing w:after="0" w:line="94" w:lineRule="exact"/>
        <w:rPr>
          <w:sz w:val="20"/>
          <w:szCs w:val="20"/>
          <w:color w:val="auto"/>
        </w:rPr>
      </w:pPr>
    </w:p>
    <w:p>
      <w:pPr>
        <w:ind w:left="946" w:right="12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10.26*</w:t>
      </w:r>
      <w:r>
        <w:rPr>
          <w:sz w:val="20"/>
          <w:szCs w:val="20"/>
          <w:color w:val="auto"/>
        </w:rPr>
        <w:tab/>
      </w:r>
      <w:hyperlink r:id="rId173">
        <w:r>
          <w:rPr>
            <w:rFonts w:ascii="Arial" w:cs="Arial" w:eastAsia="Arial" w:hAnsi="Arial"/>
            <w:sz w:val="16"/>
            <w:szCs w:val="16"/>
            <w:u w:val="single" w:color="auto"/>
            <w:color w:val="0000EE"/>
          </w:rPr>
          <w:t>Severance and Change in Control Agreement, between Allison Transmission, Inc. and David S. Graziosi, dated as of March 23, 2018 (incorporated by</w:t>
        </w:r>
      </w:hyperlink>
      <w:r>
        <w:rPr>
          <w:rFonts w:ascii="Arial" w:cs="Arial" w:eastAsia="Arial" w:hAnsi="Arial"/>
          <w:sz w:val="16"/>
          <w:szCs w:val="16"/>
          <w:u w:val="single" w:color="auto"/>
          <w:color w:val="0000EE"/>
        </w:rPr>
        <w:t xml:space="preserve"> </w:t>
      </w:r>
      <w:hyperlink r:id="rId173">
        <w:r>
          <w:rPr>
            <w:rFonts w:ascii="Arial" w:cs="Arial" w:eastAsia="Arial" w:hAnsi="Arial"/>
            <w:sz w:val="16"/>
            <w:szCs w:val="16"/>
            <w:u w:val="single" w:color="auto"/>
            <w:color w:val="0000EE"/>
          </w:rPr>
          <w:t>reference to Exhibit 10.1 to the Registrant’s Current Report on Form 8-K filed March 23, 2018)</w:t>
        </w:r>
      </w:hyperlink>
    </w:p>
    <w:p>
      <w:pPr>
        <w:spacing w:after="0" w:line="94" w:lineRule="exact"/>
        <w:rPr>
          <w:sz w:val="20"/>
          <w:szCs w:val="20"/>
          <w:color w:val="auto"/>
        </w:rPr>
      </w:pPr>
    </w:p>
    <w:p>
      <w:pPr>
        <w:ind w:left="946" w:right="24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10.27</w:t>
      </w:r>
      <w:r>
        <w:rPr>
          <w:sz w:val="20"/>
          <w:szCs w:val="20"/>
          <w:color w:val="auto"/>
        </w:rPr>
        <w:tab/>
      </w:r>
      <w:hyperlink r:id="rId174">
        <w:r>
          <w:rPr>
            <w:rFonts w:ascii="Arial" w:cs="Arial" w:eastAsia="Arial" w:hAnsi="Arial"/>
            <w:sz w:val="16"/>
            <w:szCs w:val="16"/>
            <w:u w:val="single" w:color="auto"/>
            <w:color w:val="0000EE"/>
          </w:rPr>
          <w:t>Stock Repurchase Agreement, dated May 7, 2019, between Allison Transmission Holdings, Inc. and Ashe Capital Management, LP (incorporated by</w:t>
        </w:r>
      </w:hyperlink>
      <w:r>
        <w:rPr>
          <w:rFonts w:ascii="Arial" w:cs="Arial" w:eastAsia="Arial" w:hAnsi="Arial"/>
          <w:sz w:val="16"/>
          <w:szCs w:val="16"/>
          <w:u w:val="single" w:color="auto"/>
          <w:color w:val="0000EE"/>
        </w:rPr>
        <w:t xml:space="preserve"> </w:t>
      </w:r>
      <w:hyperlink r:id="rId174">
        <w:r>
          <w:rPr>
            <w:rFonts w:ascii="Arial" w:cs="Arial" w:eastAsia="Arial" w:hAnsi="Arial"/>
            <w:sz w:val="16"/>
            <w:szCs w:val="16"/>
            <w:u w:val="single" w:color="auto"/>
            <w:color w:val="0000EE"/>
          </w:rPr>
          <w:t>reference to the Registrant’s Current Report on Form 8-K filed May 7, 2019)</w:t>
        </w:r>
      </w:hyperlink>
    </w:p>
    <w:p>
      <w:pPr>
        <w:spacing w:after="0" w:line="94" w:lineRule="exact"/>
        <w:rPr>
          <w:sz w:val="20"/>
          <w:szCs w:val="20"/>
          <w:color w:val="auto"/>
        </w:rPr>
      </w:pPr>
    </w:p>
    <w:p>
      <w:pPr>
        <w:ind w:left="946" w:right="66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14.1</w:t>
      </w:r>
      <w:r>
        <w:rPr>
          <w:sz w:val="20"/>
          <w:szCs w:val="20"/>
          <w:color w:val="auto"/>
        </w:rPr>
        <w:tab/>
      </w:r>
      <w:hyperlink r:id="rId175">
        <w:r>
          <w:rPr>
            <w:rFonts w:ascii="Arial" w:cs="Arial" w:eastAsia="Arial" w:hAnsi="Arial"/>
            <w:sz w:val="16"/>
            <w:szCs w:val="16"/>
            <w:u w:val="single" w:color="auto"/>
            <w:color w:val="0000EE"/>
          </w:rPr>
          <w:t>Code of Business Conduct (incorporated by reference to Exhibit 14.1 to the Registrant’s Annual Report on Form 10-K for the fiscal year ended</w:t>
        </w:r>
      </w:hyperlink>
      <w:r>
        <w:rPr>
          <w:rFonts w:ascii="Arial" w:cs="Arial" w:eastAsia="Arial" w:hAnsi="Arial"/>
          <w:sz w:val="16"/>
          <w:szCs w:val="16"/>
          <w:u w:val="single" w:color="auto"/>
          <w:color w:val="0000EE"/>
        </w:rPr>
        <w:t xml:space="preserve"> </w:t>
      </w:r>
      <w:hyperlink r:id="rId175">
        <w:r>
          <w:rPr>
            <w:rFonts w:ascii="Arial" w:cs="Arial" w:eastAsia="Arial" w:hAnsi="Arial"/>
            <w:sz w:val="16"/>
            <w:szCs w:val="16"/>
            <w:u w:val="single" w:color="auto"/>
            <w:color w:val="0000EE"/>
          </w:rPr>
          <w:t>December 31, 2018 filed February 26, 2019)</w:t>
        </w:r>
      </w:hyperlink>
    </w:p>
    <w:p>
      <w:pPr>
        <w:spacing w:after="0" w:line="94" w:lineRule="exact"/>
        <w:rPr>
          <w:sz w:val="20"/>
          <w:szCs w:val="20"/>
          <w:color w:val="auto"/>
        </w:rPr>
      </w:pPr>
    </w:p>
    <w:p>
      <w:pPr>
        <w:ind w:left="86"/>
        <w:spacing w:after="0"/>
        <w:tabs>
          <w:tab w:leader="none" w:pos="926" w:val="left"/>
        </w:tabs>
        <w:rPr>
          <w:rFonts w:ascii="Arial" w:cs="Arial" w:eastAsia="Arial" w:hAnsi="Arial"/>
          <w:sz w:val="15"/>
          <w:szCs w:val="15"/>
          <w:u w:val="single" w:color="auto"/>
          <w:color w:val="0000EE"/>
        </w:rPr>
      </w:pPr>
      <w:r>
        <w:rPr>
          <w:rFonts w:ascii="Arial" w:cs="Arial" w:eastAsia="Arial" w:hAnsi="Arial"/>
          <w:sz w:val="16"/>
          <w:szCs w:val="16"/>
          <w:color w:val="auto"/>
        </w:rPr>
        <w:t>21.1</w:t>
      </w:r>
      <w:r>
        <w:rPr>
          <w:sz w:val="20"/>
          <w:szCs w:val="20"/>
          <w:color w:val="auto"/>
        </w:rPr>
        <w:tab/>
      </w:r>
      <w:hyperlink w:anchor="page115">
        <w:r>
          <w:rPr>
            <w:rFonts w:ascii="Arial" w:cs="Arial" w:eastAsia="Arial" w:hAnsi="Arial"/>
            <w:sz w:val="15"/>
            <w:szCs w:val="15"/>
            <w:u w:val="single" w:color="auto"/>
            <w:color w:val="0000EE"/>
          </w:rPr>
          <w:t>List of Subsidiaries of Allison Transmission Holdings, Inc. (filed herewith)</w:t>
        </w:r>
      </w:hyperlink>
    </w:p>
    <w:p>
      <w:pPr>
        <w:spacing w:after="0" w:line="133" w:lineRule="exact"/>
        <w:rPr>
          <w:sz w:val="20"/>
          <w:szCs w:val="20"/>
          <w:color w:val="auto"/>
        </w:rPr>
      </w:pPr>
    </w:p>
    <w:p>
      <w:pPr>
        <w:ind w:left="86"/>
        <w:spacing w:after="0"/>
        <w:tabs>
          <w:tab w:leader="none" w:pos="926" w:val="left"/>
        </w:tabs>
        <w:rPr>
          <w:rFonts w:ascii="Arial" w:cs="Arial" w:eastAsia="Arial" w:hAnsi="Arial"/>
          <w:sz w:val="15"/>
          <w:szCs w:val="15"/>
          <w:u w:val="single" w:color="auto"/>
          <w:color w:val="0000EE"/>
        </w:rPr>
      </w:pPr>
      <w:r>
        <w:rPr>
          <w:rFonts w:ascii="Arial" w:cs="Arial" w:eastAsia="Arial" w:hAnsi="Arial"/>
          <w:sz w:val="16"/>
          <w:szCs w:val="16"/>
          <w:color w:val="auto"/>
        </w:rPr>
        <w:t>23.1</w:t>
      </w:r>
      <w:r>
        <w:rPr>
          <w:sz w:val="20"/>
          <w:szCs w:val="20"/>
          <w:color w:val="auto"/>
        </w:rPr>
        <w:tab/>
      </w:r>
      <w:hyperlink w:anchor="page116">
        <w:r>
          <w:rPr>
            <w:rFonts w:ascii="Arial" w:cs="Arial" w:eastAsia="Arial" w:hAnsi="Arial"/>
            <w:sz w:val="15"/>
            <w:szCs w:val="15"/>
            <w:u w:val="single" w:color="auto"/>
            <w:color w:val="0000EE"/>
          </w:rPr>
          <w:t>Consent of PricewaterhouseCoopers LLP (filed herewith)</w:t>
        </w:r>
      </w:hyperlink>
    </w:p>
    <w:p>
      <w:pPr>
        <w:spacing w:after="0" w:line="133" w:lineRule="exact"/>
        <w:rPr>
          <w:sz w:val="20"/>
          <w:szCs w:val="20"/>
          <w:color w:val="auto"/>
        </w:rPr>
      </w:pPr>
    </w:p>
    <w:p>
      <w:pPr>
        <w:ind w:left="946" w:right="54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31.1</w:t>
      </w:r>
      <w:r>
        <w:rPr>
          <w:sz w:val="20"/>
          <w:szCs w:val="20"/>
          <w:color w:val="auto"/>
        </w:rPr>
        <w:tab/>
      </w:r>
      <w:hyperlink w:anchor="page117">
        <w:r>
          <w:rPr>
            <w:rFonts w:ascii="Arial" w:cs="Arial" w:eastAsia="Arial" w:hAnsi="Arial"/>
            <w:sz w:val="16"/>
            <w:szCs w:val="16"/>
            <w:u w:val="single" w:color="auto"/>
            <w:color w:val="0000EE"/>
          </w:rPr>
          <w:t>Certification pursuant to Rule 13a-14(a)/15d-14(a) of the Securities Exchange Act of 1934 of the Chief Executive Officer, as adopted pursuant to</w:t>
        </w:r>
      </w:hyperlink>
      <w:r>
        <w:rPr>
          <w:rFonts w:ascii="Arial" w:cs="Arial" w:eastAsia="Arial" w:hAnsi="Arial"/>
          <w:sz w:val="16"/>
          <w:szCs w:val="16"/>
          <w:u w:val="single" w:color="auto"/>
          <w:color w:val="0000EE"/>
        </w:rPr>
        <w:t xml:space="preserve"> </w:t>
      </w:r>
      <w:hyperlink w:anchor="page117">
        <w:r>
          <w:rPr>
            <w:rFonts w:ascii="Arial" w:cs="Arial" w:eastAsia="Arial" w:hAnsi="Arial"/>
            <w:sz w:val="16"/>
            <w:szCs w:val="16"/>
            <w:u w:val="single" w:color="auto"/>
            <w:color w:val="0000EE"/>
          </w:rPr>
          <w:t>Section 302 of the Sarbanes-Oxley Act of 2002 (filed herewith)</w:t>
        </w:r>
      </w:hyperlink>
    </w:p>
    <w:p>
      <w:pPr>
        <w:spacing w:after="0" w:line="94" w:lineRule="exact"/>
        <w:rPr>
          <w:sz w:val="20"/>
          <w:szCs w:val="20"/>
          <w:color w:val="auto"/>
        </w:rPr>
      </w:pPr>
    </w:p>
    <w:p>
      <w:pPr>
        <w:ind w:left="946" w:right="600" w:hanging="851"/>
        <w:spacing w:after="0" w:line="237" w:lineRule="auto"/>
        <w:tabs>
          <w:tab w:leader="none" w:pos="926" w:val="left"/>
        </w:tabs>
        <w:rPr>
          <w:rFonts w:ascii="Arial" w:cs="Arial" w:eastAsia="Arial" w:hAnsi="Arial"/>
          <w:sz w:val="16"/>
          <w:szCs w:val="16"/>
          <w:u w:val="single" w:color="auto"/>
          <w:color w:val="0000EE"/>
        </w:rPr>
      </w:pPr>
      <w:r>
        <w:rPr>
          <w:rFonts w:ascii="Arial" w:cs="Arial" w:eastAsia="Arial" w:hAnsi="Arial"/>
          <w:sz w:val="16"/>
          <w:szCs w:val="16"/>
          <w:color w:val="auto"/>
        </w:rPr>
        <w:t>31.2</w:t>
      </w:r>
      <w:r>
        <w:rPr>
          <w:sz w:val="20"/>
          <w:szCs w:val="20"/>
          <w:color w:val="auto"/>
        </w:rPr>
        <w:tab/>
      </w:r>
      <w:hyperlink w:anchor="page118">
        <w:r>
          <w:rPr>
            <w:rFonts w:ascii="Arial" w:cs="Arial" w:eastAsia="Arial" w:hAnsi="Arial"/>
            <w:sz w:val="16"/>
            <w:szCs w:val="16"/>
            <w:u w:val="single" w:color="auto"/>
            <w:color w:val="0000EE"/>
          </w:rPr>
          <w:t>Certification pursuant to Rule 13a-14(a)/15d-14(a) of the Securities Exchange Act of 1934 of the Chief Financial Officer, as adopted pursuant to</w:t>
        </w:r>
      </w:hyperlink>
      <w:r>
        <w:rPr>
          <w:rFonts w:ascii="Arial" w:cs="Arial" w:eastAsia="Arial" w:hAnsi="Arial"/>
          <w:sz w:val="16"/>
          <w:szCs w:val="16"/>
          <w:u w:val="single" w:color="auto"/>
          <w:color w:val="0000EE"/>
        </w:rPr>
        <w:t xml:space="preserve"> </w:t>
      </w:r>
      <w:hyperlink w:anchor="page118">
        <w:r>
          <w:rPr>
            <w:rFonts w:ascii="Arial" w:cs="Arial" w:eastAsia="Arial" w:hAnsi="Arial"/>
            <w:sz w:val="16"/>
            <w:szCs w:val="16"/>
            <w:u w:val="single" w:color="auto"/>
            <w:color w:val="0000EE"/>
          </w:rPr>
          <w:t>Section 302 of the Sarbanes-Oxley Act of 2002 (filed herewith)</w:t>
        </w:r>
      </w:hyperlink>
    </w:p>
    <w:p>
      <w:pPr>
        <w:spacing w:after="0" w:line="94" w:lineRule="exact"/>
        <w:rPr>
          <w:sz w:val="20"/>
          <w:szCs w:val="20"/>
          <w:color w:val="auto"/>
        </w:rPr>
      </w:pPr>
    </w:p>
    <w:p>
      <w:pPr>
        <w:ind w:left="86"/>
        <w:spacing w:after="0"/>
        <w:tabs>
          <w:tab w:leader="none" w:pos="926" w:val="left"/>
        </w:tabs>
        <w:rPr>
          <w:rFonts w:ascii="Arial" w:cs="Arial" w:eastAsia="Arial" w:hAnsi="Arial"/>
          <w:sz w:val="15"/>
          <w:szCs w:val="15"/>
          <w:u w:val="single" w:color="auto"/>
          <w:color w:val="0000EE"/>
        </w:rPr>
      </w:pPr>
      <w:r>
        <w:rPr>
          <w:rFonts w:ascii="Arial" w:cs="Arial" w:eastAsia="Arial" w:hAnsi="Arial"/>
          <w:sz w:val="16"/>
          <w:szCs w:val="16"/>
          <w:color w:val="auto"/>
        </w:rPr>
        <w:t>32.1</w:t>
      </w:r>
      <w:r>
        <w:rPr>
          <w:sz w:val="20"/>
          <w:szCs w:val="20"/>
          <w:color w:val="auto"/>
        </w:rPr>
        <w:tab/>
      </w:r>
      <w:hyperlink w:anchor="page119">
        <w:r>
          <w:rPr>
            <w:rFonts w:ascii="Arial" w:cs="Arial" w:eastAsia="Arial" w:hAnsi="Arial"/>
            <w:sz w:val="15"/>
            <w:szCs w:val="15"/>
            <w:u w:val="single" w:color="auto"/>
            <w:color w:val="0000EE"/>
          </w:rPr>
          <w:t>Certification pursuant to 18 U.S.C. Section 1350, as adopted pursuant to Section 906 of the Sarbanes-Oxley Act of 2002 (filed herewith)</w:t>
        </w:r>
      </w:hyperlink>
    </w:p>
    <w:p>
      <w:pPr>
        <w:spacing w:after="0" w:line="133" w:lineRule="exact"/>
        <w:rPr>
          <w:sz w:val="20"/>
          <w:szCs w:val="20"/>
          <w:color w:val="auto"/>
        </w:rPr>
      </w:pPr>
    </w:p>
    <w:p>
      <w:pPr>
        <w:ind w:left="946" w:hanging="946"/>
        <w:spacing w:after="0" w:line="232" w:lineRule="auto"/>
        <w:tabs>
          <w:tab w:leader="none" w:pos="94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Annual Report on Form 10-K for the fiscal year ended December 31, 2019, formatted in Inline XBRL (eXtensible Business Reporting Language): (i) the Consolidated Balance Sheets; (ii) the Consolidated Statements of Comprehensive Income; (iii) the Consolidated Statements of Cash Flows; (iv) the Consolidated Statements of Stockholders’ Equity (v) the Notes to Condensed Consolidated Financial Statements; (vi) the Parent Company only Balance Sheets; (vii) the Parent Company only Statements of Comprehensive Income; (viii) the Parent Company only Statements of Cash Flows; and (ix) the Parent Company only Footnote</w:t>
      </w:r>
    </w:p>
    <w:p>
      <w:pPr>
        <w:spacing w:after="0" w:line="96" w:lineRule="exact"/>
        <w:rPr>
          <w:sz w:val="20"/>
          <w:szCs w:val="20"/>
          <w:color w:val="auto"/>
        </w:rPr>
      </w:pPr>
    </w:p>
    <w:p>
      <w:pPr>
        <w:ind w:left="946" w:right="260" w:hanging="946"/>
        <w:spacing w:after="0" w:line="237" w:lineRule="auto"/>
        <w:tabs>
          <w:tab w:leader="none" w:pos="9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Annual Report on Form 10-K for the fiscal year ended December 31, 2019,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30365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133" w:lineRule="exact"/>
        <w:rPr>
          <w:sz w:val="20"/>
          <w:szCs w:val="20"/>
          <w:color w:val="auto"/>
        </w:rPr>
      </w:pPr>
    </w:p>
    <w:p>
      <w:pPr>
        <w:ind w:left="686" w:hanging="686"/>
        <w:spacing w:after="0"/>
        <w:tabs>
          <w:tab w:leader="none" w:pos="686"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arrangement</w:t>
      </w:r>
    </w:p>
    <w:p>
      <w:pPr>
        <w:spacing w:after="0" w:line="200" w:lineRule="exact"/>
        <w:rPr>
          <w:rFonts w:ascii="Arial" w:cs="Arial" w:eastAsia="Arial" w:hAnsi="Arial"/>
          <w:sz w:val="16"/>
          <w:szCs w:val="16"/>
          <w:color w:val="auto"/>
        </w:rPr>
      </w:pPr>
    </w:p>
    <w:p>
      <w:pPr>
        <w:spacing w:after="0" w:line="355" w:lineRule="exact"/>
        <w:rPr>
          <w:rFonts w:ascii="Arial" w:cs="Arial" w:eastAsia="Arial" w:hAnsi="Arial"/>
          <w:sz w:val="16"/>
          <w:szCs w:val="16"/>
          <w:color w:val="auto"/>
        </w:rPr>
      </w:pPr>
    </w:p>
    <w:p>
      <w:pPr>
        <w:ind w:left="5586"/>
        <w:spacing w:after="0"/>
        <w:rPr>
          <w:rFonts w:ascii="Arial" w:cs="Arial" w:eastAsia="Arial" w:hAnsi="Arial"/>
          <w:sz w:val="16"/>
          <w:szCs w:val="16"/>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8980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6"/>
          </w:cols>
          <w:pgMar w:left="234" w:top="140" w:right="23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Intentionally left blank.</w:t>
      </w:r>
    </w:p>
    <w:p>
      <w:pPr>
        <w:spacing w:after="0" w:line="1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0219"/>
          </w:cols>
          <w:pgMar w:left="240" w:top="140" w:right="1440"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right="280" w:firstLine="531"/>
        <w:spacing w:after="0" w:line="237"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309" w:lineRule="exact"/>
        <w:rPr>
          <w:sz w:val="20"/>
          <w:szCs w:val="20"/>
          <w:color w:val="auto"/>
        </w:rPr>
      </w:pPr>
    </w:p>
    <w:p>
      <w:pPr>
        <w:ind w:left="7320"/>
        <w:spacing w:after="0"/>
        <w:rPr>
          <w:sz w:val="20"/>
          <w:szCs w:val="20"/>
          <w:color w:val="auto"/>
        </w:rPr>
      </w:pPr>
      <w:r>
        <w:rPr>
          <w:rFonts w:ascii="Arial" w:cs="Arial" w:eastAsia="Arial" w:hAnsi="Arial"/>
          <w:sz w:val="16"/>
          <w:szCs w:val="16"/>
          <w:b w:val="1"/>
          <w:bCs w:val="1"/>
          <w:color w:val="auto"/>
        </w:rPr>
        <w:t>Allison Transmission Holdings, Inc.</w:t>
      </w:r>
    </w:p>
    <w:p>
      <w:pPr>
        <w:spacing w:after="0" w:line="24"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03" w:lineRule="exact"/>
        <w:rPr>
          <w:sz w:val="20"/>
          <w:szCs w:val="20"/>
          <w:color w:val="auto"/>
        </w:rPr>
      </w:pPr>
    </w:p>
    <w:p>
      <w:pPr>
        <w:spacing w:after="0"/>
        <w:tabs>
          <w:tab w:leader="none" w:pos="6560" w:val="left"/>
          <w:tab w:leader="none" w:pos="7300" w:val="left"/>
        </w:tabs>
        <w:rPr>
          <w:sz w:val="20"/>
          <w:szCs w:val="20"/>
          <w:color w:val="auto"/>
        </w:rPr>
      </w:pPr>
      <w:r>
        <w:rPr>
          <w:rFonts w:ascii="Arial" w:cs="Arial" w:eastAsia="Arial" w:hAnsi="Arial"/>
          <w:sz w:val="16"/>
          <w:szCs w:val="16"/>
          <w:color w:val="auto"/>
        </w:rPr>
        <w:t>Date: February 27,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-3810</wp:posOffset>
            </wp:positionV>
            <wp:extent cx="26149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9">
                      <a:extLst>
                        <a:ext uri="{28A0092B-C50C-407E-A947-70E740481C1C}"/>
                      </a:extLst>
                    </a:blip>
                    <a:srcRect/>
                    <a:stretch>
                      <a:fillRect/>
                    </a:stretch>
                  </pic:blipFill>
                  <pic:spPr bwMode="auto">
                    <a:xfrm>
                      <a:off x="0" y="0"/>
                      <a:ext cx="2614930" cy="762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6"/>
          <w:szCs w:val="16"/>
          <w:color w:val="auto"/>
        </w:rPr>
        <w:t>David S. Graziosi</w:t>
      </w:r>
    </w:p>
    <w:p>
      <w:pPr>
        <w:ind w:left="7320"/>
        <w:spacing w:after="0"/>
        <w:rPr>
          <w:sz w:val="20"/>
          <w:szCs w:val="20"/>
          <w:color w:val="auto"/>
        </w:rPr>
      </w:pPr>
      <w:r>
        <w:rPr>
          <w:rFonts w:ascii="Arial" w:cs="Arial" w:eastAsia="Arial" w:hAnsi="Arial"/>
          <w:sz w:val="15"/>
          <w:szCs w:val="15"/>
          <w:i w:val="1"/>
          <w:iCs w:val="1"/>
          <w:color w:val="auto"/>
        </w:rPr>
        <w:t>President and Chief Executive Officer (Principal Executive</w:t>
      </w:r>
    </w:p>
    <w:p>
      <w:pPr>
        <w:spacing w:after="0" w:line="4" w:lineRule="exact"/>
        <w:rPr>
          <w:sz w:val="20"/>
          <w:szCs w:val="20"/>
          <w:color w:val="auto"/>
        </w:rPr>
      </w:pPr>
    </w:p>
    <w:p>
      <w:pPr>
        <w:ind w:left="7320"/>
        <w:spacing w:after="0"/>
        <w:rPr>
          <w:sz w:val="20"/>
          <w:szCs w:val="20"/>
          <w:color w:val="auto"/>
        </w:rPr>
      </w:pPr>
      <w:r>
        <w:rPr>
          <w:rFonts w:ascii="Arial" w:cs="Arial" w:eastAsia="Arial" w:hAnsi="Arial"/>
          <w:sz w:val="16"/>
          <w:szCs w:val="16"/>
          <w:i w:val="1"/>
          <w:iCs w:val="1"/>
          <w:color w:val="auto"/>
        </w:rPr>
        <w:t>Officer)</w:t>
      </w:r>
    </w:p>
    <w:p>
      <w:pPr>
        <w:spacing w:after="0" w:line="133" w:lineRule="exact"/>
        <w:rPr>
          <w:sz w:val="20"/>
          <w:szCs w:val="20"/>
          <w:color w:val="auto"/>
        </w:rPr>
      </w:pPr>
    </w:p>
    <w:p>
      <w:pPr>
        <w:ind w:right="100" w:firstLine="531"/>
        <w:spacing w:after="0" w:line="237"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154" w:lineRule="exact"/>
        <w:rPr>
          <w:sz w:val="20"/>
          <w:szCs w:val="20"/>
          <w:color w:val="auto"/>
        </w:rPr>
      </w:pPr>
    </w:p>
    <w:p>
      <w:pPr>
        <w:ind w:left="1020"/>
        <w:spacing w:after="0"/>
        <w:tabs>
          <w:tab w:leader="none" w:pos="5780" w:val="left"/>
          <w:tab w:leader="none" w:pos="10160" w:val="left"/>
        </w:tabs>
        <w:rPr>
          <w:sz w:val="20"/>
          <w:szCs w:val="20"/>
          <w:color w:val="auto"/>
        </w:rPr>
      </w:pPr>
      <w:r>
        <w:rPr>
          <w:rFonts w:ascii="Arial" w:cs="Arial" w:eastAsia="Arial" w:hAnsi="Arial"/>
          <w:sz w:val="13"/>
          <w:szCs w:val="13"/>
          <w:b w:val="1"/>
          <w:bCs w:val="1"/>
          <w:u w:val="single" w:color="auto"/>
          <w:color w:val="auto"/>
        </w:rPr>
        <w:t>SIGNATURES</w:t>
      </w:r>
      <w:r>
        <w:rPr>
          <w:sz w:val="20"/>
          <w:szCs w:val="20"/>
          <w:color w:val="auto"/>
        </w:rPr>
        <w:tab/>
      </w:r>
      <w:r>
        <w:rPr>
          <w:rFonts w:ascii="Arial" w:cs="Arial" w:eastAsia="Arial" w:hAnsi="Arial"/>
          <w:sz w:val="13"/>
          <w:szCs w:val="13"/>
          <w:b w:val="1"/>
          <w:bCs w:val="1"/>
          <w:u w:val="single" w:color="auto"/>
          <w:color w:val="auto"/>
        </w:rPr>
        <w:t>CAPACITY</w:t>
      </w:r>
      <w:r>
        <w:rPr>
          <w:sz w:val="20"/>
          <w:szCs w:val="20"/>
          <w:color w:val="auto"/>
        </w:rPr>
        <w:tab/>
      </w:r>
      <w:r>
        <w:rPr>
          <w:rFonts w:ascii="Arial" w:cs="Arial" w:eastAsia="Arial" w:hAnsi="Arial"/>
          <w:sz w:val="11"/>
          <w:szCs w:val="11"/>
          <w:b w:val="1"/>
          <w:bCs w:val="1"/>
          <w:u w:val="single" w:color="auto"/>
          <w:color w:val="auto"/>
        </w:rPr>
        <w:t>DATE</w:t>
      </w:r>
    </w:p>
    <w:p>
      <w:pPr>
        <w:sectPr>
          <w:pgSz w:w="11900" w:h="16838" w:orient="portrait"/>
          <w:cols w:equalWidth="0" w:num="1">
            <w:col w:w="11340"/>
          </w:cols>
          <w:pgMar w:left="240" w:top="140" w:right="319" w:bottom="1440" w:gutter="0" w:footer="0" w:header="0"/>
        </w:sectPr>
      </w:pPr>
    </w:p>
    <w:p>
      <w:pPr>
        <w:spacing w:after="0" w:line="27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David S. Graziosi</w:t>
      </w:r>
    </w:p>
    <w:p>
      <w:pPr>
        <w:ind w:left="100"/>
        <w:spacing w:after="0"/>
        <w:rPr>
          <w:sz w:val="20"/>
          <w:szCs w:val="20"/>
          <w:color w:val="auto"/>
        </w:rPr>
      </w:pPr>
      <w:r>
        <w:rPr>
          <w:rFonts w:ascii="Arial" w:cs="Arial" w:eastAsia="Arial" w:hAnsi="Arial"/>
          <w:sz w:val="16"/>
          <w:szCs w:val="16"/>
          <w:color w:val="auto"/>
        </w:rPr>
        <w:t>David S. Graziosi</w:t>
      </w:r>
    </w:p>
    <w:p>
      <w:pPr>
        <w:spacing w:after="0" w:line="215" w:lineRule="exact"/>
        <w:rPr>
          <w:sz w:val="20"/>
          <w:szCs w:val="20"/>
          <w:color w:val="auto"/>
        </w:rPr>
      </w:pPr>
    </w:p>
    <w:p>
      <w:pPr>
        <w:ind w:left="100" w:right="600"/>
        <w:spacing w:after="0" w:line="265" w:lineRule="auto"/>
        <w:rPr>
          <w:sz w:val="20"/>
          <w:szCs w:val="20"/>
          <w:color w:val="auto"/>
        </w:rPr>
      </w:pPr>
      <w:r>
        <w:rPr>
          <w:rFonts w:ascii="Arial" w:cs="Arial" w:eastAsia="Arial" w:hAnsi="Arial"/>
          <w:sz w:val="15"/>
          <w:szCs w:val="15"/>
          <w:color w:val="auto"/>
        </w:rPr>
        <w:t>/s/ G. Frederick Bohley G. Frederick Bohley</w:t>
      </w:r>
    </w:p>
    <w:p>
      <w:pPr>
        <w:spacing w:after="0" w:line="194" w:lineRule="exact"/>
        <w:rPr>
          <w:sz w:val="20"/>
          <w:szCs w:val="20"/>
          <w:color w:val="auto"/>
        </w:rPr>
      </w:pPr>
    </w:p>
    <w:p>
      <w:pPr>
        <w:ind w:left="100" w:right="580"/>
        <w:spacing w:after="0" w:line="265" w:lineRule="auto"/>
        <w:rPr>
          <w:sz w:val="20"/>
          <w:szCs w:val="20"/>
          <w:color w:val="auto"/>
        </w:rPr>
      </w:pPr>
      <w:r>
        <w:rPr>
          <w:rFonts w:ascii="Arial" w:cs="Arial" w:eastAsia="Arial" w:hAnsi="Arial"/>
          <w:sz w:val="15"/>
          <w:szCs w:val="15"/>
          <w:color w:val="auto"/>
        </w:rPr>
        <w:t>/s/ Lawrence E. Dewey Lawrence E. Dewey</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Judy Altmaier</w:t>
      </w:r>
    </w:p>
    <w:p>
      <w:pPr>
        <w:ind w:left="100"/>
        <w:spacing w:after="0"/>
        <w:rPr>
          <w:sz w:val="20"/>
          <w:szCs w:val="20"/>
          <w:color w:val="auto"/>
        </w:rPr>
      </w:pPr>
      <w:r>
        <w:rPr>
          <w:rFonts w:ascii="Arial" w:cs="Arial" w:eastAsia="Arial" w:hAnsi="Arial"/>
          <w:sz w:val="16"/>
          <w:szCs w:val="16"/>
          <w:color w:val="auto"/>
        </w:rPr>
        <w:t>Judy Altmaier</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Stan A. Askren</w:t>
      </w:r>
    </w:p>
    <w:p>
      <w:pPr>
        <w:ind w:left="100"/>
        <w:spacing w:after="0"/>
        <w:rPr>
          <w:sz w:val="20"/>
          <w:szCs w:val="20"/>
          <w:color w:val="auto"/>
        </w:rPr>
      </w:pPr>
      <w:r>
        <w:rPr>
          <w:rFonts w:ascii="Arial" w:cs="Arial" w:eastAsia="Arial" w:hAnsi="Arial"/>
          <w:sz w:val="16"/>
          <w:szCs w:val="16"/>
          <w:color w:val="auto"/>
        </w:rPr>
        <w:t>Stan A. Askren</w:t>
      </w:r>
    </w:p>
    <w:p>
      <w:pPr>
        <w:spacing w:after="0" w:line="207"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David C. Everitt</w:t>
      </w:r>
    </w:p>
    <w:p>
      <w:pPr>
        <w:ind w:left="100"/>
        <w:spacing w:after="0"/>
        <w:rPr>
          <w:sz w:val="20"/>
          <w:szCs w:val="20"/>
          <w:color w:val="auto"/>
        </w:rPr>
      </w:pPr>
      <w:r>
        <w:rPr>
          <w:rFonts w:ascii="Arial" w:cs="Arial" w:eastAsia="Arial" w:hAnsi="Arial"/>
          <w:sz w:val="16"/>
          <w:szCs w:val="16"/>
          <w:color w:val="auto"/>
        </w:rPr>
        <w:t>David C. Everitt</w:t>
      </w:r>
    </w:p>
    <w:p>
      <w:pPr>
        <w:spacing w:after="0" w:line="215" w:lineRule="exact"/>
        <w:rPr>
          <w:sz w:val="20"/>
          <w:szCs w:val="20"/>
          <w:color w:val="auto"/>
        </w:rPr>
      </w:pPr>
    </w:p>
    <w:p>
      <w:pPr>
        <w:ind w:left="100" w:right="540"/>
        <w:spacing w:after="0" w:line="265" w:lineRule="auto"/>
        <w:rPr>
          <w:sz w:val="20"/>
          <w:szCs w:val="20"/>
          <w:color w:val="auto"/>
        </w:rPr>
      </w:pPr>
      <w:r>
        <w:rPr>
          <w:rFonts w:ascii="Arial" w:cs="Arial" w:eastAsia="Arial" w:hAnsi="Arial"/>
          <w:sz w:val="15"/>
          <w:szCs w:val="15"/>
          <w:color w:val="auto"/>
        </w:rPr>
        <w:t>/s/ Alvaro Garcia-Tunon Alvaro Garcia-Tunon</w:t>
      </w:r>
    </w:p>
    <w:p>
      <w:pPr>
        <w:spacing w:after="0" w:line="194" w:lineRule="exact"/>
        <w:rPr>
          <w:sz w:val="20"/>
          <w:szCs w:val="20"/>
          <w:color w:val="auto"/>
        </w:rPr>
      </w:pPr>
    </w:p>
    <w:p>
      <w:pPr>
        <w:ind w:left="100" w:right="500"/>
        <w:spacing w:after="0" w:line="265" w:lineRule="auto"/>
        <w:rPr>
          <w:sz w:val="20"/>
          <w:szCs w:val="20"/>
          <w:color w:val="auto"/>
        </w:rPr>
      </w:pPr>
      <w:r>
        <w:rPr>
          <w:rFonts w:ascii="Arial" w:cs="Arial" w:eastAsia="Arial" w:hAnsi="Arial"/>
          <w:sz w:val="15"/>
          <w:szCs w:val="15"/>
          <w:color w:val="auto"/>
        </w:rPr>
        <w:t>/s/ Carolann I. Haznedar Carolann I. Haznedar</w:t>
      </w:r>
    </w:p>
    <w:p>
      <w:pPr>
        <w:spacing w:after="0" w:line="18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 Richard P. Lavin</w:t>
      </w:r>
    </w:p>
    <w:p>
      <w:pPr>
        <w:ind w:left="100"/>
        <w:spacing w:after="0"/>
        <w:rPr>
          <w:sz w:val="20"/>
          <w:szCs w:val="20"/>
          <w:color w:val="auto"/>
        </w:rPr>
      </w:pPr>
      <w:r>
        <w:rPr>
          <w:rFonts w:ascii="Arial" w:cs="Arial" w:eastAsia="Arial" w:hAnsi="Arial"/>
          <w:sz w:val="16"/>
          <w:szCs w:val="16"/>
          <w:color w:val="auto"/>
        </w:rPr>
        <w:t>Richard P. Lavin</w:t>
      </w:r>
    </w:p>
    <w:p>
      <w:pPr>
        <w:spacing w:after="0" w:line="215" w:lineRule="exact"/>
        <w:rPr>
          <w:sz w:val="20"/>
          <w:szCs w:val="20"/>
          <w:color w:val="auto"/>
        </w:rPr>
      </w:pPr>
    </w:p>
    <w:p>
      <w:pPr>
        <w:ind w:left="100" w:right="640"/>
        <w:spacing w:after="0" w:line="265" w:lineRule="auto"/>
        <w:rPr>
          <w:sz w:val="20"/>
          <w:szCs w:val="20"/>
          <w:color w:val="auto"/>
        </w:rPr>
      </w:pPr>
      <w:r>
        <w:rPr>
          <w:rFonts w:ascii="Arial" w:cs="Arial" w:eastAsia="Arial" w:hAnsi="Arial"/>
          <w:sz w:val="15"/>
          <w:szCs w:val="15"/>
          <w:color w:val="auto"/>
        </w:rPr>
        <w:t>/s/ Thomas W. Rabaut Thomas W. Rabaut</w:t>
      </w:r>
    </w:p>
    <w:p>
      <w:pPr>
        <w:spacing w:after="0" w:line="194" w:lineRule="exact"/>
        <w:rPr>
          <w:sz w:val="20"/>
          <w:szCs w:val="20"/>
          <w:color w:val="auto"/>
        </w:rPr>
      </w:pPr>
    </w:p>
    <w:p>
      <w:pPr>
        <w:ind w:left="100" w:right="560"/>
        <w:spacing w:after="0" w:line="265" w:lineRule="auto"/>
        <w:rPr>
          <w:sz w:val="20"/>
          <w:szCs w:val="20"/>
          <w:color w:val="auto"/>
        </w:rPr>
      </w:pPr>
      <w:r>
        <w:rPr>
          <w:rFonts w:ascii="Arial" w:cs="Arial" w:eastAsia="Arial" w:hAnsi="Arial"/>
          <w:sz w:val="15"/>
          <w:szCs w:val="15"/>
          <w:color w:val="auto"/>
        </w:rPr>
        <w:t>/s/ Richard V. Reynolds Richard V. Reynolds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tabs>
          <w:tab w:leader="none" w:pos="7040" w:val="left"/>
        </w:tabs>
        <w:rPr>
          <w:sz w:val="20"/>
          <w:szCs w:val="20"/>
          <w:color w:val="auto"/>
        </w:rPr>
      </w:pPr>
      <w:r>
        <w:rPr>
          <w:rFonts w:ascii="Arial" w:cs="Arial" w:eastAsia="Arial" w:hAnsi="Arial"/>
          <w:sz w:val="16"/>
          <w:szCs w:val="16"/>
          <w:color w:val="auto"/>
        </w:rPr>
        <w:t>Director, President and Chief Executive Officer (Principal Executive Officer)</w:t>
      </w:r>
      <w:r>
        <w:rPr>
          <w:sz w:val="20"/>
          <w:szCs w:val="20"/>
          <w:color w:val="auto"/>
        </w:rPr>
        <w:tab/>
      </w:r>
      <w:r>
        <w:rPr>
          <w:rFonts w:ascii="Arial" w:cs="Arial" w:eastAsia="Arial" w:hAnsi="Arial"/>
          <w:sz w:val="15"/>
          <w:szCs w:val="15"/>
          <w:color w:val="auto"/>
        </w:rPr>
        <w:t>February 27, 2020</w:t>
      </w:r>
    </w:p>
    <w:p>
      <w:pPr>
        <w:spacing w:after="0" w:line="383" w:lineRule="exact"/>
        <w:rPr>
          <w:sz w:val="20"/>
          <w:szCs w:val="20"/>
          <w:color w:val="auto"/>
        </w:rPr>
      </w:pPr>
    </w:p>
    <w:p>
      <w:pPr>
        <w:spacing w:after="0"/>
        <w:tabs>
          <w:tab w:leader="none" w:pos="7040" w:val="left"/>
        </w:tabs>
        <w:rPr>
          <w:sz w:val="20"/>
          <w:szCs w:val="20"/>
          <w:color w:val="auto"/>
        </w:rPr>
      </w:pPr>
      <w:r>
        <w:rPr>
          <w:rFonts w:ascii="Arial" w:cs="Arial" w:eastAsia="Arial" w:hAnsi="Arial"/>
          <w:sz w:val="16"/>
          <w:szCs w:val="16"/>
          <w:color w:val="auto"/>
        </w:rPr>
        <w:t>Senior Vice President, Chief Financial Officer and Treasurer (Principal Financial Officer</w:t>
      </w:r>
      <w:r>
        <w:rPr>
          <w:sz w:val="20"/>
          <w:szCs w:val="20"/>
          <w:color w:val="auto"/>
        </w:rPr>
        <w:tab/>
      </w:r>
      <w:r>
        <w:rPr>
          <w:rFonts w:ascii="Arial" w:cs="Arial" w:eastAsia="Arial" w:hAnsi="Arial"/>
          <w:sz w:val="15"/>
          <w:szCs w:val="15"/>
          <w:color w:val="auto"/>
        </w:rPr>
        <w:t>February 27, 2020</w:t>
      </w:r>
    </w:p>
    <w:p>
      <w:pPr>
        <w:spacing w:after="0"/>
        <w:rPr>
          <w:sz w:val="20"/>
          <w:szCs w:val="20"/>
          <w:color w:val="auto"/>
        </w:rPr>
      </w:pPr>
      <w:r>
        <w:rPr>
          <w:rFonts w:ascii="Arial" w:cs="Arial" w:eastAsia="Arial" w:hAnsi="Arial"/>
          <w:sz w:val="16"/>
          <w:szCs w:val="16"/>
          <w:color w:val="auto"/>
        </w:rPr>
        <w:t>and Principal Accounting Officer)</w:t>
      </w:r>
    </w:p>
    <w:p>
      <w:pPr>
        <w:spacing w:after="0" w:line="215" w:lineRule="exact"/>
        <w:rPr>
          <w:sz w:val="20"/>
          <w:szCs w:val="20"/>
          <w:color w:val="auto"/>
        </w:rPr>
      </w:pPr>
    </w:p>
    <w:p>
      <w:pPr>
        <w:spacing w:after="0"/>
        <w:tabs>
          <w:tab w:leader="none" w:pos="7040" w:val="left"/>
        </w:tabs>
        <w:rPr>
          <w:sz w:val="20"/>
          <w:szCs w:val="20"/>
          <w:color w:val="auto"/>
        </w:rPr>
      </w:pPr>
      <w:r>
        <w:rPr>
          <w:rFonts w:ascii="Arial" w:cs="Arial" w:eastAsia="Arial" w:hAnsi="Arial"/>
          <w:sz w:val="16"/>
          <w:szCs w:val="16"/>
          <w:color w:val="auto"/>
        </w:rPr>
        <w:t>Chairman of the Board</w:t>
      </w:r>
      <w:r>
        <w:rPr>
          <w:sz w:val="20"/>
          <w:szCs w:val="20"/>
          <w:color w:val="auto"/>
        </w:rPr>
        <w:tab/>
      </w:r>
      <w:r>
        <w:rPr>
          <w:rFonts w:ascii="Arial" w:cs="Arial" w:eastAsia="Arial" w:hAnsi="Arial"/>
          <w:sz w:val="15"/>
          <w:szCs w:val="15"/>
          <w:color w:val="auto"/>
        </w:rPr>
        <w:t>February 27, 2020</w:t>
      </w:r>
    </w:p>
    <w:p>
      <w:pPr>
        <w:spacing w:after="0" w:line="391"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200" w:lineRule="exact"/>
        <w:rPr>
          <w:sz w:val="20"/>
          <w:szCs w:val="20"/>
          <w:color w:val="auto"/>
        </w:rPr>
      </w:pPr>
    </w:p>
    <w:p>
      <w:pPr>
        <w:spacing w:after="0" w:line="202" w:lineRule="exact"/>
        <w:rPr>
          <w:sz w:val="20"/>
          <w:szCs w:val="20"/>
          <w:color w:val="auto"/>
        </w:rPr>
      </w:pPr>
    </w:p>
    <w:p>
      <w:pPr>
        <w:spacing w:after="0"/>
        <w:tabs>
          <w:tab w:leader="none" w:pos="7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February 27, 2020</w:t>
      </w:r>
    </w:p>
    <w:p>
      <w:pPr>
        <w:spacing w:after="0" w:line="443" w:lineRule="exact"/>
        <w:rPr>
          <w:sz w:val="20"/>
          <w:szCs w:val="20"/>
          <w:color w:val="auto"/>
        </w:rPr>
      </w:pPr>
    </w:p>
    <w:p>
      <w:pPr>
        <w:sectPr>
          <w:pgSz w:w="11900" w:h="16838" w:orient="portrait"/>
          <w:cols w:equalWidth="0" w:num="2">
            <w:col w:w="2280" w:space="720"/>
            <w:col w:w="8340"/>
          </w:cols>
          <w:pgMar w:left="240" w:top="140" w:right="319" w:bottom="1440" w:gutter="0" w:footer="0" w:header="0"/>
          <w:type w:val="continuous"/>
        </w:sectPr>
      </w:pP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340"/>
          </w:cols>
          <w:pgMar w:left="240" w:top="140" w:right="31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6"/>
          <w:szCs w:val="16"/>
          <w:color w:val="auto"/>
        </w:rPr>
        <w:t>Exhibit 4.5</w:t>
      </w:r>
    </w:p>
    <w:p>
      <w:pPr>
        <w:jc w:val="center"/>
        <w:spacing w:after="0"/>
        <w:rPr>
          <w:sz w:val="20"/>
          <w:szCs w:val="20"/>
          <w:color w:val="auto"/>
        </w:rPr>
      </w:pPr>
      <w:r>
        <w:rPr>
          <w:rFonts w:ascii="Arial" w:cs="Arial" w:eastAsia="Arial" w:hAnsi="Arial"/>
          <w:sz w:val="16"/>
          <w:szCs w:val="16"/>
          <w:b w:val="1"/>
          <w:bCs w:val="1"/>
          <w:color w:val="auto"/>
        </w:rPr>
        <w:t>DESCRIPTION OF THE REGISTRANT’S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REGISTERED UNDER SECTION 12 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86" w:lineRule="exact"/>
        <w:rPr>
          <w:sz w:val="20"/>
          <w:szCs w:val="20"/>
          <w:color w:val="auto"/>
        </w:rPr>
      </w:pPr>
    </w:p>
    <w:p>
      <w:pPr>
        <w:jc w:val="both"/>
        <w:ind w:firstLine="599"/>
        <w:spacing w:after="0" w:line="264" w:lineRule="auto"/>
        <w:rPr>
          <w:sz w:val="20"/>
          <w:szCs w:val="20"/>
          <w:color w:val="auto"/>
        </w:rPr>
      </w:pPr>
      <w:r>
        <w:rPr>
          <w:rFonts w:ascii="Arial" w:cs="Arial" w:eastAsia="Arial" w:hAnsi="Arial"/>
          <w:sz w:val="16"/>
          <w:szCs w:val="16"/>
          <w:color w:val="auto"/>
        </w:rPr>
        <w:t>As of December 31, 2019, Allison Transmission Holdings, Inc. (“Allison,” “Company,” “we,” “us” and “our”) had one class of securities registered under Section 12 of the Securities Exchange Act of 1934, as amended (the “Exchange Act”): its common stock, par value $0.01 per share (the “common stock”).</w:t>
      </w:r>
    </w:p>
    <w:p>
      <w:pPr>
        <w:spacing w:after="0" w:line="65" w:lineRule="exact"/>
        <w:rPr>
          <w:sz w:val="20"/>
          <w:szCs w:val="20"/>
          <w:color w:val="auto"/>
        </w:rPr>
      </w:pPr>
    </w:p>
    <w:p>
      <w:pPr>
        <w:jc w:val="both"/>
        <w:ind w:firstLine="599"/>
        <w:spacing w:after="0" w:line="328" w:lineRule="auto"/>
        <w:rPr>
          <w:sz w:val="20"/>
          <w:szCs w:val="20"/>
          <w:color w:val="auto"/>
        </w:rPr>
      </w:pPr>
      <w:r>
        <w:rPr>
          <w:rFonts w:ascii="Arial" w:cs="Arial" w:eastAsia="Arial" w:hAnsi="Arial"/>
          <w:sz w:val="13"/>
          <w:szCs w:val="13"/>
          <w:color w:val="auto"/>
        </w:rPr>
        <w:t>The following description of our common stock is a summary and does not purport to be complete. It is subject to and is qualified in its entirety by reference to our Second Amended and Restated Certificate of Incorporation (the “Charter”), our Fifth Amended and Restated Bylaws (the “Bylaws”), and the applicable provisions of the General Corporation Law of the State of Delaware (the “DGCL”). Our Charter and our Bylaws are incorporated by reference as exhibits to the Annual Report on Form 10-K of which this Exhibit is a part, and each may be amended from time to time. We encourage you to read our Charter and Bylaws and the applicable provisions of the DGCL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Capital Stock</w:t>
      </w:r>
    </w:p>
    <w:p>
      <w:pPr>
        <w:spacing w:after="0" w:line="102" w:lineRule="exact"/>
        <w:rPr>
          <w:sz w:val="20"/>
          <w:szCs w:val="20"/>
          <w:color w:val="auto"/>
        </w:rPr>
      </w:pPr>
    </w:p>
    <w:p>
      <w:pPr>
        <w:jc w:val="both"/>
        <w:ind w:right="20" w:firstLine="599"/>
        <w:spacing w:after="0" w:line="381" w:lineRule="auto"/>
        <w:rPr>
          <w:sz w:val="20"/>
          <w:szCs w:val="20"/>
          <w:color w:val="auto"/>
        </w:rPr>
      </w:pPr>
      <w:r>
        <w:rPr>
          <w:rFonts w:ascii="Arial" w:cs="Arial" w:eastAsia="Arial" w:hAnsi="Arial"/>
          <w:sz w:val="13"/>
          <w:szCs w:val="13"/>
          <w:color w:val="auto"/>
        </w:rPr>
        <w:t>Our authorized capital stock consists of 1,880,000,000 shares of common stock, par value $0.01 per share, 20,000,000 shares of non-voting common stock, par value $0.01 per share, and 100,000,000 shares of preferred stock, par value $0.01 per share. All outstanding shares of our common stock are fully paid and non-assessable.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102" w:lineRule="exact"/>
        <w:rPr>
          <w:sz w:val="20"/>
          <w:szCs w:val="20"/>
          <w:color w:val="auto"/>
        </w:rPr>
      </w:pPr>
    </w:p>
    <w:p>
      <w:pPr>
        <w:jc w:val="both"/>
        <w:ind w:firstLine="599"/>
        <w:spacing w:after="0" w:line="249" w:lineRule="auto"/>
        <w:rPr>
          <w:sz w:val="20"/>
          <w:szCs w:val="20"/>
          <w:color w:val="auto"/>
        </w:rPr>
      </w:pPr>
      <w:r>
        <w:rPr>
          <w:rFonts w:ascii="Arial" w:cs="Arial" w:eastAsia="Arial" w:hAnsi="Arial"/>
          <w:sz w:val="16"/>
          <w:szCs w:val="16"/>
          <w:color w:val="auto"/>
        </w:rPr>
        <w:t>Holders of our common stock are entitled to one vote for each share held of record on all matters submitted to a vote of the stockholders, including the election of directors. Holders of our common stock do not have cumulative voting rights. A nominee for director is elected if the number of votes cast “for” his or her election exceeds the number of votes cast “against” such nominee’s election; provided, that if the number of nominees exceeds the number of directors to be elected as of the meeting date, directors will be elected by a plurality of the votes cast. On all other matters, unless a greater number of affirmative votes is required, an action is approved by a majority of the voting power of the shares entitled to vote on the proposal represented in person or by proxy.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102" w:lineRule="exact"/>
        <w:rPr>
          <w:sz w:val="20"/>
          <w:szCs w:val="20"/>
          <w:color w:val="auto"/>
        </w:rPr>
      </w:pPr>
    </w:p>
    <w:p>
      <w:pPr>
        <w:jc w:val="both"/>
        <w:ind w:firstLine="599"/>
        <w:spacing w:after="0" w:line="328" w:lineRule="auto"/>
        <w:rPr>
          <w:sz w:val="20"/>
          <w:szCs w:val="20"/>
          <w:color w:val="auto"/>
        </w:rPr>
      </w:pPr>
      <w:r>
        <w:rPr>
          <w:rFonts w:ascii="Arial" w:cs="Arial" w:eastAsia="Arial" w:hAnsi="Arial"/>
          <w:sz w:val="13"/>
          <w:szCs w:val="13"/>
          <w:color w:val="auto"/>
        </w:rPr>
        <w:t>Subject to preferences that may be applicable to any outstanding shares of preferred stock, holders of our common stock and non-voting common stock are entitled to receive ratably such dividends, if any, as may be declared from time to time by our Board of Directors out of funds legally available for dividend payments. The senior secured credit facility of Allison Transmission, Inc. (“ATI”), our wholly-owned subsidiary, and the indentures governing ATI’s 5.0% senior notes due September 2024, 4.75% senior notes due October 2027 and 5.875% senior notes due June 2029 impose restrictions on the ability of our Board of Directors to declare dividends on our common stock.</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102" w:lineRule="exact"/>
        <w:rPr>
          <w:sz w:val="20"/>
          <w:szCs w:val="20"/>
          <w:color w:val="auto"/>
        </w:rPr>
      </w:pPr>
    </w:p>
    <w:p>
      <w:pPr>
        <w:jc w:val="both"/>
        <w:ind w:firstLine="599"/>
        <w:spacing w:after="0" w:line="254" w:lineRule="auto"/>
        <w:rPr>
          <w:sz w:val="20"/>
          <w:szCs w:val="20"/>
          <w:color w:val="auto"/>
        </w:rPr>
      </w:pPr>
      <w:r>
        <w:rPr>
          <w:rFonts w:ascii="Arial" w:cs="Arial" w:eastAsia="Arial" w:hAnsi="Arial"/>
          <w:sz w:val="16"/>
          <w:szCs w:val="16"/>
          <w:color w:val="auto"/>
        </w:rPr>
        <w:t>In the event of any liquidation, dissolution or winding-up of our affairs, whether voluntary or involuntary, holders of our common stock and non-voting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Rights</w:t>
      </w:r>
    </w:p>
    <w:p>
      <w:pPr>
        <w:spacing w:after="0" w:line="102" w:lineRule="exact"/>
        <w:rPr>
          <w:sz w:val="20"/>
          <w:szCs w:val="20"/>
          <w:color w:val="auto"/>
        </w:rPr>
      </w:pPr>
    </w:p>
    <w:p>
      <w:pPr>
        <w:jc w:val="both"/>
        <w:ind w:right="20" w:firstLine="599"/>
        <w:spacing w:after="0" w:line="264" w:lineRule="auto"/>
        <w:rPr>
          <w:sz w:val="20"/>
          <w:szCs w:val="20"/>
          <w:color w:val="auto"/>
        </w:rPr>
      </w:pPr>
      <w:r>
        <w:rPr>
          <w:rFonts w:ascii="Arial" w:cs="Arial" w:eastAsia="Arial" w:hAnsi="Arial"/>
          <w:sz w:val="16"/>
          <w:szCs w:val="16"/>
          <w:color w:val="auto"/>
        </w:rPr>
        <w:t>The holders of our common stock have no preemptive, subscription, exchange or conversion rights, and there are no redemption, preference or sinking fund provisions applicable to our common stock. Holders of our common stock are not subject to further calls or assessments by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Certain Anti-Takeover Provisions</w:t>
      </w:r>
    </w:p>
    <w:p>
      <w:pPr>
        <w:spacing w:after="0" w:line="102" w:lineRule="exact"/>
        <w:rPr>
          <w:sz w:val="20"/>
          <w:szCs w:val="20"/>
          <w:color w:val="auto"/>
        </w:rPr>
      </w:pPr>
    </w:p>
    <w:p>
      <w:pPr>
        <w:jc w:val="both"/>
        <w:ind w:firstLine="599"/>
        <w:spacing w:after="0" w:line="254" w:lineRule="auto"/>
        <w:rPr>
          <w:sz w:val="20"/>
          <w:szCs w:val="20"/>
          <w:color w:val="auto"/>
        </w:rPr>
      </w:pPr>
      <w:r>
        <w:rPr>
          <w:rFonts w:ascii="Arial" w:cs="Arial" w:eastAsia="Arial" w:hAnsi="Arial"/>
          <w:sz w:val="16"/>
          <w:szCs w:val="16"/>
          <w:color w:val="auto"/>
        </w:rPr>
        <w:t>Certain provisions in our Charter, our Bylaws and the DGCL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287655</wp:posOffset>
            </wp:positionV>
            <wp:extent cx="730504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0">
                      <a:extLst>
                        <a:ext uri="{28A0092B-C50C-407E-A947-70E740481C1C}"/>
                      </a:extLst>
                    </a:blip>
                    <a:srcRect/>
                    <a:stretch>
                      <a:fillRect/>
                    </a:stretch>
                  </pic:blipFill>
                  <pic:spPr bwMode="auto">
                    <a:xfrm>
                      <a:off x="0" y="0"/>
                      <a:ext cx="7305040" cy="40005"/>
                    </a:xfrm>
                    <a:prstGeom prst="rect">
                      <a:avLst/>
                    </a:prstGeom>
                    <a:noFill/>
                  </pic:spPr>
                </pic:pic>
              </a:graphicData>
            </a:graphic>
          </wp:anchor>
        </w:drawing>
      </w:r>
    </w:p>
    <w:p>
      <w:pPr>
        <w:sectPr>
          <w:pgSz w:w="11900" w:h="16838" w:orient="portrait"/>
          <w:cols w:equalWidth="0" w:num="1">
            <w:col w:w="11440"/>
          </w:cols>
          <w:pgMar w:left="240" w:top="133"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color w:val="auto"/>
        </w:rPr>
        <w:t>Exhibit 4.5</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Among other things, our Charter and Bylaws:</w:t>
      </w:r>
    </w:p>
    <w:p>
      <w:pPr>
        <w:spacing w:after="0" w:line="74" w:lineRule="exact"/>
        <w:rPr>
          <w:sz w:val="20"/>
          <w:szCs w:val="20"/>
          <w:color w:val="auto"/>
        </w:rPr>
      </w:pPr>
    </w:p>
    <w:p>
      <w:pPr>
        <w:ind w:left="880" w:right="100" w:hanging="323"/>
        <w:spacing w:after="0" w:line="264"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issue to increase the number of outstanding shares and to discourage a takeover attempt;</w:t>
      </w:r>
    </w:p>
    <w:p>
      <w:pPr>
        <w:spacing w:after="0" w:line="41" w:lineRule="exact"/>
        <w:rPr>
          <w:rFonts w:ascii="Arial" w:cs="Arial" w:eastAsia="Arial" w:hAnsi="Arial"/>
          <w:sz w:val="16"/>
          <w:szCs w:val="16"/>
          <w:color w:val="auto"/>
        </w:rPr>
      </w:pPr>
    </w:p>
    <w:p>
      <w:pPr>
        <w:ind w:left="880" w:right="140" w:hanging="323"/>
        <w:spacing w:after="0" w:line="264"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the removal of a director, either for or without cause, would require the affirmative vote of the holders of a majority of the outstanding shares of our stock entitled to vote generally for the election of directors, voting together as a single class;</w:t>
      </w:r>
    </w:p>
    <w:p>
      <w:pPr>
        <w:spacing w:after="0" w:line="64" w:lineRule="exact"/>
        <w:rPr>
          <w:rFonts w:ascii="Arial" w:cs="Arial" w:eastAsia="Arial" w:hAnsi="Arial"/>
          <w:sz w:val="16"/>
          <w:szCs w:val="16"/>
          <w:color w:val="auto"/>
        </w:rPr>
      </w:pPr>
    </w:p>
    <w:p>
      <w:pPr>
        <w:ind w:left="880" w:right="320" w:hanging="323"/>
        <w:spacing w:after="0" w:line="298" w:lineRule="auto"/>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provide that any newly-created directorship on our Board of Directors that results from an increase in the number of directors, or vacancy that results on our Board, shall be filled solely by the affirmative vote of a majority of the total number of directors then in office, even if less than a quorum;</w:t>
      </w:r>
    </w:p>
    <w:p>
      <w:pPr>
        <w:spacing w:after="0" w:line="17" w:lineRule="exact"/>
        <w:rPr>
          <w:rFonts w:ascii="Arial" w:cs="Arial" w:eastAsia="Arial" w:hAnsi="Arial"/>
          <w:sz w:val="15"/>
          <w:szCs w:val="15"/>
          <w:color w:val="auto"/>
        </w:rPr>
      </w:pPr>
    </w:p>
    <w:p>
      <w:pPr>
        <w:ind w:left="880" w:hanging="32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prohibit our stockholders from calling a special meeting of stockholders;</w:t>
      </w:r>
    </w:p>
    <w:p>
      <w:pPr>
        <w:spacing w:after="0" w:line="74" w:lineRule="exact"/>
        <w:rPr>
          <w:rFonts w:ascii="Arial" w:cs="Arial" w:eastAsia="Arial" w:hAnsi="Arial"/>
          <w:sz w:val="16"/>
          <w:szCs w:val="16"/>
          <w:color w:val="auto"/>
        </w:rPr>
      </w:pPr>
    </w:p>
    <w:p>
      <w:pPr>
        <w:ind w:left="880" w:hanging="32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74" w:lineRule="exact"/>
        <w:rPr>
          <w:rFonts w:ascii="Arial" w:cs="Arial" w:eastAsia="Arial" w:hAnsi="Arial"/>
          <w:sz w:val="16"/>
          <w:szCs w:val="16"/>
          <w:color w:val="auto"/>
        </w:rPr>
      </w:pPr>
    </w:p>
    <w:p>
      <w:pPr>
        <w:ind w:left="880" w:right="600" w:hanging="323"/>
        <w:spacing w:after="0" w:line="264" w:lineRule="auto"/>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stockholder meetings;</w:t>
      </w:r>
    </w:p>
    <w:p>
      <w:pPr>
        <w:spacing w:after="0" w:line="64" w:lineRule="exact"/>
        <w:rPr>
          <w:rFonts w:ascii="Arial" w:cs="Arial" w:eastAsia="Arial" w:hAnsi="Arial"/>
          <w:sz w:val="16"/>
          <w:szCs w:val="16"/>
          <w:color w:val="auto"/>
        </w:rPr>
      </w:pPr>
    </w:p>
    <w:p>
      <w:pPr>
        <w:ind w:left="880" w:hanging="323"/>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adopt, alter or repeal our Bylaws; and</w:t>
      </w:r>
    </w:p>
    <w:p>
      <w:pPr>
        <w:spacing w:after="0" w:line="74" w:lineRule="exact"/>
        <w:rPr>
          <w:rFonts w:ascii="Arial" w:cs="Arial" w:eastAsia="Arial" w:hAnsi="Arial"/>
          <w:sz w:val="16"/>
          <w:szCs w:val="16"/>
          <w:color w:val="auto"/>
        </w:rPr>
      </w:pPr>
    </w:p>
    <w:p>
      <w:pPr>
        <w:ind w:left="880" w:hanging="323"/>
        <w:spacing w:after="0"/>
        <w:tabs>
          <w:tab w:leader="none" w:pos="8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require the approval of holders of at least two-thirds of the outstanding shares of our common stock to amend the Bylaws and certain provisions of the Charter.</w:t>
      </w:r>
    </w:p>
    <w:p>
      <w:pPr>
        <w:spacing w:after="0" w:line="109" w:lineRule="exact"/>
        <w:rPr>
          <w:sz w:val="20"/>
          <w:szCs w:val="20"/>
          <w:color w:val="auto"/>
        </w:rPr>
      </w:pPr>
    </w:p>
    <w:p>
      <w:pPr>
        <w:jc w:val="both"/>
        <w:ind w:firstLine="599"/>
        <w:spacing w:after="0" w:line="268" w:lineRule="auto"/>
        <w:rPr>
          <w:sz w:val="20"/>
          <w:szCs w:val="20"/>
          <w:color w:val="auto"/>
        </w:rPr>
      </w:pPr>
      <w:r>
        <w:rPr>
          <w:rFonts w:ascii="Arial" w:cs="Arial" w:eastAsia="Arial" w:hAnsi="Arial"/>
          <w:sz w:val="15"/>
          <w:szCs w:val="15"/>
          <w:color w:val="auto"/>
        </w:rPr>
        <w:t>The foregoing provisions of our Charter and Bylaws could discourage potential acquisition proposals and could delay or prevent a change in control.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common stock that could result from actual or rumored takeover attempts. Such provisions also may have the effect of preventing changes in our management.</w:t>
      </w:r>
    </w:p>
    <w:p>
      <w:pPr>
        <w:spacing w:after="0" w:line="65" w:lineRule="exact"/>
        <w:rPr>
          <w:sz w:val="20"/>
          <w:szCs w:val="20"/>
          <w:color w:val="auto"/>
        </w:rPr>
      </w:pPr>
    </w:p>
    <w:p>
      <w:pPr>
        <w:ind w:right="60" w:firstLine="599"/>
        <w:spacing w:after="0" w:line="314" w:lineRule="auto"/>
        <w:rPr>
          <w:sz w:val="20"/>
          <w:szCs w:val="20"/>
          <w:color w:val="auto"/>
        </w:rPr>
      </w:pPr>
      <w:r>
        <w:rPr>
          <w:rFonts w:ascii="Arial" w:cs="Arial" w:eastAsia="Arial" w:hAnsi="Arial"/>
          <w:sz w:val="13"/>
          <w:szCs w:val="13"/>
          <w:color w:val="auto"/>
        </w:rPr>
        <w:t>In addition, our Charter provides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director, officer, employee or agent of ours to us or our stockholders, (iii) any action asserting a claim against us arising pursuant to any provision of our Charter, Bylaws or the DGCL, or (iv) any action asserting a claim against us governed by the internal affairs doctrine. Although we believe this provision benefits us by providing increased consistency in the application of Delaware law in the types of lawsuits to which it applies, it may have the effect of discouraging lawsuits against us or our directors and officers. The enforceability of similar choice of forum provisions in other companies’ governing documents has been challenged in legal proceedings, and it is possible that, in connection with one or more actions or proceedings described above, a court could find the choice of forum provision contained in our Charter to be inapplicable or unenforceable.</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Delaware Anti-Takeover Statute</w:t>
      </w:r>
    </w:p>
    <w:p>
      <w:pPr>
        <w:spacing w:after="0" w:line="98" w:lineRule="exact"/>
        <w:rPr>
          <w:sz w:val="20"/>
          <w:szCs w:val="20"/>
          <w:color w:val="auto"/>
        </w:rPr>
      </w:pPr>
    </w:p>
    <w:p>
      <w:pPr>
        <w:jc w:val="both"/>
        <w:ind w:firstLine="599"/>
        <w:spacing w:after="0" w:line="254" w:lineRule="auto"/>
        <w:rPr>
          <w:sz w:val="20"/>
          <w:szCs w:val="20"/>
          <w:color w:val="auto"/>
        </w:rPr>
      </w:pPr>
      <w:r>
        <w:rPr>
          <w:rFonts w:ascii="Arial" w:cs="Arial" w:eastAsia="Arial" w:hAnsi="Arial"/>
          <w:sz w:val="16"/>
          <w:szCs w:val="16"/>
          <w:color w:val="auto"/>
        </w:rPr>
        <w:t>Section 203 of the DGCL prohibits a public Delaware corporation from engaging in certain business combinations with an interested stockholder for specified time periods and unless certain conditions are met. The DGCL permits Delaware corporations to elect not to be governed by the provisions of Section 203. In our Charter, we have elected not to be governed by Section 203 of the DGCL.</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6"/>
          <w:szCs w:val="16"/>
          <w:b w:val="1"/>
          <w:bCs w:val="1"/>
          <w:i w:val="1"/>
          <w:iCs w:val="1"/>
          <w:color w:val="auto"/>
        </w:rPr>
        <w:t>Proxy Access</w:t>
      </w:r>
    </w:p>
    <w:p>
      <w:pPr>
        <w:spacing w:after="0" w:line="98" w:lineRule="exact"/>
        <w:rPr>
          <w:sz w:val="20"/>
          <w:szCs w:val="20"/>
          <w:color w:val="auto"/>
        </w:rPr>
      </w:pPr>
    </w:p>
    <w:p>
      <w:pPr>
        <w:jc w:val="both"/>
        <w:ind w:firstLine="599"/>
        <w:spacing w:after="0" w:line="251" w:lineRule="auto"/>
        <w:rPr>
          <w:sz w:val="20"/>
          <w:szCs w:val="20"/>
          <w:color w:val="auto"/>
        </w:rPr>
      </w:pPr>
      <w:r>
        <w:rPr>
          <w:rFonts w:ascii="Arial" w:cs="Arial" w:eastAsia="Arial" w:hAnsi="Arial"/>
          <w:sz w:val="16"/>
          <w:szCs w:val="16"/>
          <w:color w:val="auto"/>
        </w:rPr>
        <w:t>Our Bylaws contain “proxy access” provisions, which give a qualified stockholder or a group of up to 20 qualified stockholders the right to include up to a specified number of director nominees in our proxy materials for an annual meeting of stockholders, subject to various requirements and restrictions specified in our Bylaws. To be considered a qualified stockholder, the person must have either been a record holder of shares of our common stock continuously for at least three years as of the date the written notice of a nomination is delivered to or mailed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288925</wp:posOffset>
            </wp:positionV>
            <wp:extent cx="730504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1">
                      <a:extLst>
                        <a:ext uri="{28A0092B-C50C-407E-A947-70E740481C1C}"/>
                      </a:extLst>
                    </a:blip>
                    <a:srcRect/>
                    <a:stretch>
                      <a:fillRect/>
                    </a:stretch>
                  </pic:blipFill>
                  <pic:spPr bwMode="auto">
                    <a:xfrm>
                      <a:off x="0" y="0"/>
                      <a:ext cx="730504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10" w:name="page111"/>
    <w:bookmarkEnd w:id="110"/>
    <w:p>
      <w:pPr>
        <w:ind w:left="10700"/>
        <w:spacing w:after="0"/>
        <w:rPr>
          <w:sz w:val="20"/>
          <w:szCs w:val="20"/>
          <w:color w:val="auto"/>
        </w:rPr>
      </w:pPr>
      <w:r>
        <w:rPr>
          <w:rFonts w:ascii="Arial" w:cs="Arial" w:eastAsia="Arial" w:hAnsi="Arial"/>
          <w:sz w:val="15"/>
          <w:szCs w:val="15"/>
          <w:color w:val="auto"/>
        </w:rPr>
        <w:t>Exhibit 4.5</w:t>
      </w:r>
    </w:p>
    <w:p>
      <w:pPr>
        <w:spacing w:after="0" w:line="8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received by the Secretary of the Company or must provide to the Secretary of the Company evidence of continuous ownership of such shares for such three-year period from one or more securities intermediaries. To be able to submit a nomination in accordance with the proxy access provisions, the qualified stockholder (or group of up to twenty qualified stockholders) must have owned 3% or more of our outstanding shares of common stock continuously for at least three years as of the date the written notice of a nomination is delivered to or mailed and received by the Secretary of the Company and must continue to own such required shares through the date of the annual meeting of stockholders. The number of stockholder nominees permitted under the proxy access provisions of our Bylaws with respect to an annual meeting of stockholders may not exceed 25% of the total number of our directors in office as of the last day on which notice of a nomination may be delivered under our Bylaws (rounded down to the nearest whole number, but not less than two).</w:t>
      </w:r>
    </w:p>
    <w:p>
      <w:pPr>
        <w:spacing w:after="0" w:line="77" w:lineRule="exact"/>
        <w:rPr>
          <w:sz w:val="20"/>
          <w:szCs w:val="20"/>
          <w:color w:val="auto"/>
        </w:rPr>
      </w:pPr>
    </w:p>
    <w:p>
      <w:pPr>
        <w:jc w:val="both"/>
        <w:ind w:right="20" w:firstLine="599"/>
        <w:spacing w:after="0" w:line="341" w:lineRule="auto"/>
        <w:rPr>
          <w:sz w:val="20"/>
          <w:szCs w:val="20"/>
          <w:color w:val="auto"/>
        </w:rPr>
      </w:pPr>
      <w:r>
        <w:rPr>
          <w:rFonts w:ascii="Arial" w:cs="Arial" w:eastAsia="Arial" w:hAnsi="Arial"/>
          <w:sz w:val="13"/>
          <w:szCs w:val="13"/>
          <w:color w:val="auto"/>
        </w:rPr>
        <w:t>To be considered timely, notice of a nomination under our proxy access provisions, together with other required information, representations and agreements specified in our Bylaws, must be submitted to the Secretary of the Company at our principal executive offices within the timeframes specified in our Bylaws. The proxy access provisions may preclude our stockholders from bringing matters before our annual meeting of stockholders or from making nominations if the proper procedures are not followed.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common stock is listed on the NYSE under the symbol “ALSN.”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transfer agent and registrar for our common stock is American Stock Transfer &amp; Trust Company, LLC.</w:t>
      </w:r>
    </w:p>
    <w:p>
      <w:pPr>
        <w:sectPr>
          <w:pgSz w:w="11900" w:h="16838" w:orient="portrait"/>
          <w:cols w:equalWidth="0" w:num="1">
            <w:col w:w="11440"/>
          </w:cols>
          <w:pgMar w:left="240" w:top="14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color w:val="auto"/>
        </w:rPr>
        <w:t>Exhibit 10.21</w:t>
      </w:r>
    </w:p>
    <w:p>
      <w:pPr>
        <w:spacing w:after="0" w:line="344"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ALLISON TRANSMISSION HOLDINGS, INC.</w:t>
      </w:r>
    </w:p>
    <w:p>
      <w:pPr>
        <w:spacing w:after="0" w:line="180"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Fifth Amended and Restated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Non-Employee Director Compensation Policy</w:t>
      </w:r>
    </w:p>
    <w:p>
      <w:pPr>
        <w:spacing w:after="0" w:line="164" w:lineRule="exact"/>
        <w:rPr>
          <w:sz w:val="20"/>
          <w:szCs w:val="20"/>
          <w:color w:val="auto"/>
        </w:rPr>
      </w:pPr>
    </w:p>
    <w:p>
      <w:pPr>
        <w:jc w:val="both"/>
        <w:ind w:firstLine="874"/>
        <w:spacing w:after="0" w:line="238" w:lineRule="auto"/>
        <w:tabs>
          <w:tab w:leader="none" w:pos="214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This Fifth Amended and Restated Non-Employee Director Compensation Policy (the “</w:t>
      </w:r>
      <w:r>
        <w:rPr>
          <w:rFonts w:ascii="Arial" w:cs="Arial" w:eastAsia="Arial" w:hAnsi="Arial"/>
          <w:sz w:val="19"/>
          <w:szCs w:val="19"/>
          <w:u w:val="single" w:color="auto"/>
          <w:color w:val="auto"/>
        </w:rPr>
        <w:t>Policy</w:t>
      </w:r>
      <w:r>
        <w:rPr>
          <w:rFonts w:ascii="Arial" w:cs="Arial" w:eastAsia="Arial" w:hAnsi="Arial"/>
          <w:sz w:val="19"/>
          <w:szCs w:val="19"/>
          <w:color w:val="auto"/>
        </w:rPr>
        <w:t>”) as set forth herein, amends and restates that certain Third Amended and Restated Non-Employee Director Compensation Policy, previously adopted by the Compensation Committee of the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of Allison Transmission Holdings,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shall be effective as of May 8, 2019. Capitalized but undefined terms used herein shall have the meanings provided for in the Allison Transmission Holdings, Inc. 2015 Equity Incentive Award Plan (the “</w:t>
      </w:r>
      <w:r>
        <w:rPr>
          <w:rFonts w:ascii="Arial" w:cs="Arial" w:eastAsia="Arial" w:hAnsi="Arial"/>
          <w:sz w:val="19"/>
          <w:szCs w:val="19"/>
          <w:u w:val="single" w:color="auto"/>
          <w:color w:val="auto"/>
        </w:rPr>
        <w:t>Plan</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firstLine="874"/>
        <w:spacing w:after="0" w:line="254" w:lineRule="auto"/>
        <w:tabs>
          <w:tab w:leader="none" w:pos="2147"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Annual Retainer and Other Fees</w:t>
      </w:r>
      <w:r>
        <w:rPr>
          <w:rFonts w:ascii="Arial" w:cs="Arial" w:eastAsia="Arial" w:hAnsi="Arial"/>
          <w:sz w:val="19"/>
          <w:szCs w:val="19"/>
          <w:color w:val="auto"/>
        </w:rPr>
        <w:t>. Each member of the Board who is not employed by the Company or one of its subsidiaries (a “</w:t>
      </w:r>
      <w:r>
        <w:rPr>
          <w:rFonts w:ascii="Arial" w:cs="Arial" w:eastAsia="Arial" w:hAnsi="Arial"/>
          <w:sz w:val="19"/>
          <w:szCs w:val="19"/>
          <w:u w:val="single" w:color="auto"/>
          <w:color w:val="auto"/>
        </w:rPr>
        <w:t>Non-Employee Director</w:t>
      </w:r>
      <w:r>
        <w:rPr>
          <w:rFonts w:ascii="Arial" w:cs="Arial" w:eastAsia="Arial" w:hAnsi="Arial"/>
          <w:sz w:val="19"/>
          <w:szCs w:val="19"/>
          <w:color w:val="auto"/>
        </w:rPr>
        <w:t>”) shall be entitled to an annual retainer and other fee(s) as follows:</w:t>
      </w:r>
    </w:p>
    <w:p>
      <w:pPr>
        <w:spacing w:after="0" w:line="148" w:lineRule="exact"/>
        <w:rPr>
          <w:sz w:val="20"/>
          <w:szCs w:val="20"/>
          <w:color w:val="auto"/>
        </w:rPr>
      </w:pPr>
    </w:p>
    <w:p>
      <w:pPr>
        <w:jc w:val="both"/>
        <w:ind w:left="100" w:firstLine="1743"/>
        <w:spacing w:after="0" w:line="257" w:lineRule="auto"/>
        <w:rPr>
          <w:sz w:val="20"/>
          <w:szCs w:val="20"/>
          <w:color w:val="auto"/>
        </w:rPr>
      </w:pPr>
      <w:r>
        <w:rPr>
          <w:rFonts w:ascii="Arial" w:cs="Arial" w:eastAsia="Arial" w:hAnsi="Arial"/>
          <w:sz w:val="18"/>
          <w:szCs w:val="18"/>
          <w:color w:val="auto"/>
        </w:rPr>
        <w:t>a. The annual retainer fee for service on the Board shall be $85,000 (such amount shall also be referred to as, the “</w:t>
      </w:r>
      <w:r>
        <w:rPr>
          <w:rFonts w:ascii="Arial" w:cs="Arial" w:eastAsia="Arial" w:hAnsi="Arial"/>
          <w:sz w:val="18"/>
          <w:szCs w:val="18"/>
          <w:u w:val="single" w:color="auto"/>
          <w:color w:val="auto"/>
        </w:rPr>
        <w:t>Annual Retainer</w:t>
      </w:r>
      <w:r>
        <w:rPr>
          <w:rFonts w:ascii="Arial" w:cs="Arial" w:eastAsia="Arial" w:hAnsi="Arial"/>
          <w:sz w:val="18"/>
          <w:szCs w:val="18"/>
          <w:color w:val="auto"/>
        </w:rPr>
        <w:t xml:space="preserve">”), with the Annual Retainer payable at the Non-Employee Director’s election </w:t>
      </w:r>
      <w:r>
        <w:rPr>
          <w:rFonts w:ascii="Arial" w:cs="Arial" w:eastAsia="Arial" w:hAnsi="Arial"/>
          <w:sz w:val="18"/>
          <w:szCs w:val="18"/>
          <w:i w:val="1"/>
          <w:iCs w:val="1"/>
          <w:color w:val="auto"/>
        </w:rPr>
        <w:t>either</w:t>
      </w:r>
      <w:r>
        <w:rPr>
          <w:rFonts w:ascii="Arial" w:cs="Arial" w:eastAsia="Arial" w:hAnsi="Arial"/>
          <w:sz w:val="18"/>
          <w:szCs w:val="18"/>
          <w:color w:val="auto"/>
        </w:rPr>
        <w:t xml:space="preserve"> 100% in fully vested Common Stock granted under the Plan (valued based on the Fair Market Value of the Common Stock on the date of grant), 100% in cash, </w:t>
      </w:r>
      <w:r>
        <w:rPr>
          <w:rFonts w:ascii="Arial" w:cs="Arial" w:eastAsia="Arial" w:hAnsi="Arial"/>
          <w:sz w:val="18"/>
          <w:szCs w:val="18"/>
          <w:i w:val="1"/>
          <w:iCs w:val="1"/>
          <w:color w:val="auto"/>
        </w:rPr>
        <w:t>or</w:t>
      </w:r>
      <w:r>
        <w:rPr>
          <w:rFonts w:ascii="Arial" w:cs="Arial" w:eastAsia="Arial" w:hAnsi="Arial"/>
          <w:sz w:val="18"/>
          <w:szCs w:val="18"/>
          <w:color w:val="auto"/>
        </w:rPr>
        <w:t xml:space="preserve"> 50% in fully vested Common Stock granted under the Plan and 50% in cash (if no election is made, the Annual Retainer will be paid 100% in cash);</w:t>
      </w:r>
    </w:p>
    <w:p>
      <w:pPr>
        <w:spacing w:after="0" w:line="139" w:lineRule="exact"/>
        <w:rPr>
          <w:sz w:val="20"/>
          <w:szCs w:val="20"/>
          <w:color w:val="auto"/>
        </w:rPr>
      </w:pPr>
    </w:p>
    <w:tbl>
      <w:tblPr>
        <w:tblLayout w:type="fixed"/>
        <w:tblInd w:w="100" w:type="dxa"/>
        <w:tblCellMar>
          <w:top w:w="0" w:type="dxa"/>
          <w:left w:w="0" w:type="dxa"/>
          <w:bottom w:w="0" w:type="dxa"/>
          <w:right w:w="0" w:type="dxa"/>
        </w:tblCellMar>
      </w:tblPr>
      <w:tr>
        <w:trPr>
          <w:trHeight w:val="218"/>
        </w:trPr>
        <w:tc>
          <w:tcPr>
            <w:tcW w:w="1620" w:type="dxa"/>
            <w:vAlign w:val="bottom"/>
          </w:tcPr>
          <w:p>
            <w:pPr>
              <w:spacing w:after="0"/>
              <w:rPr>
                <w:sz w:val="18"/>
                <w:szCs w:val="18"/>
                <w:color w:val="auto"/>
              </w:rPr>
            </w:pPr>
          </w:p>
        </w:tc>
        <w:tc>
          <w:tcPr>
            <w:tcW w:w="1520" w:type="dxa"/>
            <w:vAlign w:val="bottom"/>
            <w:gridSpan w:val="3"/>
          </w:tcPr>
          <w:p>
            <w:pPr>
              <w:ind w:left="120"/>
              <w:spacing w:after="0"/>
              <w:rPr>
                <w:sz w:val="20"/>
                <w:szCs w:val="20"/>
                <w:color w:val="auto"/>
              </w:rPr>
            </w:pPr>
            <w:r>
              <w:rPr>
                <w:rFonts w:ascii="Arial" w:cs="Arial" w:eastAsia="Arial" w:hAnsi="Arial"/>
                <w:sz w:val="19"/>
                <w:szCs w:val="19"/>
                <w:color w:val="auto"/>
              </w:rPr>
              <w:t>b.</w:t>
            </w:r>
          </w:p>
        </w:tc>
        <w:tc>
          <w:tcPr>
            <w:tcW w:w="340" w:type="dxa"/>
            <w:vAlign w:val="bottom"/>
          </w:tcPr>
          <w:p>
            <w:pPr>
              <w:spacing w:after="0"/>
              <w:rPr>
                <w:sz w:val="18"/>
                <w:szCs w:val="18"/>
                <w:color w:val="auto"/>
              </w:rPr>
            </w:pPr>
          </w:p>
        </w:tc>
        <w:tc>
          <w:tcPr>
            <w:tcW w:w="7860" w:type="dxa"/>
            <w:vAlign w:val="bottom"/>
            <w:gridSpan w:val="6"/>
          </w:tcPr>
          <w:p>
            <w:pPr>
              <w:ind w:left="160"/>
              <w:spacing w:after="0"/>
              <w:rPr>
                <w:sz w:val="20"/>
                <w:szCs w:val="20"/>
                <w:color w:val="auto"/>
              </w:rPr>
            </w:pPr>
            <w:r>
              <w:rPr>
                <w:rFonts w:ascii="Arial" w:cs="Arial" w:eastAsia="Arial" w:hAnsi="Arial"/>
                <w:sz w:val="19"/>
                <w:szCs w:val="19"/>
                <w:color w:val="auto"/>
                <w:w w:val="92"/>
              </w:rPr>
              <w:t>The annual retainer fee for service as Chair of the Audit Committee shall be an additional $20,000,</w:t>
            </w:r>
          </w:p>
        </w:tc>
      </w:tr>
      <w:tr>
        <w:trPr>
          <w:trHeight w:val="195"/>
        </w:trPr>
        <w:tc>
          <w:tcPr>
            <w:tcW w:w="3140" w:type="dxa"/>
            <w:vAlign w:val="bottom"/>
            <w:gridSpan w:val="4"/>
          </w:tcPr>
          <w:p>
            <w:pPr>
              <w:spacing w:after="0" w:line="195" w:lineRule="exact"/>
              <w:rPr>
                <w:sz w:val="20"/>
                <w:szCs w:val="20"/>
                <w:color w:val="auto"/>
              </w:rPr>
            </w:pPr>
            <w:r>
              <w:rPr>
                <w:rFonts w:ascii="Arial" w:cs="Arial" w:eastAsia="Arial" w:hAnsi="Arial"/>
                <w:sz w:val="19"/>
                <w:szCs w:val="19"/>
                <w:color w:val="auto"/>
                <w:w w:val="94"/>
              </w:rPr>
              <w:t>payable in cash (the “Audit Chair Fee”);</w:t>
            </w: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395"/>
        </w:trPr>
        <w:tc>
          <w:tcPr>
            <w:tcW w:w="1620" w:type="dxa"/>
            <w:vAlign w:val="bottom"/>
          </w:tcPr>
          <w:p>
            <w:pPr>
              <w:spacing w:after="0"/>
              <w:rPr>
                <w:sz w:val="24"/>
                <w:szCs w:val="24"/>
                <w:color w:val="auto"/>
              </w:rPr>
            </w:pPr>
          </w:p>
        </w:tc>
        <w:tc>
          <w:tcPr>
            <w:tcW w:w="1220" w:type="dxa"/>
            <w:vAlign w:val="bottom"/>
            <w:tcBorders>
              <w:top w:val="single" w:sz="8" w:color="auto"/>
            </w:tcBorders>
            <w:gridSpan w:val="2"/>
          </w:tcPr>
          <w:p>
            <w:pPr>
              <w:ind w:left="120"/>
              <w:spacing w:after="0"/>
              <w:rPr>
                <w:sz w:val="20"/>
                <w:szCs w:val="20"/>
                <w:color w:val="auto"/>
              </w:rPr>
            </w:pPr>
            <w:r>
              <w:rPr>
                <w:rFonts w:ascii="Arial" w:cs="Arial" w:eastAsia="Arial" w:hAnsi="Arial"/>
                <w:sz w:val="19"/>
                <w:szCs w:val="19"/>
                <w:color w:val="auto"/>
              </w:rPr>
              <w:t>c.</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60" w:type="dxa"/>
            <w:vAlign w:val="bottom"/>
            <w:gridSpan w:val="6"/>
          </w:tcPr>
          <w:p>
            <w:pPr>
              <w:ind w:left="140"/>
              <w:spacing w:after="0"/>
              <w:rPr>
                <w:sz w:val="20"/>
                <w:szCs w:val="20"/>
                <w:color w:val="auto"/>
              </w:rPr>
            </w:pPr>
            <w:r>
              <w:rPr>
                <w:rFonts w:ascii="Arial" w:cs="Arial" w:eastAsia="Arial" w:hAnsi="Arial"/>
                <w:sz w:val="19"/>
                <w:szCs w:val="19"/>
                <w:color w:val="auto"/>
                <w:w w:val="93"/>
              </w:rPr>
              <w:t>The annual retainer fee for service as Chair of the Compensation Committee shall be an additional</w:t>
            </w:r>
          </w:p>
        </w:tc>
      </w:tr>
      <w:tr>
        <w:trPr>
          <w:trHeight w:val="195"/>
        </w:trPr>
        <w:tc>
          <w:tcPr>
            <w:tcW w:w="11340" w:type="dxa"/>
            <w:vAlign w:val="bottom"/>
            <w:gridSpan w:val="11"/>
          </w:tcPr>
          <w:p>
            <w:pPr>
              <w:spacing w:after="0" w:line="195" w:lineRule="exact"/>
              <w:rPr>
                <w:sz w:val="20"/>
                <w:szCs w:val="20"/>
                <w:color w:val="auto"/>
              </w:rPr>
            </w:pPr>
            <w:r>
              <w:rPr>
                <w:rFonts w:ascii="Arial" w:cs="Arial" w:eastAsia="Arial" w:hAnsi="Arial"/>
                <w:sz w:val="19"/>
                <w:szCs w:val="19"/>
                <w:color w:val="auto"/>
              </w:rPr>
              <w:t>$15,000, payable in cash (the “Compensation Chair Fee”);</w:t>
            </w:r>
          </w:p>
        </w:tc>
      </w:tr>
      <w:tr>
        <w:trPr>
          <w:trHeight w:val="20"/>
        </w:trPr>
        <w:tc>
          <w:tcPr>
            <w:tcW w:w="1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95"/>
        </w:trPr>
        <w:tc>
          <w:tcPr>
            <w:tcW w:w="162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9"/>
                <w:szCs w:val="19"/>
                <w:color w:val="auto"/>
              </w:rPr>
              <w:t>d.</w:t>
            </w:r>
          </w:p>
        </w:tc>
        <w:tc>
          <w:tcPr>
            <w:tcW w:w="80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7860" w:type="dxa"/>
            <w:vAlign w:val="bottom"/>
            <w:gridSpan w:val="6"/>
          </w:tcPr>
          <w:p>
            <w:pPr>
              <w:ind w:left="160"/>
              <w:spacing w:after="0"/>
              <w:rPr>
                <w:sz w:val="20"/>
                <w:szCs w:val="20"/>
                <w:color w:val="auto"/>
              </w:rPr>
            </w:pPr>
            <w:r>
              <w:rPr>
                <w:rFonts w:ascii="Arial" w:cs="Arial" w:eastAsia="Arial" w:hAnsi="Arial"/>
                <w:sz w:val="19"/>
                <w:szCs w:val="19"/>
                <w:color w:val="auto"/>
                <w:w w:val="90"/>
              </w:rPr>
              <w:t>The annual retainer fee for service as a Chair of a committee of the Board (other than the Audit or the</w:t>
            </w:r>
          </w:p>
        </w:tc>
      </w:tr>
      <w:tr>
        <w:trPr>
          <w:trHeight w:val="195"/>
        </w:trPr>
        <w:tc>
          <w:tcPr>
            <w:tcW w:w="11340" w:type="dxa"/>
            <w:vAlign w:val="bottom"/>
            <w:gridSpan w:val="11"/>
          </w:tcPr>
          <w:p>
            <w:pPr>
              <w:spacing w:after="0" w:line="195" w:lineRule="exact"/>
              <w:rPr>
                <w:sz w:val="20"/>
                <w:szCs w:val="20"/>
                <w:color w:val="auto"/>
              </w:rPr>
            </w:pPr>
            <w:r>
              <w:rPr>
                <w:rFonts w:ascii="Arial" w:cs="Arial" w:eastAsia="Arial" w:hAnsi="Arial"/>
                <w:sz w:val="19"/>
                <w:szCs w:val="19"/>
                <w:color w:val="auto"/>
              </w:rPr>
              <w:t>Compensation Committee) shall be an additional $10,000, payable in cash (the “Other Chair Fee”);</w:t>
            </w:r>
          </w:p>
        </w:tc>
      </w:tr>
      <w:tr>
        <w:trPr>
          <w:trHeight w:val="20"/>
        </w:trPr>
        <w:tc>
          <w:tcPr>
            <w:tcW w:w="16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95"/>
        </w:trPr>
        <w:tc>
          <w:tcPr>
            <w:tcW w:w="162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9"/>
                <w:szCs w:val="19"/>
                <w:color w:val="auto"/>
              </w:rPr>
              <w:t>e.</w:t>
            </w:r>
          </w:p>
        </w:tc>
        <w:tc>
          <w:tcPr>
            <w:tcW w:w="340" w:type="dxa"/>
            <w:vAlign w:val="bottom"/>
          </w:tcPr>
          <w:p>
            <w:pPr>
              <w:spacing w:after="0"/>
              <w:rPr>
                <w:sz w:val="24"/>
                <w:szCs w:val="24"/>
                <w:color w:val="auto"/>
              </w:rPr>
            </w:pPr>
          </w:p>
        </w:tc>
        <w:tc>
          <w:tcPr>
            <w:tcW w:w="7860" w:type="dxa"/>
            <w:vAlign w:val="bottom"/>
            <w:gridSpan w:val="6"/>
          </w:tcPr>
          <w:p>
            <w:pPr>
              <w:ind w:left="140"/>
              <w:spacing w:after="0"/>
              <w:rPr>
                <w:sz w:val="20"/>
                <w:szCs w:val="20"/>
                <w:color w:val="auto"/>
              </w:rPr>
            </w:pPr>
            <w:r>
              <w:rPr>
                <w:rFonts w:ascii="Arial" w:cs="Arial" w:eastAsia="Arial" w:hAnsi="Arial"/>
                <w:sz w:val="19"/>
                <w:szCs w:val="19"/>
                <w:color w:val="auto"/>
                <w:w w:val="92"/>
              </w:rPr>
              <w:t>The annual retainer fee for service as a Non-Employee Director on the Audit Committee shall be an</w:t>
            </w:r>
          </w:p>
        </w:tc>
      </w:tr>
      <w:tr>
        <w:trPr>
          <w:trHeight w:val="195"/>
        </w:trPr>
        <w:tc>
          <w:tcPr>
            <w:tcW w:w="11340" w:type="dxa"/>
            <w:vAlign w:val="bottom"/>
            <w:gridSpan w:val="11"/>
          </w:tcPr>
          <w:p>
            <w:pPr>
              <w:spacing w:after="0" w:line="195" w:lineRule="exact"/>
              <w:rPr>
                <w:sz w:val="20"/>
                <w:szCs w:val="20"/>
                <w:color w:val="auto"/>
              </w:rPr>
            </w:pPr>
            <w:r>
              <w:rPr>
                <w:rFonts w:ascii="Arial" w:cs="Arial" w:eastAsia="Arial" w:hAnsi="Arial"/>
                <w:sz w:val="19"/>
                <w:szCs w:val="19"/>
                <w:color w:val="auto"/>
              </w:rPr>
              <w:t>additional $10,000, payable in cash (the “Audit Committee Service Fee”);</w:t>
            </w:r>
          </w:p>
        </w:tc>
      </w:tr>
      <w:tr>
        <w:trPr>
          <w:trHeight w:val="20"/>
        </w:trPr>
        <w:tc>
          <w:tcPr>
            <w:tcW w:w="16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395"/>
        </w:trPr>
        <w:tc>
          <w:tcPr>
            <w:tcW w:w="162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9"/>
                <w:szCs w:val="19"/>
                <w:color w:val="auto"/>
              </w:rPr>
              <w:t>f.</w:t>
            </w:r>
          </w:p>
        </w:tc>
        <w:tc>
          <w:tcPr>
            <w:tcW w:w="340" w:type="dxa"/>
            <w:vAlign w:val="bottom"/>
          </w:tcPr>
          <w:p>
            <w:pPr>
              <w:spacing w:after="0"/>
              <w:rPr>
                <w:sz w:val="24"/>
                <w:szCs w:val="24"/>
                <w:color w:val="auto"/>
              </w:rPr>
            </w:pPr>
          </w:p>
        </w:tc>
        <w:tc>
          <w:tcPr>
            <w:tcW w:w="7860" w:type="dxa"/>
            <w:vAlign w:val="bottom"/>
            <w:gridSpan w:val="6"/>
          </w:tcPr>
          <w:p>
            <w:pPr>
              <w:ind w:left="120"/>
              <w:spacing w:after="0"/>
              <w:rPr>
                <w:sz w:val="20"/>
                <w:szCs w:val="20"/>
                <w:color w:val="auto"/>
              </w:rPr>
            </w:pPr>
            <w:r>
              <w:rPr>
                <w:rFonts w:ascii="Arial" w:cs="Arial" w:eastAsia="Arial" w:hAnsi="Arial"/>
                <w:sz w:val="19"/>
                <w:szCs w:val="19"/>
                <w:color w:val="auto"/>
                <w:w w:val="89"/>
              </w:rPr>
              <w:t>The annual retainer fee for service as a Non-Employee Director on the Compensation Committee shall</w:t>
            </w:r>
          </w:p>
        </w:tc>
      </w:tr>
      <w:tr>
        <w:trPr>
          <w:trHeight w:val="195"/>
        </w:trPr>
        <w:tc>
          <w:tcPr>
            <w:tcW w:w="11340" w:type="dxa"/>
            <w:vAlign w:val="bottom"/>
            <w:gridSpan w:val="11"/>
          </w:tcPr>
          <w:p>
            <w:pPr>
              <w:spacing w:after="0" w:line="195" w:lineRule="exact"/>
              <w:rPr>
                <w:sz w:val="20"/>
                <w:szCs w:val="20"/>
                <w:color w:val="auto"/>
              </w:rPr>
            </w:pPr>
            <w:r>
              <w:rPr>
                <w:rFonts w:ascii="Arial" w:cs="Arial" w:eastAsia="Arial" w:hAnsi="Arial"/>
                <w:sz w:val="19"/>
                <w:szCs w:val="19"/>
                <w:color w:val="auto"/>
              </w:rPr>
              <w:t>be an additional $7,500, payable in cash (the “Compensation Committee Service Fee”);</w:t>
            </w:r>
          </w:p>
        </w:tc>
      </w:tr>
      <w:tr>
        <w:trPr>
          <w:trHeight w:val="20"/>
        </w:trPr>
        <w:tc>
          <w:tcPr>
            <w:tcW w:w="16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00" w:type="dxa"/>
            <w:vAlign w:val="bottom"/>
            <w:gridSpan w:val="4"/>
            <w:shd w:val="clear" w:color="auto" w:fill="000000"/>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r>
      <w:tr>
        <w:trPr>
          <w:trHeight w:val="411"/>
        </w:trPr>
        <w:tc>
          <w:tcPr>
            <w:tcW w:w="1620" w:type="dxa"/>
            <w:vAlign w:val="bottom"/>
          </w:tcPr>
          <w:p>
            <w:pPr>
              <w:spacing w:after="0"/>
              <w:rPr>
                <w:sz w:val="24"/>
                <w:szCs w:val="24"/>
                <w:color w:val="auto"/>
              </w:rPr>
            </w:pPr>
          </w:p>
        </w:tc>
        <w:tc>
          <w:tcPr>
            <w:tcW w:w="1520" w:type="dxa"/>
            <w:vAlign w:val="bottom"/>
            <w:gridSpan w:val="3"/>
          </w:tcPr>
          <w:p>
            <w:pPr>
              <w:ind w:left="120"/>
              <w:spacing w:after="0"/>
              <w:rPr>
                <w:sz w:val="20"/>
                <w:szCs w:val="20"/>
                <w:color w:val="auto"/>
              </w:rPr>
            </w:pPr>
            <w:r>
              <w:rPr>
                <w:rFonts w:ascii="Arial" w:cs="Arial" w:eastAsia="Arial" w:hAnsi="Arial"/>
                <w:sz w:val="19"/>
                <w:szCs w:val="19"/>
                <w:color w:val="auto"/>
              </w:rPr>
              <w:t>g.</w:t>
            </w:r>
          </w:p>
        </w:tc>
        <w:tc>
          <w:tcPr>
            <w:tcW w:w="340" w:type="dxa"/>
            <w:vAlign w:val="bottom"/>
          </w:tcPr>
          <w:p>
            <w:pPr>
              <w:spacing w:after="0"/>
              <w:rPr>
                <w:sz w:val="24"/>
                <w:szCs w:val="24"/>
                <w:color w:val="auto"/>
              </w:rPr>
            </w:pPr>
          </w:p>
        </w:tc>
        <w:tc>
          <w:tcPr>
            <w:tcW w:w="7860" w:type="dxa"/>
            <w:vAlign w:val="bottom"/>
            <w:gridSpan w:val="6"/>
          </w:tcPr>
          <w:p>
            <w:pPr>
              <w:ind w:left="160"/>
              <w:spacing w:after="0"/>
              <w:rPr>
                <w:sz w:val="20"/>
                <w:szCs w:val="20"/>
                <w:color w:val="auto"/>
              </w:rPr>
            </w:pPr>
            <w:r>
              <w:rPr>
                <w:rFonts w:ascii="Arial" w:cs="Arial" w:eastAsia="Arial" w:hAnsi="Arial"/>
                <w:sz w:val="19"/>
                <w:szCs w:val="19"/>
                <w:color w:val="auto"/>
                <w:w w:val="92"/>
              </w:rPr>
              <w:t>The annual retainer fee for service as a Non-Employee Director on a committee of the Board other</w:t>
            </w:r>
          </w:p>
        </w:tc>
      </w:tr>
    </w:tbl>
    <w:p>
      <w:pPr>
        <w:ind w:left="100"/>
        <w:spacing w:after="0"/>
        <w:rPr>
          <w:sz w:val="20"/>
          <w:szCs w:val="20"/>
          <w:color w:val="auto"/>
        </w:rPr>
      </w:pPr>
      <w:r>
        <w:rPr>
          <w:rFonts w:ascii="Arial" w:cs="Arial" w:eastAsia="Arial" w:hAnsi="Arial"/>
          <w:sz w:val="19"/>
          <w:szCs w:val="19"/>
          <w:color w:val="auto"/>
        </w:rPr>
        <w:t>than the Audit or Compensation Committee shall be an additional $5,000, payable in cash (the “</w:t>
      </w:r>
      <w:r>
        <w:rPr>
          <w:rFonts w:ascii="Arial" w:cs="Arial" w:eastAsia="Arial" w:hAnsi="Arial"/>
          <w:sz w:val="19"/>
          <w:szCs w:val="19"/>
          <w:u w:val="single" w:color="auto"/>
          <w:color w:val="auto"/>
        </w:rPr>
        <w:t>Other Committee Service Fee</w:t>
      </w:r>
      <w:r>
        <w:rPr>
          <w:rFonts w:ascii="Arial" w:cs="Arial" w:eastAsia="Arial" w:hAnsi="Arial"/>
          <w:sz w:val="19"/>
          <w:szCs w:val="19"/>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446405</wp:posOffset>
            </wp:positionV>
            <wp:extent cx="730504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2">
                      <a:extLst>
                        <a:ext uri="{28A0092B-C50C-407E-A947-70E740481C1C}"/>
                      </a:extLst>
                    </a:blip>
                    <a:srcRect/>
                    <a:stretch>
                      <a:fillRect/>
                    </a:stretch>
                  </pic:blipFill>
                  <pic:spPr bwMode="auto">
                    <a:xfrm>
                      <a:off x="0" y="0"/>
                      <a:ext cx="730504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12" w:name="page113"/>
    <w:bookmarkEnd w:id="112"/>
    <w:p>
      <w:pPr>
        <w:ind w:left="100" w:right="20" w:firstLine="1743"/>
        <w:spacing w:after="0" w:line="254" w:lineRule="auto"/>
        <w:rPr>
          <w:sz w:val="20"/>
          <w:szCs w:val="20"/>
          <w:color w:val="auto"/>
        </w:rPr>
      </w:pPr>
      <w:r>
        <w:rPr>
          <w:rFonts w:ascii="Arial" w:cs="Arial" w:eastAsia="Arial" w:hAnsi="Arial"/>
          <w:sz w:val="19"/>
          <w:szCs w:val="19"/>
          <w:color w:val="auto"/>
        </w:rPr>
        <w:t>h. The Board leadership fee for service as the Non-Executive Chairman of the Board shall be an additional $50,000, payable in cash (the “Non-Executive Chairman Fee”); and</w:t>
      </w:r>
    </w:p>
    <w:p>
      <w:pPr>
        <w:spacing w:after="0" w:line="148" w:lineRule="exact"/>
        <w:rPr>
          <w:sz w:val="20"/>
          <w:szCs w:val="20"/>
          <w:color w:val="auto"/>
        </w:rPr>
      </w:pPr>
    </w:p>
    <w:p>
      <w:pPr>
        <w:ind w:left="100" w:right="20" w:firstLine="1743"/>
        <w:spacing w:after="0" w:line="254" w:lineRule="auto"/>
        <w:rPr>
          <w:sz w:val="20"/>
          <w:szCs w:val="20"/>
          <w:color w:val="auto"/>
        </w:rPr>
      </w:pPr>
      <w:r>
        <w:rPr>
          <w:rFonts w:ascii="Arial" w:cs="Arial" w:eastAsia="Arial" w:hAnsi="Arial"/>
          <w:sz w:val="19"/>
          <w:szCs w:val="19"/>
          <w:color w:val="auto"/>
        </w:rPr>
        <w:t>i. The Board leadership fee for service as the Lead Director of the Board shall be an additional $50,000 (the “</w:t>
      </w:r>
      <w:r>
        <w:rPr>
          <w:rFonts w:ascii="Arial" w:cs="Arial" w:eastAsia="Arial" w:hAnsi="Arial"/>
          <w:sz w:val="19"/>
          <w:szCs w:val="19"/>
          <w:u w:val="single" w:color="auto"/>
          <w:color w:val="auto"/>
        </w:rPr>
        <w:t>Lead Director Fee</w:t>
      </w:r>
      <w:r>
        <w:rPr>
          <w:rFonts w:ascii="Arial" w:cs="Arial" w:eastAsia="Arial" w:hAnsi="Arial"/>
          <w:sz w:val="19"/>
          <w:szCs w:val="19"/>
          <w:color w:val="auto"/>
        </w:rPr>
        <w:t>,” and together with the fees in clauses (b) through (h), the “</w:t>
      </w:r>
      <w:r>
        <w:rPr>
          <w:rFonts w:ascii="Arial" w:cs="Arial" w:eastAsia="Arial" w:hAnsi="Arial"/>
          <w:sz w:val="19"/>
          <w:szCs w:val="19"/>
          <w:u w:val="single" w:color="auto"/>
          <w:color w:val="auto"/>
        </w:rPr>
        <w:t>Other Fees</w:t>
      </w:r>
      <w:r>
        <w:rPr>
          <w:rFonts w:ascii="Arial" w:cs="Arial" w:eastAsia="Arial" w:hAnsi="Arial"/>
          <w:sz w:val="19"/>
          <w:szCs w:val="19"/>
          <w:color w:val="auto"/>
        </w:rPr>
        <w:t>”).</w:t>
      </w:r>
    </w:p>
    <w:p>
      <w:pPr>
        <w:spacing w:after="0" w:line="148" w:lineRule="exact"/>
        <w:rPr>
          <w:sz w:val="20"/>
          <w:szCs w:val="20"/>
          <w:color w:val="auto"/>
        </w:rPr>
      </w:pPr>
    </w:p>
    <w:p>
      <w:pPr>
        <w:ind w:firstLine="1760"/>
        <w:spacing w:after="0" w:line="254" w:lineRule="auto"/>
        <w:rPr>
          <w:sz w:val="20"/>
          <w:szCs w:val="20"/>
          <w:color w:val="auto"/>
        </w:rPr>
      </w:pPr>
      <w:r>
        <w:rPr>
          <w:rFonts w:ascii="Arial" w:cs="Arial" w:eastAsia="Arial" w:hAnsi="Arial"/>
          <w:sz w:val="19"/>
          <w:szCs w:val="19"/>
          <w:color w:val="auto"/>
        </w:rPr>
        <w:t>In no event shall a Non-Employee Director receive a fee pursuant to clause (e), (f) or (g) with respect to a committee that the Non-Employee Director serves as its Chair for the applicable year.</w:t>
      </w:r>
    </w:p>
    <w:p>
      <w:pPr>
        <w:spacing w:after="0" w:line="148" w:lineRule="exact"/>
        <w:rPr>
          <w:sz w:val="20"/>
          <w:szCs w:val="20"/>
          <w:color w:val="auto"/>
        </w:rPr>
      </w:pPr>
    </w:p>
    <w:p>
      <w:pPr>
        <w:jc w:val="both"/>
        <w:ind w:firstLine="874"/>
        <w:spacing w:after="0" w:line="254" w:lineRule="auto"/>
        <w:tabs>
          <w:tab w:leader="none" w:pos="21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Timing of Payment of Annual Retainer and Other Fees</w:t>
      </w:r>
      <w:r>
        <w:rPr>
          <w:rFonts w:ascii="Arial" w:cs="Arial" w:eastAsia="Arial" w:hAnsi="Arial"/>
          <w:sz w:val="18"/>
          <w:szCs w:val="18"/>
          <w:color w:val="auto"/>
        </w:rPr>
        <w:t>. The Annual Retainer and Other Fees payable hereunder are intended to cover service from one regular annual stockholders meeting to the next and, unless a deferral election is made as provided below, the Annual Retainer and Other Fees shall be paid quarterly in arrears in equal installments following the date of the Company’s annual stockholders meeting, without any requirement of additional Board action in connection therewith. The Annual Retainer and Other Fees shall be subject to the Non-Employee Director’s continued service on the Board on each applicable payment date.</w:t>
      </w:r>
    </w:p>
    <w:p>
      <w:pPr>
        <w:spacing w:after="0" w:line="148" w:lineRule="exact"/>
        <w:rPr>
          <w:rFonts w:ascii="Arial" w:cs="Arial" w:eastAsia="Arial" w:hAnsi="Arial"/>
          <w:sz w:val="18"/>
          <w:szCs w:val="18"/>
          <w:color w:val="auto"/>
        </w:rPr>
      </w:pPr>
    </w:p>
    <w:p>
      <w:pPr>
        <w:jc w:val="both"/>
        <w:ind w:firstLine="874"/>
        <w:spacing w:after="0" w:line="265" w:lineRule="auto"/>
        <w:tabs>
          <w:tab w:leader="none" w:pos="2147"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Annual Equity Award</w:t>
      </w:r>
      <w:r>
        <w:rPr>
          <w:rFonts w:ascii="Arial" w:cs="Arial" w:eastAsia="Arial" w:hAnsi="Arial"/>
          <w:sz w:val="17"/>
          <w:szCs w:val="17"/>
          <w:color w:val="auto"/>
        </w:rPr>
        <w:t>. Each Non-Employee Director shall be entitled to an annual grant of Restricted Stock Units under the Plan covering shares of Common Stock with a grant date Fair Market Value of $130,000 (the “</w:t>
      </w:r>
      <w:r>
        <w:rPr>
          <w:rFonts w:ascii="Arial" w:cs="Arial" w:eastAsia="Arial" w:hAnsi="Arial"/>
          <w:sz w:val="17"/>
          <w:szCs w:val="17"/>
          <w:u w:val="single" w:color="auto"/>
          <w:color w:val="auto"/>
        </w:rPr>
        <w:t>Annual Equity Award</w:t>
      </w:r>
      <w:r>
        <w:rPr>
          <w:rFonts w:ascii="Arial" w:cs="Arial" w:eastAsia="Arial" w:hAnsi="Arial"/>
          <w:sz w:val="17"/>
          <w:szCs w:val="17"/>
          <w:color w:val="auto"/>
        </w:rPr>
        <w:t>”). The Annual Equity Award shall be granted as of the next business day after the date of the Company’s annual stockholders meeting, without any requirement of additional Board action in connection therewith, and will vest on the first to occur of (A) date of the Company’s next regular annual stockholders meeting in the year following the year of grant, (B) the date of the Non-Employee Director’s Separation from Service due to death or Disability, or (C) the date of a Change in Control, subject to continued service as a Non-Employee Director through the applicable vesting date. Any Annual Equity Award that does not vest on or prior to the date of the Non-Employee Director’s Separation from Service shall be immediately forfeited. The Restricted Stock Units shall be granted pursuant and subject to the terms set forth in the written agreement previously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141" w:lineRule="exact"/>
        <w:rPr>
          <w:rFonts w:ascii="Arial" w:cs="Arial" w:eastAsia="Arial" w:hAnsi="Arial"/>
          <w:sz w:val="17"/>
          <w:szCs w:val="17"/>
          <w:color w:val="auto"/>
        </w:rPr>
      </w:pPr>
    </w:p>
    <w:p>
      <w:pPr>
        <w:jc w:val="both"/>
        <w:ind w:firstLine="874"/>
        <w:spacing w:after="0" w:line="251" w:lineRule="auto"/>
        <w:tabs>
          <w:tab w:leader="none" w:pos="21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 A Non-Employee Director may elect to receive deferred stock units (“</w:t>
      </w:r>
      <w:r>
        <w:rPr>
          <w:rFonts w:ascii="Arial" w:cs="Arial" w:eastAsia="Arial" w:hAnsi="Arial"/>
          <w:sz w:val="18"/>
          <w:szCs w:val="18"/>
          <w:u w:val="single" w:color="auto"/>
          <w:color w:val="auto"/>
        </w:rPr>
        <w:t>Deferred Stock</w:t>
      </w:r>
      <w:r>
        <w:rPr>
          <w:rFonts w:ascii="Arial" w:cs="Arial" w:eastAsia="Arial" w:hAnsi="Arial"/>
          <w:sz w:val="18"/>
          <w:szCs w:val="18"/>
          <w:color w:val="auto"/>
        </w:rPr>
        <w:t>”) in lieu of (a) some or all of the fully vested stock awards constituting his or her Annual Retainer, (b) all of the cash constituting his or her Other Fees and (iii) some or all of the Restricted Stock Units constituting his or her Annual Equity Award. Any such Deferred Stock that relates to an Annual Equity Award shall be subject to the same vesting provisions as described in Section 4 above and will be immediately forfeited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273685</wp:posOffset>
            </wp:positionV>
            <wp:extent cx="730504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3">
                      <a:extLst>
                        <a:ext uri="{28A0092B-C50C-407E-A947-70E740481C1C}"/>
                      </a:extLst>
                    </a:blip>
                    <a:srcRect/>
                    <a:stretch>
                      <a:fillRect/>
                    </a:stretch>
                  </pic:blipFill>
                  <pic:spPr bwMode="auto">
                    <a:xfrm>
                      <a:off x="0" y="0"/>
                      <a:ext cx="7305040" cy="40005"/>
                    </a:xfrm>
                    <a:prstGeom prst="rect">
                      <a:avLst/>
                    </a:prstGeom>
                    <a:noFill/>
                  </pic:spPr>
                </pic:pic>
              </a:graphicData>
            </a:graphic>
          </wp:anchor>
        </w:drawing>
      </w:r>
    </w:p>
    <w:p>
      <w:pPr>
        <w:sectPr>
          <w:pgSz w:w="11900" w:h="16838" w:orient="portrait"/>
          <w:cols w:equalWidth="0" w:num="1">
            <w:col w:w="11440"/>
          </w:cols>
          <w:pgMar w:left="240" w:top="308" w:right="219" w:bottom="1440" w:gutter="0" w:footer="0" w:header="0"/>
        </w:sectPr>
      </w:pPr>
    </w:p>
    <w:bookmarkStart w:id="113" w:name="page114"/>
    <w:bookmarkEnd w:id="113"/>
    <w:p>
      <w:pPr>
        <w:jc w:val="both"/>
        <w:spacing w:after="0" w:line="254" w:lineRule="auto"/>
        <w:rPr>
          <w:sz w:val="20"/>
          <w:szCs w:val="20"/>
          <w:color w:val="auto"/>
        </w:rPr>
      </w:pPr>
      <w:r>
        <w:rPr>
          <w:rFonts w:ascii="Arial" w:cs="Arial" w:eastAsia="Arial" w:hAnsi="Arial"/>
          <w:sz w:val="18"/>
          <w:szCs w:val="18"/>
          <w:color w:val="auto"/>
        </w:rPr>
        <w:t>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Arial" w:cs="Arial" w:eastAsia="Arial" w:hAnsi="Arial"/>
          <w:sz w:val="18"/>
          <w:szCs w:val="18"/>
          <w:u w:val="single" w:color="auto"/>
          <w:color w:val="auto"/>
        </w:rPr>
        <w:t>Director Deferred Compensation Plan</w:t>
      </w:r>
      <w:r>
        <w:rPr>
          <w:rFonts w:ascii="Arial" w:cs="Arial" w:eastAsia="Arial" w:hAnsi="Arial"/>
          <w:sz w:val="18"/>
          <w:szCs w:val="18"/>
          <w:color w:val="auto"/>
        </w:rPr>
        <w:t>”). All deferral elections must be made in accordance with and are subject to the terms and conditions of the Director Deferred Compensation Plan. As used in this paragraph and in paragraph 5(i), the terms “</w:t>
      </w:r>
      <w:r>
        <w:rPr>
          <w:rFonts w:ascii="Arial" w:cs="Arial" w:eastAsia="Arial" w:hAnsi="Arial"/>
          <w:sz w:val="18"/>
          <w:szCs w:val="18"/>
          <w:u w:val="single" w:color="auto"/>
          <w:color w:val="auto"/>
        </w:rPr>
        <w:t>Separation from Service</w:t>
      </w:r>
      <w:r>
        <w:rPr>
          <w:rFonts w:ascii="Arial" w:cs="Arial" w:eastAsia="Arial" w:hAnsi="Arial"/>
          <w:sz w:val="18"/>
          <w:szCs w:val="18"/>
          <w:color w:val="auto"/>
        </w:rPr>
        <w:t>” and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meanings assigned to them in the Director Deferred Compensation Plan.</w:t>
      </w:r>
    </w:p>
    <w:p>
      <w:pPr>
        <w:spacing w:after="0" w:line="148" w:lineRule="exact"/>
        <w:rPr>
          <w:sz w:val="20"/>
          <w:szCs w:val="20"/>
          <w:color w:val="auto"/>
        </w:rPr>
      </w:pPr>
    </w:p>
    <w:p>
      <w:pPr>
        <w:jc w:val="both"/>
        <w:ind w:firstLine="874"/>
        <w:spacing w:after="0" w:line="270" w:lineRule="auto"/>
        <w:tabs>
          <w:tab w:leader="none" w:pos="2147"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Directors Commencing Service After the Annual Stockholders Meeting; Partial Year Roles</w:t>
      </w:r>
      <w:r>
        <w:rPr>
          <w:rFonts w:ascii="Arial" w:cs="Arial" w:eastAsia="Arial" w:hAnsi="Arial"/>
          <w:sz w:val="17"/>
          <w:szCs w:val="17"/>
          <w:color w:val="auto"/>
        </w:rPr>
        <w:t>. If a Non-Employee Director commences service on the Board after the date of the Company’s regular annual stockholders meeting, the Non-Employee Director will receive a pro-rated portion the Annual Retainer, Other Fees, as applicable, and the Annual Equity Grant (based on the numbers of whole months elapsed since the most recent regular annual stockholders meeting). If a Non-Employee Director commences service on a committee of the Board, as the Non-Executive Chairman or as the Lead Director the Board in the middle of a service period, the Board may pro-rate any Other Fees otherwise payable with respect to such service and the payment date shall be within thirty days of such appointment, subject to any deferral elections.</w:t>
      </w:r>
    </w:p>
    <w:p>
      <w:pPr>
        <w:spacing w:after="0" w:line="135" w:lineRule="exact"/>
        <w:rPr>
          <w:rFonts w:ascii="Arial" w:cs="Arial" w:eastAsia="Arial" w:hAnsi="Arial"/>
          <w:sz w:val="17"/>
          <w:szCs w:val="17"/>
          <w:color w:val="auto"/>
        </w:rPr>
      </w:pPr>
    </w:p>
    <w:p>
      <w:pPr>
        <w:ind w:right="20" w:firstLine="874"/>
        <w:spacing w:after="0" w:line="254" w:lineRule="auto"/>
        <w:tabs>
          <w:tab w:leader="none" w:pos="214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Effect of Other Plan Provisions</w:t>
      </w:r>
      <w:r>
        <w:rPr>
          <w:rFonts w:ascii="Arial" w:cs="Arial" w:eastAsia="Arial" w:hAnsi="Arial"/>
          <w:sz w:val="19"/>
          <w:szCs w:val="19"/>
          <w:color w:val="auto"/>
        </w:rPr>
        <w:t>. All of the provisions of the Plan shall apply to the Awards granted automatically pursuant to this Policy, except to the extent such provisions are inconsistent with this Policy.</w:t>
      </w:r>
    </w:p>
    <w:p>
      <w:pPr>
        <w:spacing w:after="0" w:line="147" w:lineRule="exact"/>
        <w:rPr>
          <w:rFonts w:ascii="Arial" w:cs="Arial" w:eastAsia="Arial" w:hAnsi="Arial"/>
          <w:sz w:val="19"/>
          <w:szCs w:val="19"/>
          <w:color w:val="auto"/>
        </w:rPr>
      </w:pPr>
    </w:p>
    <w:p>
      <w:pPr>
        <w:jc w:val="both"/>
        <w:ind w:firstLine="874"/>
        <w:spacing w:after="0" w:line="239" w:lineRule="auto"/>
        <w:tabs>
          <w:tab w:leader="none" w:pos="214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Policy Subject to Amendment, Modification and Termination</w:t>
      </w:r>
      <w:r>
        <w:rPr>
          <w:rFonts w:ascii="Arial" w:cs="Arial" w:eastAsia="Arial" w:hAnsi="Arial"/>
          <w:sz w:val="19"/>
          <w:szCs w:val="19"/>
          <w:color w:val="auto"/>
        </w:rPr>
        <w:t>. This Policy may be amended, modified or terminated by the Board or Compensation Committee in the future at its sole discretion. Without limiting the generality of the foregoing, the Board or Compensation Committee hereby expressly reserves the authority to terminate this Policy during any year up and until the election of directors at a given annual meeting of stockholders.</w:t>
      </w:r>
    </w:p>
    <w:p>
      <w:pPr>
        <w:spacing w:after="0" w:line="162" w:lineRule="exact"/>
        <w:rPr>
          <w:rFonts w:ascii="Arial" w:cs="Arial" w:eastAsia="Arial" w:hAnsi="Arial"/>
          <w:sz w:val="19"/>
          <w:szCs w:val="19"/>
          <w:color w:val="auto"/>
        </w:rPr>
      </w:pPr>
    </w:p>
    <w:p>
      <w:pPr>
        <w:ind w:left="5020"/>
        <w:spacing w:after="0"/>
        <w:rPr>
          <w:rFonts w:ascii="Arial" w:cs="Arial" w:eastAsia="Arial" w:hAnsi="Arial"/>
          <w:sz w:val="19"/>
          <w:szCs w:val="19"/>
          <w:color w:val="auto"/>
        </w:rPr>
      </w:pPr>
      <w:r>
        <w:rPr>
          <w:rFonts w:ascii="Arial" w:cs="Arial" w:eastAsia="Arial" w:hAnsi="Arial"/>
          <w:sz w:val="19"/>
          <w:szCs w:val="19"/>
          <w:color w:val="auto"/>
        </w:rPr>
        <w:t>*   *   *   *   *</w:t>
      </w:r>
    </w:p>
    <w:p>
      <w:pPr>
        <w:sectPr>
          <w:pgSz w:w="11900" w:h="16838" w:orient="portrait"/>
          <w:cols w:equalWidth="0" w:num="1">
            <w:col w:w="11440"/>
          </w:cols>
          <w:pgMar w:left="240" w:top="308"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5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ind w:left="800"/>
              <w:spacing w:after="0"/>
              <w:rPr>
                <w:sz w:val="20"/>
                <w:szCs w:val="20"/>
                <w:color w:val="auto"/>
              </w:rPr>
            </w:pPr>
            <w:r>
              <w:rPr>
                <w:rFonts w:ascii="Arial" w:cs="Arial" w:eastAsia="Arial" w:hAnsi="Arial"/>
                <w:sz w:val="16"/>
                <w:szCs w:val="16"/>
                <w:b w:val="1"/>
                <w:bCs w:val="1"/>
                <w:color w:val="auto"/>
                <w:w w:val="89"/>
              </w:rPr>
              <w:t>Exhibit 21.1</w:t>
            </w:r>
          </w:p>
        </w:tc>
        <w:tc>
          <w:tcPr>
            <w:tcW w:w="0" w:type="dxa"/>
            <w:vAlign w:val="bottom"/>
          </w:tcPr>
          <w:p>
            <w:pPr>
              <w:spacing w:after="0"/>
              <w:rPr>
                <w:sz w:val="1"/>
                <w:szCs w:val="1"/>
                <w:color w:val="auto"/>
              </w:rPr>
            </w:pPr>
          </w:p>
        </w:tc>
      </w:tr>
      <w:tr>
        <w:trPr>
          <w:trHeight w:val="540"/>
        </w:trPr>
        <w:tc>
          <w:tcPr>
            <w:tcW w:w="3360" w:type="dxa"/>
            <w:vAlign w:val="bottom"/>
          </w:tcPr>
          <w:p>
            <w:pPr>
              <w:spacing w:after="0"/>
              <w:rPr>
                <w:sz w:val="24"/>
                <w:szCs w:val="24"/>
                <w:color w:val="auto"/>
              </w:rPr>
            </w:pPr>
          </w:p>
        </w:tc>
        <w:tc>
          <w:tcPr>
            <w:tcW w:w="8080" w:type="dxa"/>
            <w:vAlign w:val="bottom"/>
            <w:gridSpan w:val="3"/>
          </w:tcPr>
          <w:p>
            <w:pPr>
              <w:ind w:left="1720"/>
              <w:spacing w:after="0"/>
              <w:rPr>
                <w:sz w:val="20"/>
                <w:szCs w:val="20"/>
                <w:color w:val="auto"/>
              </w:rPr>
            </w:pPr>
            <w:r>
              <w:rPr>
                <w:rFonts w:ascii="Arial" w:cs="Arial" w:eastAsia="Arial" w:hAnsi="Arial"/>
                <w:sz w:val="16"/>
                <w:szCs w:val="16"/>
                <w:b w:val="1"/>
                <w:bCs w:val="1"/>
                <w:color w:val="auto"/>
              </w:rPr>
              <w:t>List of Subsidiaries</w:t>
            </w:r>
          </w:p>
        </w:tc>
        <w:tc>
          <w:tcPr>
            <w:tcW w:w="0" w:type="dxa"/>
            <w:vAlign w:val="bottom"/>
          </w:tcPr>
          <w:p>
            <w:pPr>
              <w:spacing w:after="0"/>
              <w:rPr>
                <w:sz w:val="1"/>
                <w:szCs w:val="1"/>
                <w:color w:val="auto"/>
              </w:rPr>
            </w:pPr>
          </w:p>
        </w:tc>
      </w:tr>
      <w:tr>
        <w:trPr>
          <w:trHeight w:val="330"/>
        </w:trPr>
        <w:tc>
          <w:tcPr>
            <w:tcW w:w="33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5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2"/>
                <w:szCs w:val="12"/>
                <w:b w:val="1"/>
                <w:bCs w:val="1"/>
                <w:color w:val="auto"/>
                <w:w w:val="90"/>
              </w:rPr>
              <w:t>State or Country of</w:t>
            </w:r>
          </w:p>
        </w:tc>
        <w:tc>
          <w:tcPr>
            <w:tcW w:w="0" w:type="dxa"/>
            <w:vAlign w:val="bottom"/>
          </w:tcPr>
          <w:p>
            <w:pPr>
              <w:spacing w:after="0"/>
              <w:rPr>
                <w:sz w:val="1"/>
                <w:szCs w:val="1"/>
                <w:color w:val="auto"/>
              </w:rPr>
            </w:pPr>
          </w:p>
        </w:tc>
      </w:tr>
      <w:tr>
        <w:trPr>
          <w:trHeight w:val="148"/>
        </w:trPr>
        <w:tc>
          <w:tcPr>
            <w:tcW w:w="3360" w:type="dxa"/>
            <w:vAlign w:val="bottom"/>
            <w:tcBorders>
              <w:bottom w:val="single" w:sz="8" w:color="auto"/>
            </w:tcBorders>
            <w:vMerge w:val="continue"/>
          </w:tcPr>
          <w:p>
            <w:pPr>
              <w:spacing w:after="0"/>
              <w:rPr>
                <w:sz w:val="12"/>
                <w:szCs w:val="12"/>
                <w:color w:val="auto"/>
              </w:rPr>
            </w:pPr>
          </w:p>
        </w:tc>
        <w:tc>
          <w:tcPr>
            <w:tcW w:w="5560" w:type="dxa"/>
            <w:vAlign w:val="bottom"/>
            <w:tcBorders>
              <w:bottom w:val="single" w:sz="8" w:color="auto"/>
            </w:tcBorders>
          </w:tcPr>
          <w:p>
            <w:pPr>
              <w:spacing w:after="0"/>
              <w:rPr>
                <w:sz w:val="12"/>
                <w:szCs w:val="12"/>
                <w:color w:val="auto"/>
              </w:rPr>
            </w:pPr>
          </w:p>
        </w:tc>
        <w:tc>
          <w:tcPr>
            <w:tcW w:w="900" w:type="dxa"/>
            <w:vAlign w:val="bottom"/>
          </w:tcPr>
          <w:p>
            <w:pPr>
              <w:spacing w:after="0"/>
              <w:rPr>
                <w:sz w:val="12"/>
                <w:szCs w:val="12"/>
                <w:color w:val="auto"/>
              </w:rPr>
            </w:pPr>
          </w:p>
        </w:tc>
        <w:tc>
          <w:tcPr>
            <w:tcW w:w="1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2"/>
                <w:szCs w:val="12"/>
                <w:b w:val="1"/>
                <w:bCs w:val="1"/>
                <w:color w:val="auto"/>
                <w:w w:val="89"/>
              </w:rPr>
              <w:t>Organization</w:t>
            </w:r>
          </w:p>
        </w:tc>
        <w:tc>
          <w:tcPr>
            <w:tcW w:w="0" w:type="dxa"/>
            <w:vAlign w:val="bottom"/>
          </w:tcPr>
          <w:p>
            <w:pPr>
              <w:spacing w:after="0"/>
              <w:rPr>
                <w:sz w:val="1"/>
                <w:szCs w:val="1"/>
                <w:color w:val="auto"/>
              </w:rPr>
            </w:pPr>
          </w:p>
        </w:tc>
      </w:tr>
      <w:tr>
        <w:trPr>
          <w:trHeight w:val="194"/>
        </w:trPr>
        <w:tc>
          <w:tcPr>
            <w:tcW w:w="3360" w:type="dxa"/>
            <w:vAlign w:val="bottom"/>
          </w:tcPr>
          <w:p>
            <w:pPr>
              <w:spacing w:after="0" w:line="179" w:lineRule="exact"/>
              <w:rPr>
                <w:sz w:val="20"/>
                <w:szCs w:val="20"/>
                <w:color w:val="auto"/>
              </w:rPr>
            </w:pPr>
            <w:r>
              <w:rPr>
                <w:rFonts w:ascii="Arial" w:cs="Arial" w:eastAsia="Arial" w:hAnsi="Arial"/>
                <w:sz w:val="16"/>
                <w:szCs w:val="16"/>
                <w:color w:val="auto"/>
              </w:rPr>
              <w:t>Allison Transmission, Inc.</w:t>
            </w:r>
          </w:p>
        </w:tc>
        <w:tc>
          <w:tcPr>
            <w:tcW w:w="5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w w:val="85"/>
              </w:rPr>
              <w:t>Delaware</w:t>
            </w:r>
          </w:p>
        </w:tc>
        <w:tc>
          <w:tcPr>
            <w:tcW w:w="0" w:type="dxa"/>
            <w:vAlign w:val="bottom"/>
          </w:tcPr>
          <w:p>
            <w:pPr>
              <w:spacing w:after="0"/>
              <w:rPr>
                <w:sz w:val="1"/>
                <w:szCs w:val="1"/>
                <w:color w:val="auto"/>
              </w:rPr>
            </w:pPr>
          </w:p>
        </w:tc>
      </w:tr>
    </w:tbl>
    <w:p>
      <w:pPr>
        <w:sectPr>
          <w:pgSz w:w="11900" w:h="16838" w:orient="portrait"/>
          <w:cols w:equalWidth="0" w:num="1">
            <w:col w:w="11440"/>
          </w:cols>
          <w:pgMar w:left="240" w:top="123"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color w:val="auto"/>
        </w:rPr>
        <w:t>Exhibit 23.1</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37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333-180285 and 333-204224) of Allison Transmission Holdings, Inc. of our report dated February 27, 2020 relating to the financial statements and financial statement schedule and the effectiveness of internal control over financial reporting, which appears in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Indianapolis, Indiana</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2020</w:t>
      </w:r>
    </w:p>
    <w:p>
      <w:pPr>
        <w:sectPr>
          <w:pgSz w:w="11900" w:h="16838" w:orient="portrait"/>
          <w:cols w:equalWidth="0" w:num="1">
            <w:col w:w="11440"/>
          </w:cols>
          <w:pgMar w:left="240" w:top="140"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45" w:lineRule="exact"/>
        <w:rPr>
          <w:sz w:val="20"/>
          <w:szCs w:val="20"/>
          <w:color w:val="auto"/>
        </w:rPr>
      </w:pPr>
    </w:p>
    <w:p>
      <w:pPr>
        <w:jc w:val="center"/>
        <w:ind w:left="240" w:right="2800"/>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1" w:lineRule="exact"/>
        <w:rPr>
          <w:sz w:val="20"/>
          <w:szCs w:val="20"/>
          <w:color w:val="auto"/>
        </w:rPr>
      </w:pPr>
    </w:p>
    <w:p>
      <w:pPr>
        <w:ind w:left="766" w:hanging="766"/>
        <w:spacing w:after="0"/>
        <w:tabs>
          <w:tab w:leader="none" w:pos="7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Allison Transmission Holdings, Inc.;</w:t>
      </w:r>
    </w:p>
    <w:p>
      <w:pPr>
        <w:spacing w:after="0" w:line="203" w:lineRule="exact"/>
        <w:rPr>
          <w:rFonts w:ascii="Arial" w:cs="Arial" w:eastAsia="Arial" w:hAnsi="Arial"/>
          <w:sz w:val="16"/>
          <w:szCs w:val="16"/>
          <w:color w:val="auto"/>
        </w:rPr>
      </w:pPr>
    </w:p>
    <w:p>
      <w:pPr>
        <w:ind w:left="766" w:right="300" w:hanging="766"/>
        <w:spacing w:after="0" w:line="298" w:lineRule="auto"/>
        <w:tabs>
          <w:tab w:leader="none" w:pos="766"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766" w:right="300" w:hanging="766"/>
        <w:spacing w:after="0" w:line="264" w:lineRule="auto"/>
        <w:tabs>
          <w:tab w:leader="none" w:pos="7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6"/>
          <w:szCs w:val="16"/>
          <w:color w:val="auto"/>
        </w:rPr>
      </w:pPr>
    </w:p>
    <w:p>
      <w:pPr>
        <w:ind w:left="766" w:right="120" w:hanging="766"/>
        <w:spacing w:after="0" w:line="381" w:lineRule="auto"/>
        <w:tabs>
          <w:tab w:leader="none" w:pos="766"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526" w:right="100" w:hanging="763"/>
        <w:spacing w:after="0" w:line="254" w:lineRule="auto"/>
        <w:tabs>
          <w:tab w:leader="none" w:pos="15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ind w:left="1526" w:right="240" w:hanging="763"/>
        <w:spacing w:after="0" w:line="254" w:lineRule="auto"/>
        <w:tabs>
          <w:tab w:leader="none" w:pos="15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6"/>
          <w:szCs w:val="16"/>
          <w:color w:val="auto"/>
        </w:rPr>
      </w:pPr>
    </w:p>
    <w:p>
      <w:pPr>
        <w:ind w:left="1526" w:right="260" w:hanging="763"/>
        <w:spacing w:after="0" w:line="264" w:lineRule="auto"/>
        <w:tabs>
          <w:tab w:leader="none" w:pos="15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ind w:left="1526" w:right="220" w:hanging="763"/>
        <w:spacing w:after="0" w:line="254" w:lineRule="auto"/>
        <w:tabs>
          <w:tab w:leader="none" w:pos="15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766" w:right="220" w:hanging="766"/>
        <w:spacing w:after="0" w:line="264" w:lineRule="auto"/>
        <w:tabs>
          <w:tab w:leader="none" w:pos="76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526" w:right="440" w:hanging="763"/>
        <w:spacing w:after="0" w:line="264" w:lineRule="auto"/>
        <w:tabs>
          <w:tab w:leader="none" w:pos="15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526" w:right="60" w:hanging="763"/>
        <w:spacing w:after="0" w:line="264" w:lineRule="auto"/>
        <w:tabs>
          <w:tab w:leader="none" w:pos="1526" w:val="left"/>
        </w:tabs>
        <w:numPr>
          <w:ilvl w:val="1"/>
          <w:numId w:val="2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February 27, 2020</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63601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4">
                      <a:extLst>
                        <a:ext uri="{28A0092B-C50C-407E-A947-70E740481C1C}"/>
                      </a:extLst>
                    </a:blip>
                    <a:srcRect/>
                    <a:stretch>
                      <a:fillRect/>
                    </a:stretch>
                  </pic:blipFill>
                  <pic:spPr bwMode="auto">
                    <a:xfrm>
                      <a:off x="0" y="0"/>
                      <a:ext cx="363601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46"/>
          </w:cols>
          <w:pgMar w:left="234" w:top="140"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6"/>
          <w:szCs w:val="16"/>
          <w:color w:val="auto"/>
        </w:rPr>
        <w:t>Exhibit 31.2</w:t>
      </w:r>
    </w:p>
    <w:p>
      <w:pPr>
        <w:spacing w:after="0" w:line="116" w:lineRule="exact"/>
        <w:rPr>
          <w:sz w:val="20"/>
          <w:szCs w:val="20"/>
          <w:color w:val="auto"/>
        </w:rPr>
      </w:pPr>
    </w:p>
    <w:p>
      <w:pPr>
        <w:jc w:val="center"/>
        <w:ind w:left="240" w:right="2800"/>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1" w:lineRule="exact"/>
        <w:rPr>
          <w:sz w:val="20"/>
          <w:szCs w:val="20"/>
          <w:color w:val="auto"/>
        </w:rPr>
      </w:pPr>
    </w:p>
    <w:p>
      <w:pPr>
        <w:ind w:left="766" w:hanging="766"/>
        <w:spacing w:after="0"/>
        <w:tabs>
          <w:tab w:leader="none" w:pos="7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Allison Transmission Holdings, Inc.;</w:t>
      </w:r>
    </w:p>
    <w:p>
      <w:pPr>
        <w:spacing w:after="0" w:line="203" w:lineRule="exact"/>
        <w:rPr>
          <w:rFonts w:ascii="Arial" w:cs="Arial" w:eastAsia="Arial" w:hAnsi="Arial"/>
          <w:sz w:val="16"/>
          <w:szCs w:val="16"/>
          <w:color w:val="auto"/>
        </w:rPr>
      </w:pPr>
    </w:p>
    <w:p>
      <w:pPr>
        <w:ind w:left="766" w:right="300" w:hanging="766"/>
        <w:spacing w:after="0" w:line="298" w:lineRule="auto"/>
        <w:tabs>
          <w:tab w:leader="none" w:pos="766"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766" w:right="300" w:hanging="766"/>
        <w:spacing w:after="0" w:line="264" w:lineRule="auto"/>
        <w:tabs>
          <w:tab w:leader="none" w:pos="7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6"/>
          <w:szCs w:val="16"/>
          <w:color w:val="auto"/>
        </w:rPr>
      </w:pPr>
    </w:p>
    <w:p>
      <w:pPr>
        <w:ind w:left="766" w:right="120" w:hanging="766"/>
        <w:spacing w:after="0" w:line="381" w:lineRule="auto"/>
        <w:tabs>
          <w:tab w:leader="none" w:pos="766"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526" w:right="100" w:hanging="763"/>
        <w:spacing w:after="0" w:line="254" w:lineRule="auto"/>
        <w:tabs>
          <w:tab w:leader="none" w:pos="15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ind w:left="1526" w:right="240" w:hanging="763"/>
        <w:spacing w:after="0" w:line="254" w:lineRule="auto"/>
        <w:tabs>
          <w:tab w:leader="none" w:pos="15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6"/>
          <w:szCs w:val="16"/>
          <w:color w:val="auto"/>
        </w:rPr>
      </w:pPr>
    </w:p>
    <w:p>
      <w:pPr>
        <w:ind w:left="1526" w:right="260" w:hanging="763"/>
        <w:spacing w:after="0" w:line="264" w:lineRule="auto"/>
        <w:tabs>
          <w:tab w:leader="none" w:pos="15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ind w:left="1526" w:right="220" w:hanging="763"/>
        <w:spacing w:after="0" w:line="254" w:lineRule="auto"/>
        <w:tabs>
          <w:tab w:leader="none" w:pos="15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766" w:right="220" w:hanging="766"/>
        <w:spacing w:after="0" w:line="264" w:lineRule="auto"/>
        <w:tabs>
          <w:tab w:leader="none" w:pos="7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526" w:right="440" w:hanging="763"/>
        <w:spacing w:after="0" w:line="264" w:lineRule="auto"/>
        <w:tabs>
          <w:tab w:leader="none" w:pos="15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526" w:right="60" w:hanging="763"/>
        <w:spacing w:after="0" w:line="264" w:lineRule="auto"/>
        <w:tabs>
          <w:tab w:leader="none" w:pos="1526" w:val="left"/>
        </w:tabs>
        <w:numPr>
          <w:ilvl w:val="1"/>
          <w:numId w:val="2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February 27, 2020</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24688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5">
                      <a:extLst>
                        <a:ext uri="{28A0092B-C50C-407E-A947-70E740481C1C}"/>
                      </a:extLst>
                    </a:blip>
                    <a:srcRect/>
                    <a:stretch>
                      <a:fillRect/>
                    </a:stretch>
                  </pic:blipFill>
                  <pic:spPr bwMode="auto">
                    <a:xfrm>
                      <a:off x="0" y="0"/>
                      <a:ext cx="424688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Title:  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46"/>
          </w:cols>
          <w:pgMar w:left="234" w:top="140"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color w:val="auto"/>
        </w:rPr>
        <w:t>Exhibit 32.1</w:t>
      </w: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1"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ind w:left="6" w:right="140" w:firstLine="763"/>
        <w:spacing w:after="0" w:line="251" w:lineRule="auto"/>
        <w:rPr>
          <w:sz w:val="20"/>
          <w:szCs w:val="20"/>
          <w:color w:val="auto"/>
        </w:rPr>
      </w:pPr>
      <w:r>
        <w:rPr>
          <w:rFonts w:ascii="Arial" w:cs="Arial" w:eastAsia="Arial" w:hAnsi="Arial"/>
          <w:sz w:val="16"/>
          <w:szCs w:val="16"/>
          <w:color w:val="auto"/>
        </w:rPr>
        <w:t>In connection with the Annual Report of Allison Transmission Holdings, Inc. (the “Company”) on Form 10-K for the fiscal year ended December 31, 2019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69" w:lineRule="exact"/>
        <w:rPr>
          <w:sz w:val="20"/>
          <w:szCs w:val="20"/>
          <w:color w:val="auto"/>
        </w:rPr>
      </w:pPr>
    </w:p>
    <w:p>
      <w:pPr>
        <w:ind w:left="766" w:hanging="766"/>
        <w:spacing w:after="0"/>
        <w:tabs>
          <w:tab w:leader="none" w:pos="7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66" w:hanging="766"/>
        <w:spacing w:after="0"/>
        <w:tabs>
          <w:tab w:leader="none" w:pos="766"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February 27, 2020</w:t>
      </w:r>
    </w:p>
    <w:p>
      <w:pPr>
        <w:spacing w:after="0" w:line="379"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62839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6">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February 27, 2020</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43941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7">
                      <a:extLst>
                        <a:ext uri="{28A0092B-C50C-407E-A947-70E740481C1C}"/>
                      </a:extLst>
                    </a:blip>
                    <a:srcRect/>
                    <a:stretch>
                      <a:fillRect/>
                    </a:stretch>
                  </pic:blipFill>
                  <pic:spPr bwMode="auto">
                    <a:xfrm>
                      <a:off x="0" y="0"/>
                      <a:ext cx="543941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Title:  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46"/>
      </w:cols>
      <w:pgMar w:left="234" w:top="13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5"/>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Roman"/>
      <w:start w:val="2"/>
    </w:lvl>
  </w:abstractNum>
  <w:abstractNum w:abstractNumId="15">
    <w:nsid w:val="628C895D"/>
    <w:multiLevelType w:val="hybridMultilevel"/>
    <w:lvl w:ilvl="0">
      <w:lvlJc w:val="left"/>
      <w:lvlText w:val="(%1)"/>
      <w:numFmt w:val="lowerRoman"/>
      <w:start w:val="2"/>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4"/>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decimal"/>
      <w:start w:val="6"/>
    </w:lvl>
    <w:lvl w:ilvl="1">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9" Type="http://schemas.openxmlformats.org/officeDocument/2006/relationships/image" Target="media/image134.png"/><Relationship Id="rId167" Type="http://schemas.openxmlformats.org/officeDocument/2006/relationships/image" Target="media/image135.png"/><Relationship Id="rId176" Type="http://schemas.openxmlformats.org/officeDocument/2006/relationships/image" Target="media/image136.png"/><Relationship Id="rId177" Type="http://schemas.openxmlformats.org/officeDocument/2006/relationships/image" Target="media/image137.png"/><Relationship Id="rId178" Type="http://schemas.openxmlformats.org/officeDocument/2006/relationships/image" Target="media/image138.png"/><Relationship Id="rId179" Type="http://schemas.openxmlformats.org/officeDocument/2006/relationships/image" Target="media/image139.png"/><Relationship Id="rId180" Type="http://schemas.openxmlformats.org/officeDocument/2006/relationships/image" Target="media/image140.png"/><Relationship Id="rId181" Type="http://schemas.openxmlformats.org/officeDocument/2006/relationships/image" Target="media/image141.png"/><Relationship Id="rId182" Type="http://schemas.openxmlformats.org/officeDocument/2006/relationships/image" Target="media/image142.png"/><Relationship Id="rId183" Type="http://schemas.openxmlformats.org/officeDocument/2006/relationships/image" Target="media/image143.png"/><Relationship Id="rId184" Type="http://schemas.openxmlformats.org/officeDocument/2006/relationships/image" Target="media/image144.png"/><Relationship Id="rId185" Type="http://schemas.openxmlformats.org/officeDocument/2006/relationships/image" Target="media/image145.png"/><Relationship Id="rId186" Type="http://schemas.openxmlformats.org/officeDocument/2006/relationships/image" Target="media/image146.png"/><Relationship Id="rId187" Type="http://schemas.openxmlformats.org/officeDocument/2006/relationships/image" Target="media/image147.png"/><Relationship Id="rId141" Type="http://schemas.openxmlformats.org/officeDocument/2006/relationships/hyperlink" Target="http://www.sec.gov/Archives/edgar/data/1411207/000119312512184036/d323375dex31.htm" TargetMode="External"/><Relationship Id="rId142" Type="http://schemas.openxmlformats.org/officeDocument/2006/relationships/hyperlink" Target="http://www.sec.gov/Archives/edgar/data/1411207/000119312516594496/d183115dex31.htm" TargetMode="External"/><Relationship Id="rId143" Type="http://schemas.openxmlformats.org/officeDocument/2006/relationships/hyperlink" Target="http://www.sec.gov/Archives/edgar/data/1411207/000119312516594496/d183115dex32.htm" TargetMode="External"/><Relationship Id="rId144" Type="http://schemas.openxmlformats.org/officeDocument/2006/relationships/hyperlink" Target="http://www.sec.gov/Archives/edgar/data/1411207/000119312511166896/dex41.htm" TargetMode="External"/><Relationship Id="rId145" Type="http://schemas.openxmlformats.org/officeDocument/2006/relationships/hyperlink" Target="http://www.sec.gov/Archives/edgar/data/1411207/000119312516718433/d264298dex41.htm" TargetMode="External"/><Relationship Id="rId146" Type="http://schemas.openxmlformats.org/officeDocument/2006/relationships/hyperlink" Target="http://www.sec.gov/Archives/edgar/data/1411207/000119312517294436/d420544dex41.htm" TargetMode="External"/><Relationship Id="rId147" Type="http://schemas.openxmlformats.org/officeDocument/2006/relationships/hyperlink" Target="http://www.sec.gov/Archives/edgar/data/1411207/000119312519092833/d714412dex41.htm" TargetMode="External"/><Relationship Id="rId148" Type="http://schemas.openxmlformats.org/officeDocument/2006/relationships/hyperlink" Target="http://www.sec.gov/Archives/edgar/data/1411207/000119312519092833/d714412dex101.htm" TargetMode="External"/><Relationship Id="rId150" Type="http://schemas.openxmlformats.org/officeDocument/2006/relationships/hyperlink" Target="http://www.sec.gov/Archives/edgar/data/1411207/000119312519267347/d811015dex101.htm" TargetMode="External"/><Relationship Id="rId151" Type="http://schemas.openxmlformats.org/officeDocument/2006/relationships/hyperlink" Target="http://www.sec.gov/Archives/edgar/data/1411207/000119312511071161/dex103.htm" TargetMode="External"/><Relationship Id="rId152" Type="http://schemas.openxmlformats.org/officeDocument/2006/relationships/hyperlink" Target="http://www.sec.gov/Archives/edgar/data/1411207/000119312511071161/dex104.htm" TargetMode="External"/><Relationship Id="rId153" Type="http://schemas.openxmlformats.org/officeDocument/2006/relationships/hyperlink" Target="http://www.sec.gov/Archives/edgar/data/1411207/000119312511071161/dex105.htm" TargetMode="External"/><Relationship Id="rId154" Type="http://schemas.openxmlformats.org/officeDocument/2006/relationships/hyperlink" Target="http://www.sec.gov/Archives/edgar/data/1411207/000119312515117078/d889372ddef14a.htm" TargetMode="External"/><Relationship Id="rId155" Type="http://schemas.openxmlformats.org/officeDocument/2006/relationships/hyperlink" Target="http://www.sec.gov/Archives/edgar/data/1411207/000119312516469168/d107528dex1041.htm" TargetMode="External"/><Relationship Id="rId156" Type="http://schemas.openxmlformats.org/officeDocument/2006/relationships/hyperlink" Target="http://www.sec.gov/Archives/edgar/data/1411207/000119312516469168/d107528dex1042.htm" TargetMode="External"/><Relationship Id="rId157" Type="http://schemas.openxmlformats.org/officeDocument/2006/relationships/hyperlink" Target="http://www.sec.gov/Archives/edgar/data/1411207/000119312516469168/d107528dex1043.htm" TargetMode="External"/><Relationship Id="rId158" Type="http://schemas.openxmlformats.org/officeDocument/2006/relationships/hyperlink" Target="http://www.sec.gov/Archives/edgar/data/1411207/000119312517056079/d290286dex1025.htm" TargetMode="External"/><Relationship Id="rId159" Type="http://schemas.openxmlformats.org/officeDocument/2006/relationships/hyperlink" Target="http://www.sec.gov/Archives/edgar/data/1411207/000119312511166896/dex1010.htm" TargetMode="External"/><Relationship Id="rId160" Type="http://schemas.openxmlformats.org/officeDocument/2006/relationships/hyperlink" Target="http://www.sec.gov/Archives/edgar/data/1411207/000119312511166896/dex1012.htm" TargetMode="External"/><Relationship Id="rId161" Type="http://schemas.openxmlformats.org/officeDocument/2006/relationships/hyperlink" Target="http://www.sec.gov/Archives/edgar/data/1411207/000119312511166896/dex1013.htm" TargetMode="External"/><Relationship Id="rId162" Type="http://schemas.openxmlformats.org/officeDocument/2006/relationships/hyperlink" Target="http://www.sec.gov/Archives/edgar/data/1411207/000119312513310167/d552917dex1027.htm" TargetMode="External"/><Relationship Id="rId163" Type="http://schemas.openxmlformats.org/officeDocument/2006/relationships/hyperlink" Target="http://www.sec.gov/Archives/edgar/data/1411207/000119312513414609/d599468dex1029.htm" TargetMode="External"/><Relationship Id="rId164" Type="http://schemas.openxmlformats.org/officeDocument/2006/relationships/hyperlink" Target="http://www.sec.gov/Archives/edgar/data/1411207/000119312511139969/dex1014.htm" TargetMode="External"/><Relationship Id="rId165" Type="http://schemas.openxmlformats.org/officeDocument/2006/relationships/hyperlink" Target="http://www.sec.gov/Archives/edgar/data/1411207/000119312511139969/dex1015.htm" TargetMode="External"/><Relationship Id="rId166" Type="http://schemas.openxmlformats.org/officeDocument/2006/relationships/hyperlink" Target="http://www.sec.gov/Archives/edgar/data/1411207/000119312513084136/d451267dex1024.htm" TargetMode="External"/><Relationship Id="rId168" Type="http://schemas.openxmlformats.org/officeDocument/2006/relationships/hyperlink" Target="http://www.sec.gov/Archives/edgar/data/1411207/000119312512325816/d357243dex1021.htm" TargetMode="External"/><Relationship Id="rId169" Type="http://schemas.openxmlformats.org/officeDocument/2006/relationships/hyperlink" Target="http://www.sec.gov/Archives/edgar/data/1411207/000119312515152186/d898569dex1038.htm" TargetMode="External"/><Relationship Id="rId170" Type="http://schemas.openxmlformats.org/officeDocument/2006/relationships/hyperlink" Target="http://www.sec.gov/Archives/edgar/data/1411207/000119312511139969/dex109.htm" TargetMode="External"/><Relationship Id="rId171" Type="http://schemas.openxmlformats.org/officeDocument/2006/relationships/hyperlink" Target="http://www.sec.gov/Archives/edgar/data/1411207/000119312514063895/d642995dex1034.htm" TargetMode="External"/><Relationship Id="rId172" Type="http://schemas.openxmlformats.org/officeDocument/2006/relationships/hyperlink" Target="http://www.sec.gov/Archives/edgar/data/1411207/000119312516800526/d300579dex101.htm" TargetMode="External"/><Relationship Id="rId173" Type="http://schemas.openxmlformats.org/officeDocument/2006/relationships/hyperlink" Target="http://www.sec.gov/Archives/edgar/data/1411207/000119312518094155/d558656dex101.htm" TargetMode="External"/><Relationship Id="rId174" Type="http://schemas.openxmlformats.org/officeDocument/2006/relationships/hyperlink" Target="http://www.sec.gov/Archives/edgar/data/1411207/000119312519139652/d743601dex101.htm" TargetMode="External"/><Relationship Id="rId175" Type="http://schemas.openxmlformats.org/officeDocument/2006/relationships/hyperlink" Target="http://www.sec.gov/Archives/edgar/data/1411207/000141120719000050/exhibit141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2020-02-27T16:26:16Z</dcterms:created>
  <dcterms:modified xsi:type="dcterms:W3CDTF">2020-02-27T16:26:16Z</dcterms:modified>
</cp:coreProperties>
</file>