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0"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51"/>
          <w:szCs w:val="51"/>
          <w:color w:val="auto"/>
          <w:vertAlign w:val="subscript"/>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1"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720" w:hanging="482"/>
        <w:spacing w:after="0"/>
        <w:tabs>
          <w:tab w:leader="none" w:pos="72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1934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tbl>
      <w:tblPr>
        <w:tblLayout w:type="fixed"/>
        <w:tblInd w:w="60" w:type="dxa"/>
        <w:tblCellMar>
          <w:top w:w="0" w:type="dxa"/>
          <w:left w:w="0" w:type="dxa"/>
          <w:bottom w:w="0" w:type="dxa"/>
          <w:right w:w="0" w:type="dxa"/>
        </w:tblCellMar>
      </w:tblPr>
      <w:tr>
        <w:trPr>
          <w:trHeight w:val="239"/>
        </w:trPr>
        <w:tc>
          <w:tcPr>
            <w:tcW w:w="4820" w:type="dxa"/>
            <w:vAlign w:val="bottom"/>
            <w:gridSpan w:val="3"/>
          </w:tcPr>
          <w:p>
            <w:pPr>
              <w:jc w:val="center"/>
              <w:ind w:left="1617"/>
              <w:spacing w:after="0"/>
              <w:rPr>
                <w:sz w:val="20"/>
                <w:szCs w:val="20"/>
                <w:color w:val="auto"/>
              </w:rPr>
            </w:pPr>
            <w:r>
              <w:rPr>
                <w:rFonts w:ascii="Arial" w:cs="Arial" w:eastAsia="Arial" w:hAnsi="Arial"/>
                <w:sz w:val="18"/>
                <w:szCs w:val="18"/>
                <w:b w:val="1"/>
                <w:bCs w:val="1"/>
                <w:color w:val="auto"/>
              </w:rPr>
              <w:t>Delaware</w:t>
            </w:r>
          </w:p>
        </w:tc>
        <w:tc>
          <w:tcPr>
            <w:tcW w:w="1960" w:type="dxa"/>
            <w:vAlign w:val="bottom"/>
          </w:tcPr>
          <w:p>
            <w:pPr>
              <w:spacing w:after="0"/>
              <w:rPr>
                <w:sz w:val="20"/>
                <w:szCs w:val="20"/>
                <w:color w:val="auto"/>
              </w:rPr>
            </w:pPr>
          </w:p>
        </w:tc>
        <w:tc>
          <w:tcPr>
            <w:tcW w:w="4520" w:type="dxa"/>
            <w:vAlign w:val="bottom"/>
            <w:gridSpan w:val="3"/>
          </w:tcPr>
          <w:p>
            <w:pPr>
              <w:jc w:val="right"/>
              <w:ind w:right="2684"/>
              <w:spacing w:after="0"/>
              <w:rPr>
                <w:sz w:val="20"/>
                <w:szCs w:val="20"/>
                <w:color w:val="auto"/>
              </w:rPr>
            </w:pPr>
            <w:r>
              <w:rPr>
                <w:rFonts w:ascii="Arial" w:cs="Arial" w:eastAsia="Arial" w:hAnsi="Arial"/>
                <w:sz w:val="18"/>
                <w:szCs w:val="18"/>
                <w:b w:val="1"/>
                <w:bCs w:val="1"/>
                <w:color w:val="auto"/>
              </w:rPr>
              <w:t>26-0414014</w:t>
            </w:r>
          </w:p>
        </w:tc>
      </w:tr>
      <w:tr>
        <w:trPr>
          <w:trHeight w:val="189"/>
        </w:trPr>
        <w:tc>
          <w:tcPr>
            <w:tcW w:w="6780" w:type="dxa"/>
            <w:vAlign w:val="bottom"/>
            <w:gridSpan w:val="4"/>
          </w:tcPr>
          <w:p>
            <w:pPr>
              <w:jc w:val="center"/>
              <w:ind w:right="176"/>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700" w:type="dxa"/>
            <w:vAlign w:val="bottom"/>
          </w:tcPr>
          <w:p>
            <w:pPr>
              <w:spacing w:after="0"/>
              <w:rPr>
                <w:sz w:val="16"/>
                <w:szCs w:val="16"/>
                <w:color w:val="auto"/>
              </w:rPr>
            </w:pPr>
          </w:p>
        </w:tc>
        <w:tc>
          <w:tcPr>
            <w:tcW w:w="3820" w:type="dxa"/>
            <w:vAlign w:val="bottom"/>
            <w:gridSpan w:val="2"/>
          </w:tcPr>
          <w:p>
            <w:pPr>
              <w:jc w:val="center"/>
              <w:ind w:right="260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520" w:type="dxa"/>
            <w:vAlign w:val="bottom"/>
            <w:gridSpan w:val="3"/>
          </w:tcPr>
          <w:p>
            <w:pPr>
              <w:jc w:val="center"/>
              <w:ind w:right="1904"/>
              <w:spacing w:after="0"/>
              <w:rPr>
                <w:sz w:val="20"/>
                <w:szCs w:val="20"/>
                <w:color w:val="auto"/>
              </w:rPr>
            </w:pPr>
            <w:r>
              <w:rPr>
                <w:rFonts w:ascii="Arial" w:cs="Arial" w:eastAsia="Arial" w:hAnsi="Arial"/>
                <w:sz w:val="14"/>
                <w:szCs w:val="14"/>
                <w:b w:val="1"/>
                <w:bCs w:val="1"/>
                <w:color w:val="auto"/>
              </w:rPr>
              <w:t>Identification Number)</w:t>
            </w:r>
          </w:p>
        </w:tc>
      </w:tr>
      <w:tr>
        <w:trPr>
          <w:trHeight w:val="269"/>
        </w:trPr>
        <w:tc>
          <w:tcPr>
            <w:tcW w:w="4820" w:type="dxa"/>
            <w:vAlign w:val="bottom"/>
            <w:gridSpan w:val="3"/>
          </w:tcPr>
          <w:p>
            <w:pPr>
              <w:jc w:val="center"/>
              <w:ind w:left="1617"/>
              <w:spacing w:after="0"/>
              <w:rPr>
                <w:sz w:val="20"/>
                <w:szCs w:val="20"/>
                <w:color w:val="auto"/>
              </w:rPr>
            </w:pPr>
            <w:r>
              <w:rPr>
                <w:rFonts w:ascii="Arial" w:cs="Arial" w:eastAsia="Arial" w:hAnsi="Arial"/>
                <w:sz w:val="18"/>
                <w:szCs w:val="18"/>
                <w:b w:val="1"/>
                <w:bCs w:val="1"/>
                <w:color w:val="auto"/>
                <w:w w:val="98"/>
              </w:rPr>
              <w:t>One Allison Way</w:t>
            </w:r>
          </w:p>
        </w:tc>
        <w:tc>
          <w:tcPr>
            <w:tcW w:w="19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459"/>
        </w:trPr>
        <w:tc>
          <w:tcPr>
            <w:tcW w:w="4820" w:type="dxa"/>
            <w:vAlign w:val="bottom"/>
            <w:gridSpan w:val="3"/>
          </w:tcPr>
          <w:p>
            <w:pPr>
              <w:ind w:left="2520"/>
              <w:spacing w:after="0"/>
              <w:rPr>
                <w:sz w:val="20"/>
                <w:szCs w:val="20"/>
                <w:color w:val="auto"/>
              </w:rPr>
            </w:pPr>
            <w:r>
              <w:rPr>
                <w:rFonts w:ascii="Arial" w:cs="Arial" w:eastAsia="Arial" w:hAnsi="Arial"/>
                <w:sz w:val="18"/>
                <w:szCs w:val="18"/>
                <w:b w:val="1"/>
                <w:bCs w:val="1"/>
                <w:color w:val="auto"/>
              </w:rPr>
              <w:t>Indianapolis, IN</w:t>
            </w:r>
          </w:p>
        </w:tc>
        <w:tc>
          <w:tcPr>
            <w:tcW w:w="1960" w:type="dxa"/>
            <w:vAlign w:val="bottom"/>
          </w:tcPr>
          <w:p>
            <w:pPr>
              <w:spacing w:after="0"/>
              <w:rPr>
                <w:sz w:val="24"/>
                <w:szCs w:val="24"/>
                <w:color w:val="auto"/>
              </w:rPr>
            </w:pPr>
          </w:p>
        </w:tc>
        <w:tc>
          <w:tcPr>
            <w:tcW w:w="4520" w:type="dxa"/>
            <w:vAlign w:val="bottom"/>
            <w:gridSpan w:val="3"/>
          </w:tcPr>
          <w:p>
            <w:pPr>
              <w:jc w:val="right"/>
              <w:ind w:right="2924"/>
              <w:spacing w:after="0"/>
              <w:rPr>
                <w:sz w:val="20"/>
                <w:szCs w:val="20"/>
                <w:color w:val="auto"/>
              </w:rPr>
            </w:pPr>
            <w:r>
              <w:rPr>
                <w:rFonts w:ascii="Arial" w:cs="Arial" w:eastAsia="Arial" w:hAnsi="Arial"/>
                <w:sz w:val="18"/>
                <w:szCs w:val="18"/>
                <w:b w:val="1"/>
                <w:bCs w:val="1"/>
                <w:color w:val="auto"/>
              </w:rPr>
              <w:t>46222</w:t>
            </w:r>
          </w:p>
        </w:tc>
      </w:tr>
      <w:tr>
        <w:trPr>
          <w:trHeight w:val="218"/>
        </w:trPr>
        <w:tc>
          <w:tcPr>
            <w:tcW w:w="4820" w:type="dxa"/>
            <w:vAlign w:val="bottom"/>
            <w:gridSpan w:val="3"/>
          </w:tcPr>
          <w:p>
            <w:pPr>
              <w:jc w:val="center"/>
              <w:ind w:left="1597"/>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jc w:val="center"/>
              <w:ind w:right="2704"/>
              <w:spacing w:after="0"/>
              <w:rPr>
                <w:sz w:val="20"/>
                <w:szCs w:val="20"/>
                <w:color w:val="auto"/>
              </w:rPr>
            </w:pPr>
            <w:r>
              <w:rPr>
                <w:rFonts w:ascii="Arial" w:cs="Arial" w:eastAsia="Arial" w:hAnsi="Arial"/>
                <w:sz w:val="14"/>
                <w:szCs w:val="14"/>
                <w:b w:val="1"/>
                <w:bCs w:val="1"/>
                <w:color w:val="auto"/>
              </w:rPr>
              <w:t>(Zip Code)</w:t>
            </w:r>
          </w:p>
        </w:tc>
      </w:tr>
      <w:tr>
        <w:trPr>
          <w:trHeight w:val="552"/>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jc w:val="center"/>
              <w:ind w:right="216"/>
              <w:spacing w:after="0"/>
              <w:rPr>
                <w:sz w:val="20"/>
                <w:szCs w:val="20"/>
                <w:color w:val="auto"/>
              </w:rPr>
            </w:pPr>
            <w:r>
              <w:rPr>
                <w:rFonts w:ascii="Arial" w:cs="Arial" w:eastAsia="Arial" w:hAnsi="Arial"/>
                <w:sz w:val="18"/>
                <w:szCs w:val="18"/>
                <w:b w:val="1"/>
                <w:bCs w:val="1"/>
                <w:color w:val="auto"/>
                <w:w w:val="99"/>
              </w:rPr>
              <w:t>(317) 242-5000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1"/>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60" w:type="dxa"/>
            <w:vAlign w:val="bottom"/>
            <w:gridSpan w:val="5"/>
          </w:tcPr>
          <w:p>
            <w:pPr>
              <w:jc w:val="center"/>
              <w:ind w:right="3644"/>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471"/>
        </w:trPr>
        <w:tc>
          <w:tcPr>
            <w:tcW w:w="11300" w:type="dxa"/>
            <w:vAlign w:val="bottom"/>
            <w:gridSpan w:val="7"/>
          </w:tcPr>
          <w:p>
            <w:pPr>
              <w:jc w:val="center"/>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83"/>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4"/>
                <w:szCs w:val="14"/>
                <w:color w:val="auto"/>
              </w:rPr>
              <w:t>Name of Each Exchange</w:t>
            </w:r>
          </w:p>
        </w:tc>
      </w:tr>
      <w:tr>
        <w:trPr>
          <w:trHeight w:val="17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color w:val="auto"/>
              </w:rPr>
              <w:t>Trading Symbol(s)</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on which Registered</w:t>
            </w:r>
          </w:p>
        </w:tc>
      </w:tr>
      <w:tr>
        <w:trPr>
          <w:trHeight w:val="243"/>
        </w:trPr>
        <w:tc>
          <w:tcPr>
            <w:tcW w:w="4820" w:type="dxa"/>
            <w:vAlign w:val="bottom"/>
            <w:gridSpan w:val="3"/>
          </w:tcPr>
          <w:p>
            <w:pPr>
              <w:jc w:val="center"/>
              <w:ind w:right="1128"/>
              <w:spacing w:after="0"/>
              <w:rPr>
                <w:sz w:val="20"/>
                <w:szCs w:val="20"/>
                <w:color w:val="auto"/>
              </w:rPr>
            </w:pPr>
            <w:r>
              <w:rPr>
                <w:rFonts w:ascii="Arial" w:cs="Arial" w:eastAsia="Arial" w:hAnsi="Arial"/>
                <w:sz w:val="18"/>
                <w:szCs w:val="18"/>
                <w:b w:val="1"/>
                <w:bCs w:val="1"/>
                <w:color w:val="auto"/>
              </w:rPr>
              <w:t>Common stock, $0.01 par value</w:t>
            </w:r>
          </w:p>
        </w:tc>
        <w:tc>
          <w:tcPr>
            <w:tcW w:w="1960" w:type="dxa"/>
            <w:vAlign w:val="bottom"/>
          </w:tcPr>
          <w:p>
            <w:pPr>
              <w:jc w:val="center"/>
              <w:ind w:right="296"/>
              <w:spacing w:after="0"/>
              <w:rPr>
                <w:sz w:val="20"/>
                <w:szCs w:val="20"/>
                <w:color w:val="auto"/>
              </w:rPr>
            </w:pPr>
            <w:r>
              <w:rPr>
                <w:rFonts w:ascii="Arial" w:cs="Arial" w:eastAsia="Arial" w:hAnsi="Arial"/>
                <w:sz w:val="18"/>
                <w:szCs w:val="18"/>
                <w:b w:val="1"/>
                <w:bCs w:val="1"/>
                <w:color w:val="auto"/>
              </w:rPr>
              <w:t>ALSN</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337" w:lineRule="exact"/>
        <w:rPr>
          <w:sz w:val="24"/>
          <w:szCs w:val="24"/>
          <w:color w:val="auto"/>
        </w:rPr>
      </w:pPr>
    </w:p>
    <w:p>
      <w:pPr>
        <w:ind w:right="440" w:firstLine="432"/>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700" w:val="left"/>
          <w:tab w:leader="none" w:pos="6360" w:val="left"/>
        </w:tabs>
        <w:rPr>
          <w:sz w:val="20"/>
          <w:szCs w:val="20"/>
          <w:color w:val="auto"/>
        </w:rPr>
      </w:pPr>
      <w:r>
        <w:rPr>
          <w:rFonts w:ascii="Arial" w:cs="Arial" w:eastAsia="Arial" w:hAnsi="Arial"/>
          <w:sz w:val="18"/>
          <w:szCs w:val="18"/>
          <w:color w:val="auto"/>
        </w:rPr>
        <w:t>(2) has been subject to such filing requirements for the past 90 days.</w:t>
        <w:tab/>
        <w:t>Yes x</w:t>
        <w:tab/>
        <w:t xml:space="preserve">No </w:t>
      </w:r>
      <w:r>
        <w:rPr>
          <w:rFonts w:ascii="MS PGothic" w:cs="MS PGothic" w:eastAsia="MS PGothic" w:hAnsi="MS PGothic"/>
          <w:sz w:val="18"/>
          <w:szCs w:val="18"/>
          <w:color w:val="auto"/>
        </w:rPr>
        <w:t>☐</w:t>
      </w:r>
    </w:p>
    <w:p>
      <w:pPr>
        <w:spacing w:after="0" w:line="67" w:lineRule="exact"/>
        <w:rPr>
          <w:sz w:val="24"/>
          <w:szCs w:val="24"/>
          <w:color w:val="auto"/>
        </w:rPr>
      </w:pPr>
    </w:p>
    <w:p>
      <w:pPr>
        <w:ind w:firstLine="432"/>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80" w:firstLine="432"/>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4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1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40" w:type="dxa"/>
            <w:vAlign w:val="bottom"/>
            <w:vMerge w:val="restart"/>
          </w:tcPr>
          <w:p>
            <w:pPr>
              <w:ind w:left="640"/>
              <w:spacing w:after="0" w:line="201" w:lineRule="exact"/>
              <w:rPr>
                <w:sz w:val="20"/>
                <w:szCs w:val="20"/>
                <w:color w:val="auto"/>
              </w:rPr>
            </w:pPr>
            <w:r>
              <w:rPr>
                <w:rFonts w:ascii="MS PGothic" w:cs="MS PGothic" w:eastAsia="MS PGothic" w:hAnsi="MS PGothic"/>
                <w:sz w:val="20"/>
                <w:szCs w:val="20"/>
                <w:color w:val="auto"/>
              </w:rPr>
              <w:t>☒</w:t>
            </w: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2480" w:type="dxa"/>
            <w:vAlign w:val="bottom"/>
            <w:gridSpan w:val="2"/>
          </w:tcPr>
          <w:p>
            <w:pPr>
              <w:ind w:left="40"/>
              <w:spacing w:after="0"/>
              <w:rPr>
                <w:sz w:val="20"/>
                <w:szCs w:val="20"/>
                <w:color w:val="auto"/>
              </w:rPr>
            </w:pPr>
            <w:r>
              <w:rPr>
                <w:rFonts w:ascii="Arial" w:cs="Arial" w:eastAsia="Arial" w:hAnsi="Arial"/>
                <w:sz w:val="18"/>
                <w:szCs w:val="18"/>
                <w:color w:val="auto"/>
              </w:rPr>
              <w:t>Large accelerated filer</w:t>
            </w:r>
          </w:p>
        </w:tc>
        <w:tc>
          <w:tcPr>
            <w:tcW w:w="3140" w:type="dxa"/>
            <w:vAlign w:val="bottom"/>
            <w:vMerge w:val="continue"/>
          </w:tcPr>
          <w:p>
            <w:pPr>
              <w:spacing w:after="0"/>
              <w:rPr>
                <w:sz w:val="24"/>
                <w:szCs w:val="24"/>
                <w:color w:val="auto"/>
              </w:rPr>
            </w:pPr>
          </w:p>
        </w:tc>
        <w:tc>
          <w:tcPr>
            <w:tcW w:w="446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311"/>
        </w:trPr>
        <w:tc>
          <w:tcPr>
            <w:tcW w:w="2480" w:type="dxa"/>
            <w:vAlign w:val="bottom"/>
            <w:gridSpan w:val="2"/>
          </w:tcPr>
          <w:p>
            <w:pPr>
              <w:ind w:left="40"/>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640"/>
              <w:spacing w:after="0" w:line="201" w:lineRule="exact"/>
              <w:rPr>
                <w:sz w:val="20"/>
                <w:szCs w:val="20"/>
                <w:color w:val="auto"/>
              </w:rPr>
            </w:pPr>
            <w:r>
              <w:rPr>
                <w:rFonts w:ascii="MS PGothic" w:cs="MS PGothic" w:eastAsia="MS PGothic" w:hAnsi="MS PGothic"/>
                <w:sz w:val="20"/>
                <w:szCs w:val="20"/>
                <w:color w:val="auto"/>
              </w:rPr>
              <w:t>☐</w:t>
            </w:r>
          </w:p>
        </w:tc>
        <w:tc>
          <w:tcPr>
            <w:tcW w:w="4460" w:type="dxa"/>
            <w:vAlign w:val="bottom"/>
          </w:tcPr>
          <w:p>
            <w:pPr>
              <w:ind w:left="2300"/>
              <w:spacing w:after="0"/>
              <w:rPr>
                <w:sz w:val="20"/>
                <w:szCs w:val="20"/>
                <w:color w:val="auto"/>
              </w:rPr>
            </w:pPr>
            <w:r>
              <w:rPr>
                <w:rFonts w:ascii="Arial" w:cs="Arial" w:eastAsia="Arial" w:hAnsi="Arial"/>
                <w:sz w:val="18"/>
                <w:szCs w:val="18"/>
                <w:color w:val="auto"/>
                <w:w w:val="99"/>
              </w:rPr>
              <w:t>Smaller reporting company</w:t>
            </w:r>
          </w:p>
        </w:tc>
        <w:tc>
          <w:tcPr>
            <w:tcW w:w="0" w:type="dxa"/>
            <w:vAlign w:val="bottom"/>
          </w:tcPr>
          <w:p>
            <w:pPr>
              <w:spacing w:after="0"/>
              <w:rPr>
                <w:sz w:val="1"/>
                <w:szCs w:val="1"/>
                <w:color w:val="auto"/>
              </w:rPr>
            </w:pPr>
          </w:p>
        </w:tc>
      </w:tr>
      <w:tr>
        <w:trPr>
          <w:trHeight w:val="298"/>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60" w:type="dxa"/>
            <w:vAlign w:val="bottom"/>
          </w:tcPr>
          <w:p>
            <w:pPr>
              <w:ind w:left="2300"/>
              <w:spacing w:after="0"/>
              <w:rPr>
                <w:sz w:val="20"/>
                <w:szCs w:val="20"/>
                <w:color w:val="auto"/>
              </w:rPr>
            </w:pPr>
            <w:r>
              <w:rPr>
                <w:rFonts w:ascii="Arial" w:cs="Arial" w:eastAsia="Arial" w:hAnsi="Arial"/>
                <w:sz w:val="18"/>
                <w:szCs w:val="18"/>
                <w:color w:val="auto"/>
                <w:w w:val="99"/>
              </w:rPr>
              <w:t>Emerging growth company</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240" w:firstLine="432"/>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left="440"/>
        <w:spacing w:after="0" w:line="26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As of July 15, 2019, there were 120,507,491 shares of Common Stock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auto"/>
        </w:rPr>
        <w:t>☐</w:t>
      </w:r>
    </w:p>
    <w:p>
      <w:pPr>
        <w:spacing w:after="0" w:line="110" w:lineRule="exact"/>
        <w:rPr>
          <w:sz w:val="20"/>
          <w:szCs w:val="20"/>
          <w:color w:val="auto"/>
        </w:rPr>
      </w:pPr>
    </w:p>
    <w:p>
      <w:pPr>
        <w:jc w:val="right"/>
        <w:spacing w:after="0" w:line="201" w:lineRule="exact"/>
        <w:rPr>
          <w:sz w:val="20"/>
          <w:szCs w:val="20"/>
          <w:color w:val="auto"/>
        </w:rPr>
      </w:pPr>
      <w:r>
        <w:rPr>
          <w:rFonts w:ascii="MS PGothic" w:cs="MS PGothic" w:eastAsia="MS PGothic" w:hAnsi="MS PGothic"/>
          <w:sz w:val="20"/>
          <w:szCs w:val="20"/>
          <w:color w:val="auto"/>
        </w:rPr>
        <w:t>☐</w:t>
      </w:r>
    </w:p>
    <w:p>
      <w:pPr>
        <w:spacing w:after="0" w:line="98" w:lineRule="exact"/>
        <w:rPr>
          <w:sz w:val="20"/>
          <w:szCs w:val="20"/>
          <w:color w:val="auto"/>
        </w:rPr>
      </w:pPr>
    </w:p>
    <w:p>
      <w:pPr>
        <w:jc w:val="right"/>
        <w:spacing w:after="0" w:line="201" w:lineRule="exact"/>
        <w:rPr>
          <w:sz w:val="20"/>
          <w:szCs w:val="20"/>
          <w:color w:val="auto"/>
        </w:rPr>
      </w:pPr>
      <w:r>
        <w:rPr>
          <w:rFonts w:ascii="MS PGothic" w:cs="MS PGothic" w:eastAsia="MS PGothic" w:hAnsi="MS PGothic"/>
          <w:sz w:val="20"/>
          <w:szCs w:val="20"/>
          <w:color w:val="auto"/>
        </w:rPr>
        <w:t>☐</w:t>
      </w:r>
    </w:p>
    <w:p>
      <w:pPr>
        <w:sectPr>
          <w:pgSz w:w="11900" w:h="16838" w:orient="portrait"/>
          <w:cols w:equalWidth="0" w:num="2">
            <w:col w:w="10860" w:space="240"/>
            <w:col w:w="240"/>
          </w:cols>
          <w:pgMar w:left="240" w:top="108"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20" w:type="dxa"/>
            <w:vAlign w:val="bottom"/>
            <w:gridSpan w:val="8"/>
          </w:tcPr>
          <w:p>
            <w:pPr>
              <w:jc w:val="center"/>
              <w:ind w:right="4220"/>
              <w:spacing w:after="0"/>
              <w:rPr>
                <w:sz w:val="20"/>
                <w:szCs w:val="20"/>
                <w:color w:val="auto"/>
              </w:rPr>
            </w:pPr>
            <w:r>
              <w:rPr>
                <w:rFonts w:ascii="Arial" w:cs="Arial" w:eastAsia="Arial" w:hAnsi="Arial"/>
                <w:sz w:val="18"/>
                <w:szCs w:val="18"/>
                <w:b w:val="1"/>
                <w:bCs w:val="1"/>
                <w:color w:val="auto"/>
              </w:rPr>
              <w:t>INDEX</w:t>
            </w:r>
          </w:p>
        </w:tc>
        <w:tc>
          <w:tcPr>
            <w:tcW w:w="1140" w:type="dxa"/>
            <w:vAlign w:val="bottom"/>
          </w:tcPr>
          <w:p>
            <w:pPr>
              <w:spacing w:after="0"/>
              <w:rPr>
                <w:sz w:val="20"/>
                <w:szCs w:val="20"/>
                <w:color w:val="auto"/>
              </w:rPr>
            </w:pPr>
          </w:p>
        </w:tc>
      </w:tr>
      <w:tr>
        <w:trPr>
          <w:trHeight w:val="642"/>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Page</w:t>
            </w:r>
          </w:p>
        </w:tc>
      </w:tr>
      <w:tr>
        <w:trPr>
          <w:trHeight w:val="189"/>
        </w:trPr>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6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FINANCIAL INFORMATION</w:t>
              </w:r>
            </w:hyperlink>
          </w:p>
        </w:tc>
        <w:tc>
          <w:tcPr>
            <w:tcW w:w="308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58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1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4-6</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61"/>
        </w:trPr>
        <w:tc>
          <w:tcPr>
            <w:tcW w:w="1140" w:type="dxa"/>
            <w:vAlign w:val="bottom"/>
          </w:tcPr>
          <w:p>
            <w:pPr>
              <w:spacing w:after="0"/>
              <w:rPr>
                <w:sz w:val="24"/>
                <w:szCs w:val="24"/>
                <w:color w:val="auto"/>
              </w:rPr>
            </w:pPr>
          </w:p>
        </w:tc>
        <w:tc>
          <w:tcPr>
            <w:tcW w:w="334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w:t>
              </w:r>
            </w:hyperlink>
          </w:p>
        </w:tc>
        <w:tc>
          <w:tcPr>
            <w:tcW w:w="5760" w:type="dxa"/>
            <w:vAlign w:val="bottom"/>
            <w:gridSpan w:val="9"/>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574"/>
        </w:trPr>
        <w:tc>
          <w:tcPr>
            <w:tcW w:w="1140" w:type="dxa"/>
            <w:vAlign w:val="bottom"/>
          </w:tcPr>
          <w:p>
            <w:pPr>
              <w:spacing w:after="0"/>
              <w:rPr>
                <w:sz w:val="24"/>
                <w:szCs w:val="24"/>
                <w:color w:val="auto"/>
              </w:rPr>
            </w:pPr>
          </w:p>
        </w:tc>
        <w:tc>
          <w:tcPr>
            <w:tcW w:w="514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Income</w:t>
              </w:r>
            </w:hyperlink>
          </w:p>
        </w:tc>
        <w:tc>
          <w:tcPr>
            <w:tcW w:w="3960" w:type="dxa"/>
            <w:vAlign w:val="bottom"/>
            <w:gridSpan w:val="4"/>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574"/>
        </w:trPr>
        <w:tc>
          <w:tcPr>
            <w:tcW w:w="1140" w:type="dxa"/>
            <w:vAlign w:val="bottom"/>
          </w:tcPr>
          <w:p>
            <w:pPr>
              <w:spacing w:after="0"/>
              <w:rPr>
                <w:sz w:val="24"/>
                <w:szCs w:val="24"/>
                <w:color w:val="auto"/>
              </w:rPr>
            </w:pPr>
          </w:p>
        </w:tc>
        <w:tc>
          <w:tcPr>
            <w:tcW w:w="418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w:t>
              </w:r>
            </w:hyperlink>
          </w:p>
        </w:tc>
        <w:tc>
          <w:tcPr>
            <w:tcW w:w="4920" w:type="dxa"/>
            <w:vAlign w:val="bottom"/>
            <w:gridSpan w:val="8"/>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574"/>
        </w:trPr>
        <w:tc>
          <w:tcPr>
            <w:tcW w:w="1140" w:type="dxa"/>
            <w:vAlign w:val="bottom"/>
          </w:tcPr>
          <w:p>
            <w:pPr>
              <w:spacing w:after="0"/>
              <w:rPr>
                <w:sz w:val="24"/>
                <w:szCs w:val="24"/>
                <w:color w:val="auto"/>
              </w:rPr>
            </w:pPr>
          </w:p>
        </w:tc>
        <w:tc>
          <w:tcPr>
            <w:tcW w:w="448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Condensed Consolidated Financial Statements</w:t>
              </w:r>
            </w:hyperlink>
          </w:p>
        </w:tc>
        <w:tc>
          <w:tcPr>
            <w:tcW w:w="4620" w:type="dxa"/>
            <w:vAlign w:val="bottom"/>
            <w:gridSpan w:val="7"/>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7-23</w:t>
            </w: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24-35</w:t>
            </w: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Quantitative and Qualitative Disclosures About Market Risk</w:t>
              </w:r>
            </w:hyperlink>
          </w:p>
        </w:tc>
        <w:tc>
          <w:tcPr>
            <w:tcW w:w="2360" w:type="dxa"/>
            <w:vAlign w:val="bottom"/>
            <w:tcBorders>
              <w:top w:val="single" w:sz="8" w:color="0000EE"/>
            </w:tcBorders>
            <w:gridSpan w:val="5"/>
          </w:tcPr>
          <w:p>
            <w:pPr>
              <w:spacing w:after="0"/>
              <w:rPr>
                <w:sz w:val="24"/>
                <w:szCs w:val="24"/>
                <w:color w:val="auto"/>
              </w:rPr>
            </w:pPr>
          </w:p>
        </w:tc>
        <w:tc>
          <w:tcPr>
            <w:tcW w:w="20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37</w:t>
            </w:r>
          </w:p>
        </w:tc>
      </w:tr>
      <w:tr>
        <w:trPr>
          <w:trHeight w:val="56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 OTHER INFORMATION</w:t>
              </w:r>
            </w:hyperlink>
          </w:p>
        </w:tc>
        <w:tc>
          <w:tcPr>
            <w:tcW w:w="322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Legal Proceedings</w:t>
              </w:r>
            </w:hyperlink>
          </w:p>
        </w:tc>
        <w:tc>
          <w:tcPr>
            <w:tcW w:w="7600" w:type="dxa"/>
            <w:vAlign w:val="bottom"/>
            <w:gridSpan w:val="14"/>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1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Unregistered Sales of Equity Securities and Use of Proceeds</w:t>
              </w:r>
            </w:hyperlink>
          </w:p>
        </w:tc>
        <w:tc>
          <w:tcPr>
            <w:tcW w:w="4240" w:type="dxa"/>
            <w:vAlign w:val="bottom"/>
            <w:gridSpan w:val="5"/>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561"/>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bottom w:val="single" w:sz="8" w:color="0000EE"/>
            </w:tcBorders>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Exhibits</w:t>
              </w:r>
            </w:hyperlink>
          </w:p>
        </w:tc>
        <w:tc>
          <w:tcPr>
            <w:tcW w:w="8460" w:type="dxa"/>
            <w:vAlign w:val="bottom"/>
            <w:gridSpan w:val="17"/>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39</w:t>
            </w:r>
          </w:p>
        </w:tc>
      </w:tr>
      <w:tr>
        <w:trPr>
          <w:trHeight w:val="561"/>
        </w:trPr>
        <w:tc>
          <w:tcPr>
            <w:tcW w:w="114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40</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 – net of allowance for doubtful accounts of $2 and $1, respectively</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322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490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1,079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4,355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Product warranty liability</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 warranty liability</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99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2,514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355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219</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3,687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6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P)</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$0.01 par value, 1,880,000,000 shares authorized, 120,503,416 shares issued and</w:t>
            </w: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outstanding and 126,251,266 shares issued and outstanding, respectively</w:t>
            </w: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Non-voting common stock, $0.01 par value, 20,000,000 shares authorized, none issued and outstanding</w:t>
            </w:r>
          </w:p>
        </w:tc>
        <w:tc>
          <w:tcPr>
            <w:tcW w:w="2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100,000,000 shares authorized, none issued and outstanding</w:t>
            </w: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Paid in capital</w:t>
            </w: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1,796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other comprehensive loss, net of tax</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&amp;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4,355</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r>
      <w:tr>
        <w:trPr>
          <w:trHeight w:val="276"/>
        </w:trPr>
        <w:tc>
          <w:tcPr>
            <w:tcW w:w="5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4"/>
                <w:szCs w:val="24"/>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737</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1,412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sales</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348</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748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98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b w:val="1"/>
                <w:bCs w:val="1"/>
                <w:color w:val="auto"/>
              </w:rPr>
              <w:t>93</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177</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Engineering — research and development</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33"/>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b w:val="1"/>
                <w:bCs w:val="1"/>
                <w:color w:val="auto"/>
              </w:rPr>
              <w:t>259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503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470</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Basic earnings per share attributable to common stockholders</w:t>
            </w:r>
          </w:p>
        </w:tc>
        <w:tc>
          <w:tcPr>
            <w:tcW w:w="98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1.47</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r>
      <w:tr>
        <w:trPr>
          <w:trHeight w:val="22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 earnings per share attributable to common stockholders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1.46</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net of tax</w:t>
            </w:r>
          </w:p>
        </w:tc>
        <w:tc>
          <w:tcPr>
            <w:tcW w:w="98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167</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331</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58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348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43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of property, plant and equipment</w:t>
            </w:r>
          </w:p>
        </w:tc>
        <w:tc>
          <w:tcPr>
            <w:tcW w:w="92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33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Expenses related to long-term debt refinancing</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Allowance for doubtful accounts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92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assets and liabilities</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Pr>
          <w:p>
            <w:pPr>
              <w:spacing w:after="0"/>
              <w:rPr>
                <w:sz w:val="21"/>
                <w:szCs w:val="21"/>
                <w:color w:val="auto"/>
              </w:rPr>
            </w:pPr>
          </w:p>
        </w:tc>
        <w:tc>
          <w:tcPr>
            <w:tcW w:w="580" w:type="dxa"/>
            <w:vAlign w:val="bottom"/>
          </w:tcPr>
          <w:p>
            <w:pPr>
              <w:jc w:val="right"/>
              <w:ind w:right="18"/>
              <w:spacing w:after="0"/>
              <w:rPr>
                <w:sz w:val="20"/>
                <w:szCs w:val="20"/>
                <w:color w:val="auto"/>
              </w:rPr>
            </w:pPr>
            <w:r>
              <w:rPr>
                <w:rFonts w:ascii="Arial" w:cs="Arial" w:eastAsia="Arial" w:hAnsi="Arial"/>
                <w:sz w:val="16"/>
                <w:szCs w:val="16"/>
                <w:b w:val="1"/>
                <w:bCs w:val="1"/>
                <w:color w:val="auto"/>
              </w:rPr>
              <w:t>433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6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6"/>
                <w:szCs w:val="16"/>
                <w:color w:val="auto"/>
              </w:rPr>
              <w:t>Business acquisitions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Additions of long-lived assets</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for investing activities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Payments on long-term debt</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8"/>
              </w:rPr>
              <w:t>(1,148)</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Issuance of long-term debt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1,148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(285)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Payments on revolving credit facility</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Borrowings on revolving credit facility</w:t>
            </w:r>
          </w:p>
        </w:tc>
        <w:tc>
          <w:tcPr>
            <w:tcW w:w="92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6"/>
                <w:szCs w:val="16"/>
                <w:b w:val="1"/>
                <w:bCs w:val="1"/>
                <w:color w:val="auto"/>
              </w:rPr>
              <w:t>90</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Dividend payments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Debt financing fees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used for financing activities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83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decrease in cash and cash equivalents</w:t>
            </w:r>
          </w:p>
        </w:tc>
        <w:tc>
          <w:tcPr>
            <w:tcW w:w="9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231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Interest paid</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53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51"/>
        </w:trPr>
        <w:tc>
          <w:tcPr>
            <w:tcW w:w="8340" w:type="dxa"/>
            <w:vAlign w:val="bottom"/>
          </w:tcPr>
          <w:p>
            <w:pPr>
              <w:ind w:left="720"/>
              <w:spacing w:after="0"/>
              <w:rPr>
                <w:sz w:val="20"/>
                <w:szCs w:val="20"/>
                <w:color w:val="auto"/>
              </w:rPr>
            </w:pPr>
            <w:r>
              <w:rPr>
                <w:rFonts w:ascii="Arial" w:cs="Arial" w:eastAsia="Arial" w:hAnsi="Arial"/>
                <w:sz w:val="16"/>
                <w:szCs w:val="16"/>
                <w:color w:val="auto"/>
              </w:rPr>
              <w:t>Income taxes paid</w:t>
            </w:r>
          </w:p>
        </w:tc>
        <w:tc>
          <w:tcPr>
            <w:tcW w:w="920" w:type="dxa"/>
            <w:vAlign w:val="bottom"/>
          </w:tcPr>
          <w:p>
            <w:pPr>
              <w:jc w:val="right"/>
              <w:ind w:right="722"/>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18"/>
              <w:spacing w:after="0"/>
              <w:rPr>
                <w:sz w:val="20"/>
                <w:szCs w:val="20"/>
                <w:color w:val="auto"/>
              </w:rPr>
            </w:pPr>
            <w:r>
              <w:rPr>
                <w:rFonts w:ascii="Arial" w:cs="Arial" w:eastAsia="Arial" w:hAnsi="Arial"/>
                <w:sz w:val="16"/>
                <w:szCs w:val="16"/>
                <w:b w:val="1"/>
                <w:bCs w:val="1"/>
                <w:color w:val="auto"/>
              </w:rPr>
              <w:t>55</w:t>
            </w:r>
          </w:p>
        </w:tc>
        <w:tc>
          <w:tcPr>
            <w:tcW w:w="100" w:type="dxa"/>
            <w:vAlign w:val="bottom"/>
          </w:tcPr>
          <w:p>
            <w:pPr>
              <w:spacing w:after="0"/>
              <w:rPr>
                <w:sz w:val="21"/>
                <w:szCs w:val="21"/>
                <w:color w:val="auto"/>
              </w:rPr>
            </w:pP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139"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96"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The Company has approximately 2,900 employees and 12 different product lines. Although approximately 77% of revenues were generated in North America in 2018, the Company has a global presence by serving customers in Europe, Asia, South America and Africa. The Company serves customers through an independent network of approximately 1,400 independent distributor and dealer locations worldwide.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9"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0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2018 as filed with the Securities and Exchange Commission (“SEC”) on February 26, 2019. The interim period financial results for the three and six month periods presented are not necessarily indicative of results to be expected for any other interim period or for the entire year.</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and other assumptions for pension and other post-retirement benefit expense, determination of discount rate and period for leases,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ind w:right="240" w:firstLine="432"/>
        <w:spacing w:after="0" w:line="253" w:lineRule="auto"/>
        <w:rPr>
          <w:sz w:val="20"/>
          <w:szCs w:val="20"/>
          <w:color w:val="auto"/>
        </w:rPr>
      </w:pPr>
      <w:r>
        <w:rPr>
          <w:rFonts w:ascii="Arial" w:cs="Arial" w:eastAsia="Arial" w:hAnsi="Arial"/>
          <w:sz w:val="18"/>
          <w:szCs w:val="18"/>
          <w:color w:val="auto"/>
        </w:rPr>
        <w:t>The Company uses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9" w:lineRule="exact"/>
        <w:rPr>
          <w:sz w:val="20"/>
          <w:szCs w:val="20"/>
          <w:color w:val="auto"/>
        </w:rPr>
      </w:pPr>
    </w:p>
    <w:p>
      <w:pPr>
        <w:ind w:right="580" w:firstLine="432"/>
        <w:spacing w:after="0" w:line="256" w:lineRule="auto"/>
        <w:rPr>
          <w:sz w:val="20"/>
          <w:szCs w:val="20"/>
          <w:color w:val="auto"/>
        </w:rPr>
      </w:pPr>
      <w:r>
        <w:rPr>
          <w:rFonts w:ascii="Arial" w:cs="Arial" w:eastAsia="Arial" w:hAnsi="Arial"/>
          <w:sz w:val="18"/>
          <w:szCs w:val="18"/>
          <w:color w:val="auto"/>
        </w:rPr>
        <w:t>In June 2018, the Financial Accounting Standards Board ("FASB") issued authoritative accounting guidance on accounting for nonemployee awards for goods or services received by a company. The Company adopted this guidance effective January 1, 2019. The adoption of this guidance did not have a material impact on the Company's consolidated financial statements.</w:t>
      </w:r>
    </w:p>
    <w:p>
      <w:pPr>
        <w:spacing w:after="0" w:line="94"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In February 2018, the FASB issued authoritative accounting guidance on transfers of stranded balances in accumulated other comprehensive loss ("AOCL") to retained earnings. The passage of the U.S. Tax Cuts and Jobs Act by the U.S. federal government in December 2017 and existing GAAP requirements to adjust deferred tax assets and liabilities for changes in tax laws or rates created stranded balances in AOCL on deferred tax assets and liabilities previously recorded as a component to AOCL. The guidance applies to companies affected by these stranded balances and allows a reclassification of these balances to retained earnings. The Company adopted this guidance effective January 1, 2019. As a result of the adoption of this guidance, the Company recorded an adjustment that reclassified $7 million of AOCL to retained earnings as of January 1, 2019.</w:t>
      </w:r>
    </w:p>
    <w:p>
      <w:pPr>
        <w:spacing w:after="0" w:line="99"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In February 2016, the FASB issued authoritative accounting guidance on lease accounting, which guidance was subsequently amended.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guidance also introduces new disclosure requirements for leasing arrangements. In July 2018, the FASB issued additional authoritative guidance on this topic giving lessees an optional adoption approach under which the impact of the adoption of the guidance would be shown as of the date of adoption. Management elected to adopt the guidance using this optional alternative method. The Company adopted this guidance effective January 1, 2019. The Company recorded non-financial right-of-use ("ROU") assets of $14 million, including $1 million of assets transferred from the balance recorded as prepaid lease expense under the prior guidance, and current and non-current lease liabilities of $4 million and $9 million, respectively. The adoption of this guidance did not have a material impact on the Company's opening retained earnings. See Note K, "Leases" for further details.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guidance will be effective for the Company in fiscal year 2020, and the Company does not plan to early adopt. Management does not expect the adoption of this guidance to have a material impact on the Company's consolidated financial statements.</w:t>
      </w:r>
    </w:p>
    <w:p>
      <w:pPr>
        <w:spacing w:after="0" w:line="9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August 2018, the FASB issued authoritative accounting guidance amending disclosure requirements for the Company's defined benefit pension plans and other post-retirement benefit plan. The guidance will be effective for the Company in fiscal year 2021, and the Company does not plan to early adopt. Management is currently evaluating the impact of this guidance on the Company's consolidated financial statements.</w:t>
      </w:r>
    </w:p>
    <w:p>
      <w:pPr>
        <w:spacing w:after="0" w:line="312"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guidance will be effective for the Company in fiscal year 2020, and the Company does not plan to early adopt. Management does not expect the adoption of this guidance to have a material impact on the Company's consolidated financial statements.</w:t>
      </w:r>
    </w:p>
    <w:p>
      <w:pPr>
        <w:spacing w:after="0" w:line="312"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In June 2016, the FASB issued authoritative accounting guidance on the presentation of financial assets at the net amount expected to be collected, which guidance was subsequently amended. The guidance also requires the disclosure of financing receivables disaggregated by the year of origination. The guidance will be effective for the Company in fiscal year 2020. Management is currently evaluating the impact of this guidance on the Company's consolidated financial statements by identifying and reviewing financial assets which could be subject to credit losses.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supply agreements (“LTSAs”) and distributor agreements with certain customers. The LTSAs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01"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94"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The Company may also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adjustments based on variable consideration during the three and six months ended June 30, 2019 and 2018.</w:t>
      </w:r>
    </w:p>
    <w:p>
      <w:pPr>
        <w:spacing w:after="0" w:line="97"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June 30, 2019 and December 31, 2018. See Note J, “Deferred Revenue” for more information including the amount of revenue earned during the three and six months ended June 30, 2019 that had been previously deferred. The Company had no contract assets as of June 30, 2019 and December 31, 2018.</w:t>
      </w:r>
    </w:p>
    <w:p>
      <w:pPr>
        <w:spacing w:after="0" w:line="97"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The following presents disaggregated revenue by categories that best depict how the nature, amount, timing and uncertainty of revenue and cash flows are affected by economic factors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06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7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4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56"/>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 America On-Highway</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North America Off-Highway</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Defense</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Outside North America On-Highway</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192</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Outside North America Off-Highway</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 Parts, Support Equipment and Other</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320</w:t>
            </w:r>
          </w:p>
        </w:tc>
      </w:tr>
      <w:tr>
        <w:trPr>
          <w:trHeight w:val="25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Purchased parts and raw materials</w:t>
            </w:r>
          </w:p>
        </w:tc>
        <w:tc>
          <w:tcPr>
            <w:tcW w:w="1500" w:type="dxa"/>
            <w:vAlign w:val="bottom"/>
            <w:shd w:val="clear" w:color="auto" w:fill="CCEEFF"/>
          </w:tcPr>
          <w:p>
            <w:pPr>
              <w:jc w:val="right"/>
              <w:ind w:right="1296"/>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150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parts</w:t>
            </w:r>
          </w:p>
        </w:tc>
        <w:tc>
          <w:tcPr>
            <w:tcW w:w="15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5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1500" w:type="dxa"/>
            <w:vAlign w:val="bottom"/>
            <w:tcBorders>
              <w:bottom w:val="single" w:sz="8" w:color="auto"/>
            </w:tcBorders>
            <w:shd w:val="clear" w:color="auto" w:fill="CCEEFF"/>
          </w:tcPr>
          <w:p>
            <w:pPr>
              <w:jc w:val="right"/>
              <w:ind w:right="129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r>
      <w:tr>
        <w:trPr>
          <w:trHeight w:val="20"/>
        </w:trPr>
        <w:tc>
          <w:tcPr>
            <w:tcW w:w="74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60" w:firstLine="432"/>
        <w:spacing w:after="0" w:line="256"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93" w:lineRule="exact"/>
        <w:rPr>
          <w:sz w:val="20"/>
          <w:szCs w:val="20"/>
          <w:color w:val="auto"/>
        </w:rPr>
      </w:pPr>
    </w:p>
    <w:p>
      <w:pPr>
        <w:ind w:right="420" w:firstLine="432"/>
        <w:spacing w:after="0" w:line="262" w:lineRule="auto"/>
        <w:rPr>
          <w:sz w:val="20"/>
          <w:szCs w:val="20"/>
          <w:color w:val="auto"/>
        </w:rPr>
      </w:pPr>
      <w:r>
        <w:rPr>
          <w:rFonts w:ascii="Arial" w:cs="Arial" w:eastAsia="Arial" w:hAnsi="Arial"/>
          <w:sz w:val="18"/>
          <w:szCs w:val="18"/>
          <w:color w:val="auto"/>
        </w:rPr>
        <w:t>As of June 30, 2019 and December 31, 2018, the carrying amount of the Company’s Goodwill was $2,019 million and $1,941 million, respectively.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40"/>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7"/>
              </w:rPr>
              <w:t>Intangible</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7"/>
              </w:rPr>
              <w:t>Accumulated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97"/>
              </w:rPr>
              <w:t>Intangible</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4"/>
              </w:rPr>
              <w:t>Intangible</w:t>
            </w:r>
          </w:p>
        </w:tc>
        <w:tc>
          <w:tcPr>
            <w:tcW w:w="180" w:type="dxa"/>
            <w:vAlign w:val="bottom"/>
          </w:tcPr>
          <w:p>
            <w:pPr>
              <w:spacing w:after="0"/>
              <w:rPr>
                <w:sz w:val="12"/>
                <w:szCs w:val="12"/>
                <w:color w:val="auto"/>
              </w:rPr>
            </w:pPr>
          </w:p>
        </w:tc>
        <w:tc>
          <w:tcPr>
            <w:tcW w:w="1200" w:type="dxa"/>
            <w:vAlign w:val="bottom"/>
            <w:gridSpan w:val="2"/>
          </w:tcPr>
          <w:p>
            <w:pPr>
              <w:ind w:left="60"/>
              <w:spacing w:after="0" w:line="140"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2"/>
                <w:szCs w:val="12"/>
                <w:color w:val="auto"/>
              </w:rPr>
            </w:pPr>
          </w:p>
        </w:tc>
        <w:tc>
          <w:tcPr>
            <w:tcW w:w="1060" w:type="dxa"/>
            <w:vAlign w:val="bottom"/>
          </w:tcPr>
          <w:p>
            <w:pPr>
              <w:jc w:val="right"/>
              <w:ind w:right="257"/>
              <w:spacing w:after="0" w:line="140" w:lineRule="exact"/>
              <w:rPr>
                <w:sz w:val="20"/>
                <w:szCs w:val="20"/>
                <w:color w:val="auto"/>
              </w:rPr>
            </w:pPr>
            <w:r>
              <w:rPr>
                <w:rFonts w:ascii="Arial" w:cs="Arial" w:eastAsia="Arial" w:hAnsi="Arial"/>
                <w:sz w:val="13"/>
                <w:szCs w:val="13"/>
                <w:b w:val="1"/>
                <w:bCs w:val="1"/>
                <w:color w:val="auto"/>
              </w:rPr>
              <w:t>Intangible</w:t>
            </w:r>
          </w:p>
        </w:tc>
      </w:tr>
      <w:tr>
        <w:trPr>
          <w:trHeight w:val="178"/>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assets, gross</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amortization</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assets, net</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assets, gross</w:t>
            </w:r>
          </w:p>
        </w:tc>
        <w:tc>
          <w:tcPr>
            <w:tcW w:w="1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060" w:type="dxa"/>
            <w:vAlign w:val="bottom"/>
          </w:tcPr>
          <w:p>
            <w:pPr>
              <w:jc w:val="right"/>
              <w:ind w:right="217"/>
              <w:spacing w:after="0"/>
              <w:rPr>
                <w:sz w:val="20"/>
                <w:szCs w:val="20"/>
                <w:color w:val="auto"/>
              </w:rPr>
            </w:pPr>
            <w:r>
              <w:rPr>
                <w:rFonts w:ascii="Arial" w:cs="Arial" w:eastAsia="Arial" w:hAnsi="Arial"/>
                <w:sz w:val="13"/>
                <w:szCs w:val="13"/>
                <w:b w:val="1"/>
                <w:bCs w:val="1"/>
                <w:color w:val="auto"/>
              </w:rPr>
              <w:t>assets, net</w:t>
            </w:r>
          </w:p>
        </w:tc>
      </w:tr>
      <w:tr>
        <w:trPr>
          <w:trHeight w:val="250"/>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790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790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790</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process research and development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Customer relationships — commercial</w:t>
            </w:r>
          </w:p>
        </w:tc>
        <w:tc>
          <w:tcPr>
            <w:tcW w:w="180" w:type="dxa"/>
            <w:vAlign w:val="bottom"/>
          </w:tcPr>
          <w:p>
            <w:pPr>
              <w:spacing w:after="0"/>
              <w:rPr>
                <w:sz w:val="22"/>
                <w:szCs w:val="22"/>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835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194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213</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Proprietary technology</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Customer relationships — defense</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w:t>
            </w: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1,066</w:t>
            </w: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60" w:firstLine="432"/>
        <w:spacing w:after="0" w:line="256" w:lineRule="auto"/>
        <w:rPr>
          <w:sz w:val="20"/>
          <w:szCs w:val="20"/>
          <w:color w:val="auto"/>
        </w:rPr>
      </w:pPr>
      <w:r>
        <w:rPr>
          <w:rFonts w:ascii="Arial" w:cs="Arial" w:eastAsia="Arial" w:hAnsi="Arial"/>
          <w:sz w:val="18"/>
          <w:szCs w:val="18"/>
          <w:color w:val="auto"/>
        </w:rPr>
        <w:t>As of June 30, 2019 and December 31, 2018, the net carrying value of the Company’s Goodwill and other intangible assets, net was $3,098 million and $3,007 million, respectively. See NOTE T, "Acquisitions" for details on the increase in the Company's Goodwill and other intangible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24"/>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04"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94"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9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2019 and December 31, 2018, the Company did not have any Level 3 financial assets or liabilities.</w:t>
      </w:r>
    </w:p>
    <w:p>
      <w:pPr>
        <w:spacing w:after="0" w:line="97"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97"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96"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Condensed Consolidated Balance Sheets.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280" w:firstLine="432"/>
        <w:spacing w:after="0" w:line="262"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June 30, 2019 and December 31, 2018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rPr>
              <w:t>Fair Value Measurements Using</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340" w:type="dxa"/>
            <w:vAlign w:val="bottom"/>
            <w:gridSpan w:val="4"/>
          </w:tcPr>
          <w:p>
            <w:pPr>
              <w:jc w:val="center"/>
              <w:ind w:left="462"/>
              <w:spacing w:after="0"/>
              <w:rPr>
                <w:sz w:val="20"/>
                <w:szCs w:val="20"/>
                <w:color w:val="auto"/>
              </w:rPr>
            </w:pPr>
            <w:r>
              <w:rPr>
                <w:rFonts w:ascii="Arial" w:cs="Arial" w:eastAsia="Arial" w:hAnsi="Arial"/>
                <w:sz w:val="14"/>
                <w:szCs w:val="14"/>
                <w:b w:val="1"/>
                <w:bCs w:val="1"/>
                <w:color w:val="auto"/>
              </w:rPr>
              <w:t>Quoted Prices in Active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340" w:type="dxa"/>
            <w:vAlign w:val="bottom"/>
            <w:gridSpan w:val="4"/>
          </w:tcPr>
          <w:p>
            <w:pPr>
              <w:jc w:val="center"/>
              <w:ind w:left="462"/>
              <w:spacing w:after="0"/>
              <w:rPr>
                <w:sz w:val="20"/>
                <w:szCs w:val="20"/>
                <w:color w:val="auto"/>
              </w:rPr>
            </w:pPr>
            <w:r>
              <w:rPr>
                <w:rFonts w:ascii="Arial" w:cs="Arial" w:eastAsia="Arial" w:hAnsi="Arial"/>
                <w:sz w:val="14"/>
                <w:szCs w:val="14"/>
                <w:b w:val="1"/>
                <w:bCs w:val="1"/>
                <w:color w:val="auto"/>
              </w:rPr>
              <w:t>Markets for Identical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236"/>
              <w:spacing w:after="0"/>
              <w:rPr>
                <w:sz w:val="20"/>
                <w:szCs w:val="20"/>
                <w:color w:val="auto"/>
              </w:rPr>
            </w:pPr>
            <w:r>
              <w:rPr>
                <w:rFonts w:ascii="Arial" w:cs="Arial" w:eastAsia="Arial" w:hAnsi="Arial"/>
                <w:sz w:val="14"/>
                <w:szCs w:val="14"/>
                <w:b w:val="1"/>
                <w:bCs w:val="1"/>
                <w:color w:val="auto"/>
              </w:rPr>
              <w:t>Assets (Level 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4"/>
                <w:szCs w:val="14"/>
                <w:b w:val="1"/>
                <w:bCs w:val="1"/>
                <w:color w:val="auto"/>
              </w:rPr>
              <w:t>Observable Inputs (Level 2)</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3"/>
        </w:trPr>
        <w:tc>
          <w:tcPr>
            <w:tcW w:w="2620" w:type="dxa"/>
            <w:vAlign w:val="bottom"/>
          </w:tcPr>
          <w:p>
            <w:pPr>
              <w:ind w:left="40"/>
              <w:spacing w:after="0"/>
              <w:rPr>
                <w:sz w:val="20"/>
                <w:szCs w:val="20"/>
                <w:color w:val="auto"/>
              </w:rPr>
            </w:pPr>
            <w:r>
              <w:rPr>
                <w:rFonts w:ascii="Arial" w:cs="Arial" w:eastAsia="Arial" w:hAnsi="Arial"/>
                <w:sz w:val="18"/>
                <w:szCs w:val="18"/>
                <w:color w:val="auto"/>
              </w:rPr>
              <w:t>Rabbi trust assets</w:t>
            </w:r>
          </w:p>
        </w:tc>
        <w:tc>
          <w:tcPr>
            <w:tcW w:w="860" w:type="dxa"/>
            <w:vAlign w:val="bottom"/>
          </w:tcPr>
          <w:p>
            <w:pPr>
              <w:spacing w:after="0"/>
              <w:rPr>
                <w:sz w:val="22"/>
                <w:szCs w:val="22"/>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5"/>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86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w:t>
            </w:r>
          </w:p>
        </w:tc>
        <w:tc>
          <w:tcPr>
            <w:tcW w:w="86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8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2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DEBT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Senior Secured Credit Facility Term Loan, variable, due 2022</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1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Notes, fixed 5.0%, due 2024</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Senior Secured Credit Facility Term Loan, variable, due 2026</w:t>
            </w:r>
          </w:p>
        </w:tc>
        <w:tc>
          <w:tcPr>
            <w:tcW w:w="2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648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Notes, fixed 4.75%, due 2027</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Senior Notes, fixed 5.875%, due 2029</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2,548</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maturities of long-term debt</w:t>
            </w:r>
          </w:p>
        </w:tc>
        <w:tc>
          <w:tcPr>
            <w:tcW w:w="2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financing costs, net</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 long-term debt,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2,514</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As of June 30, 2019, the Company had $2,548 million of indebtedness associated with Allison Transmission, Inc.’s (“ATI”), the Company’s wholly-owned subsidiary, 5.0% Senior Notes due September 2024 (“5.0% Senior Notes”), ATI’s 4.75% Senior Notes due October 2027 (“4.75% Senior Notes”), ATI’s 5.875% Senior Notes due June 2029 (“5.875% Senior Notes,” and, together with the 5.0% Senior Notes and 4.75% Senior Notes, the “Senior Notes”) and the Second Amended and Restated Credit Agreement dated as of March 29, 2019 (the “Credit Agreement”), governing ATI’s new term loan facility in the amount of $648 million due March 2026 (“New Term Loan”) and ATI’s new revolving credit facility with commitments in the amount of $600 million due September 2024 (“New Revolving Credit Facility” and, together with the New Term Loan, the “New Senior Secured Credit Facility”).</w:t>
      </w:r>
    </w:p>
    <w:p>
      <w:pPr>
        <w:spacing w:after="0" w:line="153"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fair value of the Company’s long-term debt obligations as of June 30, 2019 was $2,593 million. The fair value is based on quoted Level 2 market prices of the Company’s debt as of June 30, 2019.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Senior Secured Credit Facility</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In March 2019, the Company and ATI entered into the Credit Agreement to reduce the commitments under the prior term loan due 2022 (“Prior Term Loan”) by $500 million and increase the commitments under the prior $550 million revolving credit facility due 2021 (“Prior Revolving Credit Facility” and, together with the Prior Term Loan, the “Prior Senior Secured Credit Facility”) by $50 million. The New Senior Secured Credit Facility also extended the maturity of the Prior Term Loan from 2022 to 2026 and extended the Prior Revolving Credit Facility termination date from 2021 to 2024. The New Senior Secured Credit Facility replaced the Prior Senior Secured Credit Facility, including the Prior Term Loan and Prior Revolving Credit Facility, on March 29, 2019. The Credit Agreement was treated as a modification to the Prior Senior Secured Credit Facility under GAAP, and thus the Company expensed $ 5 million of prior deferred financing fees and $1 million of related third party fees in the Condensed Consolidated Statement of Comprehensive Income for the six months ended June 30, 2019 and recorded $5 million as new deferred financing fees in the Condensed Consolidated Balance Sheet in the first quarter of 2019.</w:t>
      </w:r>
    </w:p>
    <w:p>
      <w:pPr>
        <w:spacing w:after="0" w:line="132"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In March 2018, ATI entered into an amendment with the term loan lenders under the Prior Senior Secured Credit Facility to lower the applicable margins on the Prior Term Loan by 0.25%. The March 2018 amendment was treated as a modification to the Prior Senior Secured Credit Facility under GAAP, and thus the Company recorded $1 million as new deferred financing fees in the first quarter of 2018.</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borrowings under the New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New Term Loan, as of June 30, 2019, is either (a) 2.00% over a LIBOR rate on deposits in U.S. dollars for one-, two-, three- or six-month periods (or twelve-month or shorter periods if, at the time of the borrowing, available from all relevant lenders) (the "LIBOR Rate"), or (b) 1.00%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June 30, 2019, the Company elected to pay the lowest all-in rate of LIBOR plus the applicable margin, or 4.48%, on the New Term Loan. The Credit Agreement requires minimum quarterly principal payments on the New Term Loan starting with the fiscal quarter ending September 30, 2019, as well as prepayments from certain net cash proceeds of non-ordinary course asset sales and casualty and condemnation events, the incurrence of certain debt and from a percentage of excess cash flow, if applicable. The minimum required quarterly principal payment on the New Term Loan through its maturity date of March 2026 is $2 million. As of June 30, 2019, there had been no payments required for certain net cash proceeds of non-ordinary course asset sales and casualty and condemnation events. The remaining principal balance is due upon maturity.</w:t>
      </w:r>
    </w:p>
    <w:p>
      <w:pPr>
        <w:spacing w:after="0" w:line="129"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New Senior Secured Credit Facility also provides a New Revolving Credit Facility, net of an allowance for up to $75 million in outstanding letters of credit commitments. Throughout the six months ended June 30, 2019, the Company made periodic withdrawals and payments on the New Revolving Credit Facility as part of the Company's debt management plans. The maximum amount outstanding at any time during the six months ended June 30, 2019 was $90 million. As of June 30, 2019, the Company had $578 million available under the New Revolving Credit Facility, net of $22 million in letters of credit. Borrowings under the New Revolving Credit Facility bear interest at a variable base rate plus an applicable margin based on the Company’s first lien net leverage ratio. When the Company’s first lien net leverage ratio is above 4.00x, interest on the New Revolving Credit Facility is (a) 0.75% over the Base Rate or (b) 1.75% over the LIBOR Rate; when the Company’s first lien net leverage ratio is equal to or less than 4.00x and above 3.50x, interest on the New Revolving Credit Facility is (i) 0.50% over the Base Rate or (ii) 1.50% over the LIBOR Rate; and when the Company’s first lien net leverage ratio is equal to or below 3.50x, interest on the New Revolving Credit Facility is (y) 0.25% over the Base Rate or (z) 1.25% over the LIBOR Rate. As of June 30, 2019, the applicable margin for the New Revolving Credit Facility was 1.25%. In addition, there is an annual commitment fee, based on the Company’s first lien net leverage ratio, on the average unused revolving credit borrowings available under the New Revolving Credit Facility. As of June 30, 2019, the commitment fee is 0.25%. Borrowings under the New Revolving Credit Facility are payable at the option of the Company throughout the term of the New Senior Secured Credit Facility with the balance due in September 2024.</w:t>
      </w:r>
    </w:p>
    <w:p>
      <w:pPr>
        <w:spacing w:after="0" w:line="13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New Senior Secured Credit Facility requires the Company to maintain a specified maximum first lien net leverage ratio of 5.50x when revolving loan commitments remain outstanding on the New Revolving Credit Facility at the end of a fiscal quarter. As of June 30, 2019, the Company had no amounts outstanding under the New Revolving Credit Facility; however, the Company would have been in compliance with the maximum first lien net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leverage ratio, achieving a 0.43x ratio. Additionally, within the terms of the New Senior Secured Credit Facility, a first lien net leverage ratio at or below 4.00x results in the elimination of excess cash flow payments on the New Senior Secured Credit Facility for the applicable year.</w:t>
      </w:r>
    </w:p>
    <w:p>
      <w:pPr>
        <w:spacing w:after="0" w:line="11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June 30, 2019, the Company was in compliance with all covenants under the Credit Agreement.</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5.0% Senior Notes</w:t>
      </w:r>
    </w:p>
    <w:p>
      <w:pPr>
        <w:spacing w:after="0" w:line="139" w:lineRule="exact"/>
        <w:rPr>
          <w:sz w:val="20"/>
          <w:szCs w:val="20"/>
          <w:color w:val="auto"/>
        </w:rPr>
      </w:pPr>
    </w:p>
    <w:p>
      <w:pPr>
        <w:ind w:right="100" w:firstLine="432"/>
        <w:spacing w:after="0" w:line="251" w:lineRule="auto"/>
        <w:rPr>
          <w:sz w:val="20"/>
          <w:szCs w:val="20"/>
          <w:color w:val="auto"/>
        </w:rPr>
      </w:pPr>
      <w:r>
        <w:rPr>
          <w:rFonts w:ascii="Arial" w:cs="Arial" w:eastAsia="Arial" w:hAnsi="Arial"/>
          <w:sz w:val="18"/>
          <w:szCs w:val="18"/>
          <w:color w:val="auto"/>
        </w:rPr>
        <w:t>The 5.0%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2019, the Company was in compliance with all covenants under the indenture governing the 5.0% Senior Notes.</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4.75% Senior Notes</w:t>
      </w:r>
    </w:p>
    <w:p>
      <w:pPr>
        <w:spacing w:after="0" w:line="139"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The 4.75%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2019, the Company was in compliance with all covenants under the indenture governing the 4.75% Senior Notes.</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5.875% Senior Notes</w:t>
      </w:r>
    </w:p>
    <w:p>
      <w:pPr>
        <w:spacing w:after="0" w:line="139"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March 2019, ATI completed an offering of $500 million of the 5.875% Senior Notes. The 5.875% Senior Notes were offered in a private placement exempt from registration under the Securities Act of 1933, as amended. The net proceeds from the offering, together with borrowings under the New Senior Secured Credit Facility and cash on hand, were used to repay all of the outstanding borrowings under the Prior Term Loan plus accrued and unpaid interest and related transaction expenses. As a result of the offering, the Company recorded $6 million as deferred financing fees in the Condensed Consolidated Balance Sheet in the first quarter of 2019.</w:t>
      </w:r>
    </w:p>
    <w:p>
      <w:pPr>
        <w:spacing w:after="0" w:line="97" w:lineRule="exact"/>
        <w:rPr>
          <w:sz w:val="20"/>
          <w:szCs w:val="20"/>
          <w:color w:val="auto"/>
        </w:rPr>
      </w:pPr>
    </w:p>
    <w:p>
      <w:pPr>
        <w:ind w:right="80" w:firstLine="432"/>
        <w:spacing w:after="0" w:line="251" w:lineRule="auto"/>
        <w:rPr>
          <w:sz w:val="20"/>
          <w:szCs w:val="20"/>
          <w:color w:val="auto"/>
        </w:rPr>
      </w:pPr>
      <w:r>
        <w:rPr>
          <w:rFonts w:ascii="Arial" w:cs="Arial" w:eastAsia="Arial" w:hAnsi="Arial"/>
          <w:sz w:val="18"/>
          <w:szCs w:val="18"/>
          <w:color w:val="auto"/>
        </w:rPr>
        <w:t>The 5.875%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2019, the Company was in compliance with all covenants under the indenture governing the 5.875%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39" w:lineRule="exact"/>
        <w:rPr>
          <w:sz w:val="20"/>
          <w:szCs w:val="20"/>
          <w:color w:val="auto"/>
        </w:rPr>
      </w:pPr>
    </w:p>
    <w:p>
      <w:pPr>
        <w:ind w:right="100" w:firstLine="432"/>
        <w:spacing w:after="0" w:line="251" w:lineRule="auto"/>
        <w:rPr>
          <w:sz w:val="20"/>
          <w:szCs w:val="20"/>
          <w:color w:val="auto"/>
        </w:rPr>
      </w:pPr>
      <w:r>
        <w:rPr>
          <w:rFonts w:ascii="Arial" w:cs="Arial" w:eastAsia="Arial" w:hAnsi="Arial"/>
          <w:sz w:val="18"/>
          <w:szCs w:val="18"/>
          <w:color w:val="auto"/>
        </w:rPr>
        <w:t>The Company is subject to interest rate risk related to the New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AOCL in the Condensed Consolidated Balance Sheets. Balances in AOCL are reclassified to earnings when transactions related to the underlying risk are settled. During the first quarter of 2019, the Company entered into $250 million of interest rate swaps and designated them as cash flow hedges under the hypothetical derivative method. As of June 30, 2019,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104"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Fair Value</w:t>
            </w:r>
          </w:p>
        </w:tc>
        <w:tc>
          <w:tcPr>
            <w:tcW w:w="660" w:type="dxa"/>
            <w:vAlign w:val="bottom"/>
            <w:tcBorders>
              <w:bottom w:val="single" w:sz="8" w:color="auto"/>
            </w:tcBorders>
          </w:tcPr>
          <w:p>
            <w:pPr>
              <w:spacing w:after="0"/>
              <w:rPr>
                <w:sz w:val="17"/>
                <w:szCs w:val="17"/>
                <w:color w:val="auto"/>
              </w:rPr>
            </w:pPr>
          </w:p>
        </w:tc>
      </w:tr>
      <w:tr>
        <w:trPr>
          <w:trHeight w:val="263"/>
        </w:trPr>
        <w:tc>
          <w:tcPr>
            <w:tcW w:w="5700" w:type="dxa"/>
            <w:vAlign w:val="bottom"/>
          </w:tcPr>
          <w:p>
            <w:pPr>
              <w:spacing w:after="0"/>
              <w:rPr>
                <w:sz w:val="22"/>
                <w:szCs w:val="22"/>
                <w:color w:val="auto"/>
              </w:rPr>
            </w:pPr>
          </w:p>
        </w:tc>
        <w:tc>
          <w:tcPr>
            <w:tcW w:w="28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30"/>
        </w:trPr>
        <w:tc>
          <w:tcPr>
            <w:tcW w:w="5700" w:type="dxa"/>
            <w:vAlign w:val="bottom"/>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2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r>
      <w:tr>
        <w:trPr>
          <w:trHeight w:val="41"/>
        </w:trPr>
        <w:tc>
          <w:tcPr>
            <w:tcW w:w="57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70"/>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64"/>
        </w:trPr>
        <w:tc>
          <w:tcPr>
            <w:tcW w:w="570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gridSpan w:val="2"/>
          </w:tcPr>
          <w:p>
            <w:pPr>
              <w:jc w:val="right"/>
              <w:ind w:right="6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0"/>
        </w:trPr>
        <w:tc>
          <w:tcPr>
            <w:tcW w:w="5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firstLine="432"/>
        <w:spacing w:after="0" w:line="254" w:lineRule="auto"/>
        <w:rPr>
          <w:sz w:val="20"/>
          <w:szCs w:val="20"/>
          <w:color w:val="auto"/>
        </w:rPr>
      </w:pPr>
      <w:r>
        <w:rPr>
          <w:rFonts w:ascii="Arial" w:cs="Arial" w:eastAsia="Arial" w:hAnsi="Arial"/>
          <w:sz w:val="18"/>
          <w:szCs w:val="18"/>
          <w:color w:val="auto"/>
        </w:rPr>
        <w:t>The balance of derivative losses recorded in AOCL as of June 30, 2019 was $34 million. See NOTE O “Accumulated Other Comprehensive Loss” for information regarding activity recorded as a component of AOCL during the three and six months ended June 30, 2019. The Company had $3 million derivative losses recorded in AOCL expected to be reclassified to earnings within the next twelve months as of June 30, 2019.</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93" w:lineRule="exact"/>
        <w:rPr>
          <w:sz w:val="20"/>
          <w:szCs w:val="20"/>
          <w:color w:val="auto"/>
        </w:rPr>
      </w:pPr>
    </w:p>
    <w:p>
      <w:pPr>
        <w:ind w:right="380" w:firstLine="432"/>
        <w:spacing w:after="0" w:line="262" w:lineRule="auto"/>
        <w:rPr>
          <w:sz w:val="20"/>
          <w:szCs w:val="20"/>
          <w:color w:val="auto"/>
        </w:rPr>
      </w:pPr>
      <w:r>
        <w:rPr>
          <w:rFonts w:ascii="Arial" w:cs="Arial" w:eastAsia="Arial" w:hAnsi="Arial"/>
          <w:sz w:val="18"/>
          <w:szCs w:val="18"/>
          <w:color w:val="auto"/>
        </w:rPr>
        <w:t>As of June 30, 2019, current and non-current product warranty liabilities were $27 million and $32 million, respectively. As of June 30, 2018, current and non-current product warranty liabilities were $28 million and $37 million, respectively.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June 30,</w:t>
            </w:r>
          </w:p>
        </w:tc>
      </w:tr>
      <w:tr>
        <w:trPr>
          <w:trHeight w:val="276"/>
        </w:trPr>
        <w:tc>
          <w:tcPr>
            <w:tcW w:w="51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Payments</w:t>
            </w: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liability (warranty issued during period)</w:t>
            </w: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adjustments to liability</w:t>
            </w: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72"/>
        </w:trPr>
        <w:tc>
          <w:tcPr>
            <w:tcW w:w="5160" w:type="dxa"/>
            <w:vAlign w:val="bottom"/>
          </w:tcPr>
          <w:p>
            <w:pPr>
              <w:spacing w:after="0"/>
              <w:rPr>
                <w:sz w:val="24"/>
                <w:szCs w:val="24"/>
                <w:color w:val="auto"/>
              </w:rPr>
            </w:pPr>
          </w:p>
        </w:tc>
        <w:tc>
          <w:tcPr>
            <w:tcW w:w="1040" w:type="dxa"/>
            <w:vAlign w:val="bottom"/>
          </w:tcPr>
          <w:p>
            <w:pPr>
              <w:jc w:val="right"/>
              <w:ind w:right="297"/>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93"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As of June 30, 2019, current and non-current deferred revenue was $34 million and $99 million, respectively. As of June 30, 2018, current and non-current deferred revenue was $38 million and $87 million, respectively.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revenue activity consists of the following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r>
      <w:tr>
        <w:trPr>
          <w:trHeight w:val="276"/>
        </w:trPr>
        <w:tc>
          <w:tcPr>
            <w:tcW w:w="5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Increases</w:t>
            </w:r>
          </w:p>
        </w:tc>
        <w:tc>
          <w:tcPr>
            <w:tcW w:w="98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earned</w:t>
            </w: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125</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540" w:firstLine="432"/>
        <w:spacing w:after="0" w:line="256" w:lineRule="auto"/>
        <w:rPr>
          <w:sz w:val="20"/>
          <w:szCs w:val="20"/>
          <w:color w:val="auto"/>
        </w:rPr>
      </w:pPr>
      <w:r>
        <w:rPr>
          <w:rFonts w:ascii="Arial" w:cs="Arial" w:eastAsia="Arial" w:hAnsi="Arial"/>
          <w:sz w:val="18"/>
          <w:szCs w:val="18"/>
          <w:color w:val="auto"/>
        </w:rPr>
        <w:t>Deferred revenue recorded in current and non-current liabilities related to ETC as of June 30, 2019 was $29 million and $77 million, respectively. Deferred revenue recorded in current and non-current liabilities related to ETC as of June 30, 2018 was $29 million and $71 million,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Lease Guidance</w:t>
      </w:r>
    </w:p>
    <w:p>
      <w:pPr>
        <w:spacing w:after="0" w:line="139" w:lineRule="exact"/>
        <w:rPr>
          <w:sz w:val="20"/>
          <w:szCs w:val="20"/>
          <w:color w:val="auto"/>
        </w:rPr>
      </w:pPr>
    </w:p>
    <w:p>
      <w:pPr>
        <w:ind w:right="540" w:firstLine="432"/>
        <w:spacing w:after="0" w:line="254" w:lineRule="auto"/>
        <w:rPr>
          <w:sz w:val="20"/>
          <w:szCs w:val="20"/>
          <w:color w:val="auto"/>
        </w:rPr>
      </w:pPr>
      <w:r>
        <w:rPr>
          <w:rFonts w:ascii="Arial" w:cs="Arial" w:eastAsia="Arial" w:hAnsi="Arial"/>
          <w:sz w:val="18"/>
          <w:szCs w:val="18"/>
          <w:color w:val="auto"/>
        </w:rPr>
        <w:t>New authoritative guidance for leases was adopted by the Company effective January 1, 2019 using the optional transition method. Balances as of June 30, 2019 and results for the three and six months ended June 30, 2019 are presented in conformity with the new authoritative accounting guidance, while prior period balances and results are presented in conformity with prior accounting guidance for leases.</w:t>
      </w:r>
    </w:p>
    <w:p>
      <w:pPr>
        <w:spacing w:after="0" w:line="96" w:lineRule="exact"/>
        <w:rPr>
          <w:sz w:val="20"/>
          <w:szCs w:val="20"/>
          <w:color w:val="auto"/>
        </w:rPr>
      </w:pPr>
    </w:p>
    <w:p>
      <w:pPr>
        <w:jc w:val="both"/>
        <w:ind w:right="320" w:firstLine="432"/>
        <w:spacing w:after="0" w:line="256" w:lineRule="auto"/>
        <w:rPr>
          <w:sz w:val="20"/>
          <w:szCs w:val="20"/>
          <w:color w:val="auto"/>
        </w:rPr>
      </w:pPr>
      <w:r>
        <w:rPr>
          <w:rFonts w:ascii="Arial" w:cs="Arial" w:eastAsia="Arial" w:hAnsi="Arial"/>
          <w:sz w:val="18"/>
          <w:szCs w:val="18"/>
          <w:color w:val="auto"/>
        </w:rPr>
        <w:t>The Company recognized right-of-use ("ROU") assets for operating leases of $ 14 million and current and non-current operating lease liabilities of $4 million and $9 million, respectively, as of January 1, 2019. At the time of adoption, the Company was not party to any finance leases.</w:t>
      </w:r>
    </w:p>
    <w:p>
      <w:pPr>
        <w:spacing w:after="0" w:line="94" w:lineRule="exact"/>
        <w:rPr>
          <w:sz w:val="20"/>
          <w:szCs w:val="20"/>
          <w:color w:val="auto"/>
        </w:rPr>
      </w:pPr>
    </w:p>
    <w:p>
      <w:pPr>
        <w:ind w:right="220" w:firstLine="432"/>
        <w:spacing w:after="0" w:line="256" w:lineRule="auto"/>
        <w:rPr>
          <w:sz w:val="20"/>
          <w:szCs w:val="20"/>
          <w:color w:val="auto"/>
        </w:rPr>
      </w:pPr>
      <w:r>
        <w:rPr>
          <w:rFonts w:ascii="Arial" w:cs="Arial" w:eastAsia="Arial" w:hAnsi="Arial"/>
          <w:sz w:val="18"/>
          <w:szCs w:val="18"/>
          <w:color w:val="auto"/>
        </w:rPr>
        <w:t>The Company elected practical expedients allowed by this guidance which included not reassessing existing or expired contracts for leases, not reassessing existing or expired leases for classification, not reassessing indirect costs for any existing leases and using hindsight when determining lease terms.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operating or finance leases. As of June 30, 2019, the Company was not a party to any finance leases. Contracts that contain leases are assessed to determine if the consideration in the contract is related to a lease component, non-lease component or other components not related to the lease. Lease components are recorded as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99" w:lineRule="exact"/>
        <w:rPr>
          <w:sz w:val="20"/>
          <w:szCs w:val="20"/>
          <w:color w:val="auto"/>
        </w:rPr>
      </w:pPr>
    </w:p>
    <w:p>
      <w:pPr>
        <w:ind w:right="480" w:firstLine="432"/>
        <w:spacing w:after="0" w:line="256"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94" w:lineRule="exact"/>
        <w:rPr>
          <w:sz w:val="20"/>
          <w:szCs w:val="20"/>
          <w:color w:val="auto"/>
        </w:rPr>
      </w:pPr>
    </w:p>
    <w:p>
      <w:pPr>
        <w:ind w:right="200" w:firstLine="432"/>
        <w:spacing w:after="0" w:line="253"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New Term Loan. The Company believes this rate effectively represents a borrowing rate the Company could obtain on a debt instrument possessing similar terms as the lease. The lease liability is classified between current and non-current liabilities based on the terms of the underlying leases. The weighted average discount rate on operating leases as of June 30, 2019 was 4.33%.</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220" w:firstLine="432"/>
        <w:spacing w:after="0" w:line="262" w:lineRule="auto"/>
        <w:rPr>
          <w:sz w:val="20"/>
          <w:szCs w:val="20"/>
          <w:color w:val="auto"/>
        </w:rPr>
      </w:pPr>
      <w:r>
        <w:rPr>
          <w:rFonts w:ascii="Arial" w:cs="Arial" w:eastAsia="Arial" w:hAnsi="Arial"/>
          <w:sz w:val="18"/>
          <w:szCs w:val="18"/>
          <w:color w:val="auto"/>
        </w:rPr>
        <w:t>As of December 31, 2018, future undiscounted payments under operating leases (as defined by prior guidance) are expected to be as follows for the next five annual periods and thereafter following December 31, 2018:</w:t>
      </w:r>
    </w:p>
    <w:p>
      <w:pPr>
        <w:spacing w:after="0" w:line="238"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6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3</w:t>
            </w:r>
          </w:p>
        </w:tc>
      </w:tr>
      <w:tr>
        <w:trPr>
          <w:trHeight w:val="26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1</w:t>
            </w:r>
          </w:p>
        </w:tc>
      </w:tr>
      <w:tr>
        <w:trPr>
          <w:trHeight w:val="26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r>
      <w:tr>
        <w:trPr>
          <w:trHeight w:val="250"/>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257"/>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w:t>
            </w: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2019, the Company recorded current and non-current operating lease liabilities of $4 million and $17 million,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total operating lease liabilities as of June 30, 2019 to future undiscounted cash flows for operating leases:</w:t>
      </w:r>
    </w:p>
    <w:p>
      <w:pPr>
        <w:spacing w:after="0" w:line="321" w:lineRule="exact"/>
        <w:rPr>
          <w:sz w:val="20"/>
          <w:szCs w:val="20"/>
          <w:color w:val="auto"/>
        </w:rPr>
      </w:pPr>
    </w:p>
    <w:tbl>
      <w:tblPr>
        <w:tblLayout w:type="fixed"/>
        <w:tblInd w:w="720" w:type="dxa"/>
        <w:tblCellMar>
          <w:top w:w="0" w:type="dxa"/>
          <w:left w:w="0" w:type="dxa"/>
          <w:bottom w:w="0" w:type="dxa"/>
          <w:right w:w="0" w:type="dxa"/>
        </w:tblCellMar>
      </w:tblPr>
      <w:tr>
        <w:trPr>
          <w:trHeight w:val="196"/>
        </w:trPr>
        <w:tc>
          <w:tcPr>
            <w:tcW w:w="86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June 30, 2019</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5</w:t>
            </w:r>
          </w:p>
        </w:tc>
      </w:tr>
      <w:tr>
        <w:trPr>
          <w:trHeight w:val="26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r>
      <w:tr>
        <w:trPr>
          <w:trHeight w:val="26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r>
      <w:tr>
        <w:trPr>
          <w:trHeight w:val="250"/>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w:t>
            </w:r>
          </w:p>
        </w:tc>
      </w:tr>
      <w:tr>
        <w:trPr>
          <w:trHeight w:val="257"/>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w:t>
            </w:r>
          </w:p>
        </w:tc>
      </w:tr>
      <w:tr>
        <w:trPr>
          <w:trHeight w:val="250"/>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w:t>
            </w:r>
          </w:p>
        </w:tc>
      </w:tr>
      <w:tr>
        <w:trPr>
          <w:trHeight w:val="257"/>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w:t>
            </w: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60" w:firstLine="432"/>
        <w:spacing w:after="0" w:line="262"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292" w:lineRule="exact"/>
        <w:rPr>
          <w:sz w:val="20"/>
          <w:szCs w:val="20"/>
          <w:color w:val="auto"/>
        </w:rPr>
      </w:pPr>
    </w:p>
    <w:tbl>
      <w:tblPr>
        <w:tblLayout w:type="fixed"/>
        <w:tblInd w:w="720" w:type="dxa"/>
        <w:tblCellMar>
          <w:top w:w="0" w:type="dxa"/>
          <w:left w:w="0" w:type="dxa"/>
          <w:bottom w:w="0" w:type="dxa"/>
          <w:right w:w="0" w:type="dxa"/>
        </w:tblCellMar>
      </w:tblPr>
      <w:tr>
        <w:trPr>
          <w:trHeight w:val="196"/>
        </w:trPr>
        <w:tc>
          <w:tcPr>
            <w:tcW w:w="86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June 30, 2019</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w:t>
            </w:r>
          </w:p>
        </w:tc>
      </w:tr>
      <w:tr>
        <w:trPr>
          <w:trHeight w:val="250"/>
        </w:trPr>
        <w:tc>
          <w:tcPr>
            <w:tcW w:w="8660" w:type="dxa"/>
            <w:vAlign w:val="bottom"/>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r>
      <w:tr>
        <w:trPr>
          <w:trHeight w:val="263"/>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r>
      <w:tr>
        <w:trPr>
          <w:trHeight w:val="250"/>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Equipment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w:t>
            </w: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right-of-use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w:t>
            </w: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remaining lease term as of June 30, 2019 was 7.08 years.</w:t>
      </w:r>
    </w:p>
    <w:p>
      <w:pPr>
        <w:spacing w:after="0" w:line="117"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Operating lease expense was $2 million and $3 million for the three and six months ended June 30, 2019, respectively, and recorded within Selling, general and administrative expense and Engineering - research and development on the Company's Condensed Consolidated Statements of Comprehensive Income. There was no short-term operating lease expense for the three and six months ended June 30, 2019.</w:t>
      </w:r>
    </w:p>
    <w:p>
      <w:pPr>
        <w:spacing w:after="0" w:line="94"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The calculation of the the Company's ROU assets and lease liabilities did not include cash consideration as of June 30, 2019. During the three and six months ended June 30, 2019, the Company added $8 million of new ROU assets obtained through non-cash transactions.</w:t>
      </w: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b w:val="1"/>
                <w:bCs w:val="1"/>
                <w:color w:val="auto"/>
              </w:rPr>
              <w:t>As of June 30,</w:t>
            </w:r>
          </w:p>
        </w:tc>
        <w:tc>
          <w:tcPr>
            <w:tcW w:w="1360" w:type="dxa"/>
            <w:vAlign w:val="bottom"/>
            <w:gridSpan w:val="2"/>
          </w:tcPr>
          <w:p>
            <w:pPr>
              <w:jc w:val="right"/>
              <w:ind w:right="12"/>
              <w:spacing w:after="0"/>
              <w:rPr>
                <w:sz w:val="20"/>
                <w:szCs w:val="20"/>
                <w:color w:val="auto"/>
              </w:rPr>
            </w:pPr>
            <w:r>
              <w:rPr>
                <w:rFonts w:ascii="Arial" w:cs="Arial" w:eastAsia="Arial" w:hAnsi="Arial"/>
                <w:sz w:val="13"/>
                <w:szCs w:val="13"/>
                <w:b w:val="1"/>
                <w:bCs w:val="1"/>
                <w:color w:val="auto"/>
              </w:rPr>
              <w:t>As of December 31,</w:t>
            </w:r>
          </w:p>
        </w:tc>
      </w:tr>
      <w:tr>
        <w:trPr>
          <w:trHeight w:val="178"/>
        </w:trPr>
        <w:tc>
          <w:tcPr>
            <w:tcW w:w="8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2018</w:t>
            </w:r>
          </w:p>
        </w:tc>
      </w:tr>
      <w:tr>
        <w:trPr>
          <w:trHeight w:val="25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Payroll and 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Sales allowances</w:t>
            </w:r>
          </w:p>
        </w:tc>
        <w:tc>
          <w:tcPr>
            <w:tcW w:w="1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39</w:t>
            </w:r>
          </w:p>
        </w:tc>
      </w:tr>
      <w:tr>
        <w:trPr>
          <w:trHeight w:val="27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Vendor buyback obligation</w:t>
            </w:r>
          </w:p>
        </w:tc>
        <w:tc>
          <w:tcPr>
            <w:tcW w:w="1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w:t>
            </w:r>
          </w:p>
        </w:tc>
      </w:tr>
      <w:tr>
        <w:trPr>
          <w:trHeight w:val="27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Vendor liability</w:t>
            </w:r>
          </w:p>
        </w:tc>
        <w:tc>
          <w:tcPr>
            <w:tcW w:w="1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w:t>
            </w:r>
          </w:p>
        </w:tc>
      </w:tr>
      <w:tr>
        <w:trPr>
          <w:trHeight w:val="27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Defense price reduction reserve</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Non-trade payables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Lease liability</w:t>
            </w:r>
          </w:p>
        </w:tc>
        <w:tc>
          <w:tcPr>
            <w:tcW w:w="1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50"/>
        </w:trPr>
        <w:tc>
          <w:tcPr>
            <w:tcW w:w="838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197</w:t>
            </w:r>
          </w:p>
        </w:tc>
      </w:tr>
      <w:tr>
        <w:trPr>
          <w:trHeight w:val="20"/>
        </w:trPr>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periodic benefit cost: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Prior service credit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periodic benefit cost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periodic benefit cost: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Prior service credit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periodic benefit cost (credit)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right="476"/>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center"/>
              <w:ind w:right="233"/>
              <w:spacing w:after="0"/>
              <w:rPr>
                <w:sz w:val="20"/>
                <w:szCs w:val="20"/>
                <w:color w:val="auto"/>
              </w:rPr>
            </w:pPr>
            <w:r>
              <w:rPr>
                <w:rFonts w:ascii="Arial" w:cs="Arial" w:eastAsia="Arial" w:hAnsi="Arial"/>
                <w:sz w:val="14"/>
                <w:szCs w:val="14"/>
                <w:b w:val="1"/>
                <w:bCs w:val="1"/>
                <w:color w:val="auto"/>
              </w:rPr>
              <w:t>Post-retirement Benefits</w:t>
            </w:r>
          </w:p>
        </w:tc>
      </w:tr>
      <w:tr>
        <w:trPr>
          <w:trHeight w:val="244"/>
        </w:trPr>
        <w:tc>
          <w:tcPr>
            <w:tcW w:w="268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Three months ended June 30,</w:t>
            </w:r>
          </w:p>
        </w:tc>
      </w:tr>
      <w:tr>
        <w:trPr>
          <w:trHeight w:val="276"/>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526"/>
        </w:trPr>
        <w:tc>
          <w:tcPr>
            <w:tcW w:w="980" w:type="dxa"/>
            <w:vAlign w:val="bottom"/>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1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4"/>
                <w:szCs w:val="24"/>
                <w:color w:val="auto"/>
              </w:rPr>
            </w:pPr>
          </w:p>
        </w:tc>
        <w:tc>
          <w:tcPr>
            <w:tcW w:w="1100" w:type="dxa"/>
            <w:vAlign w:val="bottom"/>
          </w:tcPr>
          <w:p>
            <w:pPr>
              <w:jc w:val="right"/>
              <w:ind w:right="876"/>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980" w:type="dxa"/>
            <w:vAlign w:val="bottom"/>
          </w:tcPr>
          <w:p>
            <w:pPr>
              <w:spacing w:after="0"/>
              <w:rPr>
                <w:sz w:val="23"/>
                <w:szCs w:val="23"/>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98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656"/>
        </w:trPr>
        <w:tc>
          <w:tcPr>
            <w:tcW w:w="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476"/>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right="233"/>
              <w:spacing w:after="0"/>
              <w:rPr>
                <w:sz w:val="20"/>
                <w:szCs w:val="20"/>
                <w:color w:val="auto"/>
              </w:rPr>
            </w:pPr>
            <w:r>
              <w:rPr>
                <w:rFonts w:ascii="Arial" w:cs="Arial" w:eastAsia="Arial" w:hAnsi="Arial"/>
                <w:sz w:val="14"/>
                <w:szCs w:val="14"/>
                <w:b w:val="1"/>
                <w:bCs w:val="1"/>
                <w:color w:val="auto"/>
              </w:rPr>
              <w:t>Post-retirement Benefits</w:t>
            </w:r>
          </w:p>
        </w:tc>
      </w:tr>
      <w:tr>
        <w:trPr>
          <w:trHeight w:val="244"/>
        </w:trPr>
        <w:tc>
          <w:tcPr>
            <w:tcW w:w="268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Six months ended June 30,</w:t>
            </w:r>
          </w:p>
        </w:tc>
      </w:tr>
      <w:tr>
        <w:trPr>
          <w:trHeight w:val="276"/>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526"/>
        </w:trPr>
        <w:tc>
          <w:tcPr>
            <w:tcW w:w="980" w:type="dxa"/>
            <w:vAlign w:val="bottom"/>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13"/>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4"/>
                <w:szCs w:val="24"/>
                <w:color w:val="auto"/>
              </w:rPr>
            </w:pPr>
          </w:p>
        </w:tc>
        <w:tc>
          <w:tcPr>
            <w:tcW w:w="1100" w:type="dxa"/>
            <w:vAlign w:val="bottom"/>
          </w:tcPr>
          <w:p>
            <w:pPr>
              <w:jc w:val="right"/>
              <w:ind w:right="876"/>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980" w:type="dxa"/>
            <w:vAlign w:val="bottom"/>
          </w:tcPr>
          <w:p>
            <w:pPr>
              <w:spacing w:after="0"/>
              <w:rPr>
                <w:sz w:val="23"/>
                <w:szCs w:val="23"/>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0"/>
        </w:trPr>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98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-2717800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-2374900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-2032000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-882650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-539750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-196850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spacing w:after="0" w:line="177" w:lineRule="exact"/>
        <w:rPr>
          <w:sz w:val="20"/>
          <w:szCs w:val="20"/>
          <w:color w:val="auto"/>
        </w:rPr>
      </w:pPr>
    </w:p>
    <w:p>
      <w:pPr>
        <w:ind w:right="580" w:firstLine="432"/>
        <w:spacing w:after="0" w:line="262"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income, net in the Condensed Consolidated Statements of Comprehensive Income.</w:t>
      </w:r>
    </w:p>
    <w:p>
      <w:pPr>
        <w:sectPr>
          <w:pgSz w:w="11900" w:h="16838" w:orient="portrait"/>
          <w:cols w:equalWidth="0" w:num="1">
            <w:col w:w="11420"/>
          </w:cols>
          <w:pgMar w:left="240" w:top="125" w:right="2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9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For the three and six months ended June 30, 2019, the Company recorded total tax expense of $48 million and $92 million, respectively. The effective tax rate for both the three and six months ended June 30, 2019 was 21%. For the three and six months ended June 30, 2018, the Company recorded total tax expense of $48 million and $88 million, respectively. The effective tax rate for three and six months ended June 30, 2018 was 22% and 21%, respectively.</w:t>
      </w:r>
    </w:p>
    <w:p>
      <w:pPr>
        <w:spacing w:after="0" w:line="96"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97" w:lineRule="exact"/>
        <w:rPr>
          <w:sz w:val="20"/>
          <w:szCs w:val="20"/>
          <w:color w:val="auto"/>
        </w:rPr>
      </w:pPr>
    </w:p>
    <w:p>
      <w:pPr>
        <w:jc w:val="both"/>
        <w:ind w:right="220" w:firstLine="432"/>
        <w:spacing w:after="0" w:line="256"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94"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In accordance with the FASB’s authoritative guidance on accounting for income taxes, the Company has recorded a liability for unrecognized tax benefits related to a 2010 Research and Development Credit as of June 30, 2019 and December 31, 2018.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40"/>
        </w:trPr>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Available-for-sale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6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securities and</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6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OPEB liability</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interest rate</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8"/>
        </w:trPr>
        <w:tc>
          <w:tcPr>
            <w:tcW w:w="6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5"/>
              </w:rPr>
              <w:t>adjustment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rPr>
              <w:t>swaps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94"/>
              </w:rPr>
              <w:t>items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3"/>
                <w:szCs w:val="13"/>
                <w:b w:val="1"/>
                <w:bCs w:val="1"/>
                <w:color w:val="auto"/>
              </w:rPr>
              <w:t>Total</w:t>
            </w:r>
          </w:p>
        </w:tc>
      </w:tr>
      <w:tr>
        <w:trPr>
          <w:trHeight w:val="25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AOCL as of March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6620" w:type="dxa"/>
            <w:vAlign w:val="bottom"/>
          </w:tcPr>
          <w:p>
            <w:pPr>
              <w:ind w:left="38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6620" w:type="dxa"/>
            <w:vAlign w:val="bottom"/>
          </w:tcPr>
          <w:p>
            <w:pPr>
              <w:ind w:left="380"/>
              <w:spacing w:after="0"/>
              <w:rPr>
                <w:sz w:val="20"/>
                <w:szCs w:val="20"/>
                <w:color w:val="auto"/>
              </w:rPr>
            </w:pPr>
            <w:r>
              <w:rPr>
                <w:rFonts w:ascii="Arial" w:cs="Arial" w:eastAsia="Arial" w:hAnsi="Arial"/>
                <w:sz w:val="18"/>
                <w:szCs w:val="18"/>
                <w:color w:val="auto"/>
              </w:rPr>
              <w:t>Income tax</w:t>
            </w:r>
          </w:p>
        </w:tc>
        <w:tc>
          <w:tcPr>
            <w:tcW w:w="14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6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AOCL as of June 30,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4"/>
        </w:trPr>
        <w:tc>
          <w:tcPr>
            <w:tcW w:w="66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AOCL as of March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6620" w:type="dxa"/>
            <w:vAlign w:val="bottom"/>
          </w:tcPr>
          <w:p>
            <w:pPr>
              <w:ind w:left="38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77"/>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64"/>
        </w:trPr>
        <w:tc>
          <w:tcPr>
            <w:tcW w:w="6620" w:type="dxa"/>
            <w:vAlign w:val="bottom"/>
          </w:tcPr>
          <w:p>
            <w:pPr>
              <w:ind w:left="380"/>
              <w:spacing w:after="0"/>
              <w:rPr>
                <w:sz w:val="20"/>
                <w:szCs w:val="20"/>
                <w:color w:val="auto"/>
              </w:rPr>
            </w:pPr>
            <w:r>
              <w:rPr>
                <w:rFonts w:ascii="Arial" w:cs="Arial" w:eastAsia="Arial" w:hAnsi="Arial"/>
                <w:sz w:val="18"/>
                <w:szCs w:val="18"/>
                <w:color w:val="auto"/>
              </w:rPr>
              <w:t>Income tax</w:t>
            </w:r>
          </w:p>
        </w:tc>
        <w:tc>
          <w:tcPr>
            <w:tcW w:w="14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w:t>
            </w:r>
          </w:p>
        </w:tc>
      </w:tr>
      <w:tr>
        <w:trPr>
          <w:trHeight w:val="250"/>
        </w:trPr>
        <w:tc>
          <w:tcPr>
            <w:tcW w:w="6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r>
      <w:tr>
        <w:trPr>
          <w:trHeight w:val="257"/>
        </w:trPr>
        <w:tc>
          <w:tcPr>
            <w:tcW w:w="6620" w:type="dxa"/>
            <w:vAlign w:val="bottom"/>
          </w:tcPr>
          <w:p>
            <w:pPr>
              <w:ind w:left="40"/>
              <w:spacing w:after="0"/>
              <w:rPr>
                <w:sz w:val="20"/>
                <w:szCs w:val="20"/>
                <w:color w:val="auto"/>
              </w:rPr>
            </w:pPr>
            <w:r>
              <w:rPr>
                <w:rFonts w:ascii="Arial" w:cs="Arial" w:eastAsia="Arial" w:hAnsi="Arial"/>
                <w:sz w:val="18"/>
                <w:szCs w:val="18"/>
                <w:color w:val="auto"/>
              </w:rPr>
              <w:t>AOCL as of June 30,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40"/>
        </w:trPr>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Available-for-sale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6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securities and</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6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OPEB liability</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interest rate</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8"/>
        </w:trPr>
        <w:tc>
          <w:tcPr>
            <w:tcW w:w="6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5"/>
              </w:rPr>
              <w:t>adjustment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rPr>
              <w:t>swaps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94"/>
              </w:rPr>
              <w:t>items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3"/>
                <w:szCs w:val="13"/>
                <w:b w:val="1"/>
                <w:bCs w:val="1"/>
                <w:color w:val="auto"/>
              </w:rPr>
              <w:t>Total</w:t>
            </w:r>
          </w:p>
        </w:tc>
      </w:tr>
      <w:tr>
        <w:trPr>
          <w:trHeight w:val="25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AOCL as of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6620" w:type="dxa"/>
            <w:vAlign w:val="bottom"/>
          </w:tcPr>
          <w:p>
            <w:pPr>
              <w:ind w:left="38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6620" w:type="dxa"/>
            <w:vAlign w:val="bottom"/>
          </w:tcPr>
          <w:p>
            <w:pPr>
              <w:ind w:left="380"/>
              <w:spacing w:after="0"/>
              <w:rPr>
                <w:sz w:val="20"/>
                <w:szCs w:val="20"/>
                <w:color w:val="auto"/>
              </w:rPr>
            </w:pPr>
            <w:r>
              <w:rPr>
                <w:rFonts w:ascii="Arial" w:cs="Arial" w:eastAsia="Arial" w:hAnsi="Arial"/>
                <w:sz w:val="18"/>
                <w:szCs w:val="18"/>
                <w:color w:val="auto"/>
              </w:rPr>
              <w:t>Income tax</w:t>
            </w:r>
          </w:p>
        </w:tc>
        <w:tc>
          <w:tcPr>
            <w:tcW w:w="14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6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AOCL as of June 30,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4"/>
        </w:trPr>
        <w:tc>
          <w:tcPr>
            <w:tcW w:w="66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AOCL as of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6620" w:type="dxa"/>
            <w:vAlign w:val="bottom"/>
          </w:tcPr>
          <w:p>
            <w:pPr>
              <w:ind w:left="38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77"/>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r>
      <w:tr>
        <w:trPr>
          <w:trHeight w:val="263"/>
        </w:trPr>
        <w:tc>
          <w:tcPr>
            <w:tcW w:w="6620" w:type="dxa"/>
            <w:vAlign w:val="bottom"/>
          </w:tcPr>
          <w:p>
            <w:pPr>
              <w:ind w:left="380"/>
              <w:spacing w:after="0"/>
              <w:rPr>
                <w:sz w:val="20"/>
                <w:szCs w:val="20"/>
                <w:color w:val="auto"/>
              </w:rPr>
            </w:pPr>
            <w:r>
              <w:rPr>
                <w:rFonts w:ascii="Arial" w:cs="Arial" w:eastAsia="Arial" w:hAnsi="Arial"/>
                <w:sz w:val="18"/>
                <w:szCs w:val="18"/>
                <w:color w:val="auto"/>
              </w:rPr>
              <w:t>Income tax</w:t>
            </w:r>
          </w:p>
        </w:tc>
        <w:tc>
          <w:tcPr>
            <w:tcW w:w="14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7</w:t>
            </w:r>
          </w:p>
        </w:tc>
      </w:tr>
      <w:tr>
        <w:trPr>
          <w:trHeight w:val="270"/>
        </w:trPr>
        <w:tc>
          <w:tcPr>
            <w:tcW w:w="6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of stranded tax effects</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r>
      <w:tr>
        <w:trPr>
          <w:trHeight w:val="250"/>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r>
      <w:tr>
        <w:trPr>
          <w:trHeight w:val="25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AOCL as of 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In accordance with the FASB's new authoritative guidance regarding the reclassification of certain tax effects from accumulated other comprehensive income, the Company reclassified approximately $ 7 million, as of January 1, 2019, from accumulated other comprehensive loss to retained earnings for the stranded tax effects resulting from the U.S. Tax Cuts and Jobs Act. This reclassification had zero net effect on total stockholders' equity. The Company utilizes the portfolio securities approach when releasing income tax effects from accumulated other comprehensive loss for its investment securities.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Amounts reclassified from AOCL</w:t>
            </w:r>
          </w:p>
        </w:tc>
        <w:tc>
          <w:tcPr>
            <w:tcW w:w="360" w:type="dxa"/>
            <w:vAlign w:val="bottom"/>
            <w:tcBorders>
              <w:bottom w:val="single" w:sz="8" w:color="auto"/>
            </w:tcBorders>
          </w:tcPr>
          <w:p>
            <w:pPr>
              <w:spacing w:after="0"/>
              <w:rPr>
                <w:sz w:val="17"/>
                <w:szCs w:val="17"/>
                <w:color w:val="auto"/>
              </w:rPr>
            </w:pPr>
          </w:p>
        </w:tc>
        <w:tc>
          <w:tcPr>
            <w:tcW w:w="3520" w:type="dxa"/>
            <w:vAlign w:val="bottom"/>
          </w:tcPr>
          <w:p>
            <w:pPr>
              <w:jc w:val="center"/>
              <w:ind w:left="18"/>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175"/>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w:t>
            </w:r>
          </w:p>
        </w:tc>
      </w:tr>
      <w:tr>
        <w:trPr>
          <w:trHeight w:val="196"/>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AOCL Components</w:t>
            </w:r>
          </w:p>
        </w:tc>
        <w:tc>
          <w:tcPr>
            <w:tcW w:w="1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June 30, 2019</w:t>
            </w:r>
          </w:p>
        </w:tc>
        <w:tc>
          <w:tcPr>
            <w:tcW w:w="1480" w:type="dxa"/>
            <w:vAlign w:val="bottom"/>
          </w:tcPr>
          <w:p>
            <w:pPr>
              <w:jc w:val="center"/>
              <w:ind w:left="257"/>
              <w:spacing w:after="0"/>
              <w:rPr>
                <w:sz w:val="20"/>
                <w:szCs w:val="20"/>
                <w:color w:val="auto"/>
              </w:rPr>
            </w:pPr>
            <w:r>
              <w:rPr>
                <w:rFonts w:ascii="Arial" w:cs="Arial" w:eastAsia="Arial" w:hAnsi="Arial"/>
                <w:sz w:val="14"/>
                <w:szCs w:val="14"/>
                <w:b w:val="1"/>
                <w:bCs w:val="1"/>
                <w:color w:val="auto"/>
              </w:rPr>
              <w:t>June 30, 2018</w:t>
            </w:r>
          </w:p>
        </w:tc>
        <w:tc>
          <w:tcPr>
            <w:tcW w:w="360" w:type="dxa"/>
            <w:vAlign w:val="bottom"/>
          </w:tcPr>
          <w:p>
            <w:pPr>
              <w:spacing w:after="0"/>
              <w:rPr>
                <w:sz w:val="17"/>
                <w:szCs w:val="17"/>
                <w:color w:val="auto"/>
              </w:rPr>
            </w:pPr>
          </w:p>
        </w:tc>
        <w:tc>
          <w:tcPr>
            <w:tcW w:w="3520" w:type="dxa"/>
            <w:vAlign w:val="bottom"/>
          </w:tcPr>
          <w:p>
            <w:pPr>
              <w:jc w:val="center"/>
              <w:ind w:left="18"/>
              <w:spacing w:after="0"/>
              <w:rPr>
                <w:sz w:val="20"/>
                <w:szCs w:val="20"/>
                <w:color w:val="auto"/>
              </w:rPr>
            </w:pPr>
            <w:r>
              <w:rPr>
                <w:rFonts w:ascii="Arial" w:cs="Arial" w:eastAsia="Arial" w:hAnsi="Arial"/>
                <w:sz w:val="14"/>
                <w:szCs w:val="14"/>
                <w:b w:val="1"/>
                <w:bCs w:val="1"/>
                <w:color w:val="auto"/>
              </w:rPr>
              <w:t>Comprehensive Income</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benefit items: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35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6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Prior service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277"/>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before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7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reclassifications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77"/>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of tax</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569"/>
        </w:trPr>
        <w:tc>
          <w:tcPr>
            <w:tcW w:w="4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Amounts reclassified from AOCL</w:t>
            </w:r>
          </w:p>
        </w:tc>
        <w:tc>
          <w:tcPr>
            <w:tcW w:w="360" w:type="dxa"/>
            <w:vAlign w:val="bottom"/>
            <w:tcBorders>
              <w:bottom w:val="single" w:sz="8" w:color="auto"/>
            </w:tcBorders>
          </w:tcPr>
          <w:p>
            <w:pPr>
              <w:spacing w:after="0"/>
              <w:rPr>
                <w:sz w:val="24"/>
                <w:szCs w:val="24"/>
                <w:color w:val="auto"/>
              </w:rPr>
            </w:pPr>
          </w:p>
        </w:tc>
        <w:tc>
          <w:tcPr>
            <w:tcW w:w="3520" w:type="dxa"/>
            <w:vAlign w:val="bottom"/>
          </w:tcPr>
          <w:p>
            <w:pPr>
              <w:jc w:val="center"/>
              <w:ind w:left="18"/>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175"/>
        </w:trPr>
        <w:tc>
          <w:tcPr>
            <w:tcW w:w="4120" w:type="dxa"/>
            <w:vAlign w:val="bottom"/>
          </w:tcPr>
          <w:p>
            <w:pPr>
              <w:spacing w:after="0"/>
              <w:rPr>
                <w:sz w:val="15"/>
                <w:szCs w:val="15"/>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Six months ended June</w:t>
            </w: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 June</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w:t>
            </w:r>
          </w:p>
        </w:tc>
      </w:tr>
      <w:tr>
        <w:trPr>
          <w:trHeight w:val="196"/>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AOCL Components</w:t>
            </w: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30, 2019</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ind w:left="277"/>
              <w:spacing w:after="0"/>
              <w:rPr>
                <w:sz w:val="20"/>
                <w:szCs w:val="20"/>
                <w:color w:val="auto"/>
              </w:rPr>
            </w:pPr>
            <w:r>
              <w:rPr>
                <w:rFonts w:ascii="Arial" w:cs="Arial" w:eastAsia="Arial" w:hAnsi="Arial"/>
                <w:sz w:val="14"/>
                <w:szCs w:val="14"/>
                <w:b w:val="1"/>
                <w:bCs w:val="1"/>
                <w:color w:val="auto"/>
              </w:rPr>
              <w:t>30, 2018</w:t>
            </w:r>
          </w:p>
        </w:tc>
        <w:tc>
          <w:tcPr>
            <w:tcW w:w="360" w:type="dxa"/>
            <w:vAlign w:val="bottom"/>
            <w:tcBorders>
              <w:bottom w:val="single" w:sz="8" w:color="auto"/>
            </w:tcBorders>
          </w:tcPr>
          <w:p>
            <w:pPr>
              <w:spacing w:after="0"/>
              <w:rPr>
                <w:sz w:val="17"/>
                <w:szCs w:val="17"/>
                <w:color w:val="auto"/>
              </w:rPr>
            </w:pPr>
          </w:p>
        </w:tc>
        <w:tc>
          <w:tcPr>
            <w:tcW w:w="3520" w:type="dxa"/>
            <w:vAlign w:val="bottom"/>
            <w:tcBorders>
              <w:bottom w:val="single" w:sz="8" w:color="CCEEFF"/>
            </w:tcBorders>
          </w:tcPr>
          <w:p>
            <w:pPr>
              <w:jc w:val="center"/>
              <w:ind w:left="18"/>
              <w:spacing w:after="0"/>
              <w:rPr>
                <w:sz w:val="20"/>
                <w:szCs w:val="20"/>
                <w:color w:val="auto"/>
              </w:rPr>
            </w:pPr>
            <w:r>
              <w:rPr>
                <w:rFonts w:ascii="Arial" w:cs="Arial" w:eastAsia="Arial" w:hAnsi="Arial"/>
                <w:sz w:val="14"/>
                <w:szCs w:val="14"/>
                <w:b w:val="1"/>
                <w:bCs w:val="1"/>
                <w:color w:val="auto"/>
              </w:rPr>
              <w:t>Comprehensive Income</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benefit items: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r>
      <w:tr>
        <w:trPr>
          <w:trHeight w:val="26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Prior service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277"/>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before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7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reclassifications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77"/>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of tax</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See NOTE M, “Employee Benefit Plans” for additional details.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9"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June 30, 2019, the Company had a liability recorded in the amount of $12 million.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3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the three and six months ended both June 30, 2019 and June 30, 2018, there were no outstanding stock options excluded from the diluted EPS calculation because they were anti-dilutive.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400" w:firstLine="432"/>
        <w:spacing w:after="0" w:line="262"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shares of common stock outstanding</w:t>
            </w:r>
          </w:p>
        </w:tc>
        <w:tc>
          <w:tcPr>
            <w:tcW w:w="9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Dilutive effect of stock-based awards</w:t>
            </w: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rPr>
                <w:sz w:val="20"/>
                <w:szCs w:val="20"/>
                <w:color w:val="auto"/>
              </w:rPr>
            </w:pPr>
            <w:r>
              <w:rPr>
                <w:rFonts w:ascii="Arial" w:cs="Arial" w:eastAsia="Arial" w:hAnsi="Arial"/>
                <w:sz w:val="18"/>
                <w:szCs w:val="18"/>
                <w:color w:val="auto"/>
              </w:rPr>
              <w:t>Diluted weighted average shares of common stock</w:t>
            </w:r>
          </w:p>
        </w:tc>
        <w:tc>
          <w:tcPr>
            <w:tcW w:w="960" w:type="dxa"/>
            <w:vAlign w:val="bottom"/>
          </w:tcPr>
          <w:p>
            <w:pPr>
              <w:spacing w:after="0"/>
              <w:rPr>
                <w:sz w:val="18"/>
                <w:szCs w:val="18"/>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vMerge w:val="restart"/>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380"/>
              <w:spacing w:after="0"/>
              <w:rPr>
                <w:sz w:val="20"/>
                <w:szCs w:val="20"/>
                <w:color w:val="auto"/>
              </w:rPr>
            </w:pPr>
            <w:r>
              <w:rPr>
                <w:rFonts w:ascii="Arial" w:cs="Arial" w:eastAsia="Arial" w:hAnsi="Arial"/>
                <w:sz w:val="18"/>
                <w:szCs w:val="18"/>
                <w:color w:val="auto"/>
              </w:rPr>
              <w:t>Diluted earnings per share attributable to common</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960" w:type="dxa"/>
            <w:vAlign w:val="bottom"/>
            <w:vMerge w:val="restart"/>
          </w:tcPr>
          <w:p>
            <w:pPr>
              <w:jc w:val="right"/>
              <w:ind w:right="757"/>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5"/>
                <w:szCs w:val="15"/>
                <w:color w:val="auto"/>
              </w:rPr>
            </w:pPr>
          </w:p>
        </w:tc>
        <w:tc>
          <w:tcPr>
            <w:tcW w:w="1000" w:type="dxa"/>
            <w:vAlign w:val="bottom"/>
            <w:vMerge w:val="restart"/>
          </w:tcPr>
          <w:p>
            <w:pPr>
              <w:jc w:val="right"/>
              <w:ind w:right="774"/>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3"/>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2"/>
        </w:trPr>
        <w:tc>
          <w:tcPr>
            <w:tcW w:w="5160" w:type="dxa"/>
            <w:vAlign w:val="bottom"/>
          </w:tcPr>
          <w:p>
            <w:pPr>
              <w:ind w:left="380"/>
              <w:spacing w:after="0"/>
              <w:rPr>
                <w:sz w:val="20"/>
                <w:szCs w:val="20"/>
                <w:color w:val="auto"/>
              </w:rPr>
            </w:pPr>
            <w:r>
              <w:rPr>
                <w:rFonts w:ascii="Arial" w:cs="Arial" w:eastAsia="Arial" w:hAnsi="Arial"/>
                <w:sz w:val="18"/>
                <w:szCs w:val="18"/>
                <w:color w:val="auto"/>
              </w:rPr>
              <w:t>stockholders</w:t>
            </w:r>
          </w:p>
        </w:tc>
        <w:tc>
          <w:tcPr>
            <w:tcW w:w="9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93"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The Company’s current stock repurchase program ("Repurchase Program") was announced on November 14, 2016 when the Board of Directors authorized the Company to repurchase up to $1,000 million of its common stock on the open market or through privately negotiated transactions. On November 8, 2017, the Board of Directors authorized the Company to repurchase an additional $500 million of its common stock, on July 30, 2018, the Board of Directors authorized the Company to repurchase an additional $500 million of its common stock and on May 9, 2019, the Board of Directors authorized the Company to repurchase an additional $1,000 million of its common stock, bringing the total amount authorized under the Repurchase Program to $3,000 million. The Repurchase Program has no termination date. The timing and amount of stock purchases are subject to market conditions and corporate needs. The Repurchase Program may be modified, suspended or discontinued at any time at the Company’s discretion.</w:t>
      </w:r>
    </w:p>
    <w:p>
      <w:pPr>
        <w:spacing w:after="0" w:line="152" w:lineRule="exact"/>
        <w:rPr>
          <w:sz w:val="20"/>
          <w:szCs w:val="20"/>
          <w:color w:val="auto"/>
        </w:rPr>
      </w:pPr>
    </w:p>
    <w:p>
      <w:pPr>
        <w:ind w:right="600" w:firstLine="432"/>
        <w:spacing w:after="0" w:line="256" w:lineRule="auto"/>
        <w:rPr>
          <w:sz w:val="20"/>
          <w:szCs w:val="20"/>
          <w:color w:val="auto"/>
        </w:rPr>
      </w:pPr>
      <w:r>
        <w:rPr>
          <w:rFonts w:ascii="Arial" w:cs="Arial" w:eastAsia="Arial" w:hAnsi="Arial"/>
          <w:sz w:val="18"/>
          <w:szCs w:val="18"/>
          <w:color w:val="auto"/>
        </w:rPr>
        <w:t>During the three and six months ended June 30, 2019, the Company repurchased approximately $235 million and $285 million, respectively, of its common stock under the Repurchase Program, leaving $1,160 million of authorized repurchases remaining under the Repurchase Program as of June 30, 2019.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CERTAIN RELATIONSHIPS AND RELATED PARTY TRANSACTIONS</w:t>
      </w:r>
    </w:p>
    <w:p>
      <w:pPr>
        <w:spacing w:after="0" w:line="19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On May 7, 2019, the Company entered into a stock repurchase agreement with Ashe Capital Management, LP to repurchase 4,977,043 shares of the Company's common stock for approximately $232 million. William Harker, a member of the Company's Board of Directors until May 9, 2019, is the President and Co-Founder of Ashe Capital Management, LP. The shares were repurchased under the Repurchase Program. The purchase was funded with cash on hand and borrowings under the New Revolving Credit Facility. The shares were subsequently retired.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ACQUISITIONS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AxleTech Electric Vehicle Systems Division Acquisition</w:t>
      </w:r>
    </w:p>
    <w:p>
      <w:pPr>
        <w:spacing w:after="0" w:line="355" w:lineRule="exact"/>
        <w:rPr>
          <w:sz w:val="20"/>
          <w:szCs w:val="20"/>
          <w:color w:val="auto"/>
        </w:rPr>
      </w:pPr>
    </w:p>
    <w:p>
      <w:pPr>
        <w:ind w:right="280" w:firstLine="432"/>
        <w:spacing w:after="0" w:line="252" w:lineRule="auto"/>
        <w:rPr>
          <w:sz w:val="20"/>
          <w:szCs w:val="20"/>
          <w:color w:val="auto"/>
        </w:rPr>
      </w:pPr>
      <w:r>
        <w:rPr>
          <w:rFonts w:ascii="Arial" w:cs="Arial" w:eastAsia="Arial" w:hAnsi="Arial"/>
          <w:sz w:val="18"/>
          <w:szCs w:val="18"/>
          <w:color w:val="auto"/>
        </w:rPr>
        <w:t>On April 16, 2019, the Company acquired, from AxleTech, a technology company that engineers, designs, manufactures, sells and services powertrain solutions for on-highway and off-highway heavy-duty vehicles, all of the assets related to its electric vehicle systems division, which designs and manufactures fully integrated electrified-axle propulsion solutions for medium- and heavy-duty trucks and transit buses, for approximately $124 million in cash. The acquisition aligns with the Company's strategy to advance its position in propulsion solutions. The Company has accounted for this acquisition in accordance with authoritative accounting guidance on business combinations. The acquired business was integrated into the Company's single operating segment.</w:t>
      </w:r>
    </w:p>
    <w:p>
      <w:pPr>
        <w:spacing w:after="0" w:line="263"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The preliminary purchase price allocation for this transaction resulted in the recognition of goodwill, intangible assets, inventory and property, plant and equipment of $ 66 million, $56 million, $1 million and $1 million, respectively. The amount allocated to goodwill is deductible for income tax purposes. Goodwill represents the excess of the consideration transferred over the preliminary estimate of fair values of the assets acquired and liabilities assumed and is primarily attributable to intangible assets, such as the assembled workforce, which are not separately recognizable. The Company is currently completing its fair value assessment of the acquired assets and liabilities with the assistance of third-party valuation specialists and any adjustments identified in the measurement period, which will not exceed one year from the acquisition date, will be accounted for prospectively.</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Vantage Power Limited Acquisition</w:t>
      </w:r>
    </w:p>
    <w:p>
      <w:pPr>
        <w:spacing w:after="0" w:line="355"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On April 12, 2019, the Company acquired all of the outstanding shares of Vantage Power Limited, a privately owned company based in the United Kingdom which designs and manufactures powertrain electrification and connectivity technologies applicable to a broad range of commercial vehicle end markets. The Company paid approximately $9 million, in cash on April 12, 2019 and may pay up to an additional $8 million over the next three years based on specified conditions being met. The Company has accounted for this acquisition in accordance with authoritative accounting guidance on business combinations. The acquired business was integrated into the Company's single operating segment as a wholly-owned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20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2018 as filed with the Securities and Exchange Commission ("SEC") on February 26, 2019. Our actual results may differ materially from those contained in or implied by any forward-looking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Allison Transmission Holdings, Inc. and its subsidiaries (“Allison”, “our”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96" w:lineRule="exact"/>
        <w:rPr>
          <w:sz w:val="20"/>
          <w:szCs w:val="20"/>
          <w:color w:val="auto"/>
        </w:rPr>
      </w:pPr>
    </w:p>
    <w:p>
      <w:pPr>
        <w:jc w:val="both"/>
        <w:ind w:right="440" w:firstLine="432"/>
        <w:spacing w:after="0" w:line="256" w:lineRule="auto"/>
        <w:rPr>
          <w:sz w:val="20"/>
          <w:szCs w:val="20"/>
          <w:color w:val="auto"/>
        </w:rPr>
      </w:pPr>
      <w:r>
        <w:rPr>
          <w:rFonts w:ascii="Arial" w:cs="Arial" w:eastAsia="Arial" w:hAnsi="Arial"/>
          <w:sz w:val="18"/>
          <w:szCs w:val="18"/>
          <w:color w:val="auto"/>
        </w:rPr>
        <w:t>We have approximately 2,900 employees and 12 different product lines. Although approximately 77% of revenues were generated in North America in 2018, we have a global presence by serving customers in Europe, Asia, South America and Africa. We serve customers through an independent network of approximately 1,400 independent distributor and dealer locations worldwide.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9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In 2019, we expect lower demand in the Service Parts, Support Equipment and Other and North America Off-Highway end markets, partially offset by increased demand in the North America On-Highway end market, price increases on certain products and continued execution of our growth initiatives.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Second Quarter Net Sales by End Market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Q2 2019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94"/>
              <w:spacing w:after="0"/>
              <w:rPr>
                <w:sz w:val="20"/>
                <w:szCs w:val="20"/>
                <w:color w:val="auto"/>
              </w:rPr>
            </w:pPr>
            <w:r>
              <w:rPr>
                <w:rFonts w:ascii="Arial" w:cs="Arial" w:eastAsia="Arial" w:hAnsi="Arial"/>
                <w:sz w:val="14"/>
                <w:szCs w:val="14"/>
                <w:b w:val="1"/>
                <w:bCs w:val="1"/>
                <w:color w:val="auto"/>
              </w:rPr>
              <w:t>Q2 2018</w:t>
            </w: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6"/>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Net Sales</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Variance</w:t>
            </w:r>
          </w:p>
        </w:tc>
      </w:tr>
      <w:tr>
        <w:trPr>
          <w:trHeight w:val="256"/>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 America On-Highway</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398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North America Off-Highway</w:t>
            </w:r>
          </w:p>
        </w:tc>
        <w:tc>
          <w:tcPr>
            <w:tcW w:w="1060" w:type="dxa"/>
            <w:vAlign w:val="bottom"/>
          </w:tcPr>
          <w:p>
            <w:pPr>
              <w:spacing w:after="0"/>
              <w:rPr>
                <w:sz w:val="22"/>
                <w:szCs w:val="22"/>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Defense</w:t>
            </w: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Outside North America On-Highway</w:t>
            </w:r>
          </w:p>
        </w:tc>
        <w:tc>
          <w:tcPr>
            <w:tcW w:w="1060" w:type="dxa"/>
            <w:vAlign w:val="bottom"/>
          </w:tcPr>
          <w:p>
            <w:pPr>
              <w:spacing w:after="0"/>
              <w:rPr>
                <w:sz w:val="22"/>
                <w:szCs w:val="22"/>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Outside North America Off-Highway</w:t>
            </w: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6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 Parts, Support Equipment and Other</w:t>
            </w:r>
          </w:p>
        </w:tc>
        <w:tc>
          <w:tcPr>
            <w:tcW w:w="10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147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169</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6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firstLine="432"/>
        <w:spacing w:after="0" w:line="262" w:lineRule="auto"/>
        <w:rPr>
          <w:sz w:val="20"/>
          <w:szCs w:val="20"/>
          <w:color w:val="auto"/>
        </w:rPr>
      </w:pPr>
      <w:r>
        <w:rPr>
          <w:rFonts w:ascii="Arial" w:cs="Arial" w:eastAsia="Arial" w:hAnsi="Arial"/>
          <w:sz w:val="18"/>
          <w:szCs w:val="18"/>
          <w:color w:val="auto"/>
        </w:rPr>
        <w:t>North America On-Highway end market net sales were up 16% for the second quarter 2019 compared to the second quarter 2018, principally driven by higher demand led by the continued execution of our growth initiatives and market share gains in Class 4/5 truck.</w:t>
      </w:r>
    </w:p>
    <w:p>
      <w:pPr>
        <w:spacing w:after="0" w:line="88" w:lineRule="exact"/>
        <w:rPr>
          <w:sz w:val="20"/>
          <w:szCs w:val="20"/>
          <w:color w:val="auto"/>
        </w:rPr>
      </w:pPr>
    </w:p>
    <w:p>
      <w:pPr>
        <w:ind w:right="380" w:firstLine="432"/>
        <w:spacing w:after="0" w:line="262" w:lineRule="auto"/>
        <w:rPr>
          <w:sz w:val="20"/>
          <w:szCs w:val="20"/>
          <w:color w:val="auto"/>
        </w:rPr>
      </w:pPr>
      <w:r>
        <w:rPr>
          <w:rFonts w:ascii="Arial" w:cs="Arial" w:eastAsia="Arial" w:hAnsi="Arial"/>
          <w:sz w:val="18"/>
          <w:szCs w:val="18"/>
          <w:color w:val="auto"/>
        </w:rPr>
        <w:t>North America Off-Highway end market net sales were down $22 million for the second quarter 2019 compared to the second quarter 2018, principally driven by lower demand from hydraulic fracturing applications.</w:t>
      </w:r>
    </w:p>
    <w:p>
      <w:pPr>
        <w:spacing w:after="0" w:line="88" w:lineRule="exact"/>
        <w:rPr>
          <w:sz w:val="20"/>
          <w:szCs w:val="20"/>
          <w:color w:val="auto"/>
        </w:rPr>
      </w:pPr>
    </w:p>
    <w:p>
      <w:pPr>
        <w:ind w:right="260" w:firstLine="432"/>
        <w:spacing w:after="0" w:line="262" w:lineRule="auto"/>
        <w:rPr>
          <w:sz w:val="20"/>
          <w:szCs w:val="20"/>
          <w:color w:val="auto"/>
        </w:rPr>
      </w:pPr>
      <w:r>
        <w:rPr>
          <w:rFonts w:ascii="Arial" w:cs="Arial" w:eastAsia="Arial" w:hAnsi="Arial"/>
          <w:sz w:val="18"/>
          <w:szCs w:val="18"/>
          <w:color w:val="auto"/>
        </w:rPr>
        <w:t>Defense end market net sales were down 14% for the second quarter 2019 compared to the second quarter 2018, principally driven by intra-year movement in the timing of Tracked vehicle demand.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Outside North America On-Highway end market net sales were up 5% for the second quarter 2019 compared to the second quarter 2018, principally driven by higher demand in Europe and South America, partially offset by lower demand in Asia.</w:t>
      </w:r>
    </w:p>
    <w:p>
      <w:pPr>
        <w:spacing w:after="0" w:line="88" w:lineRule="exact"/>
        <w:rPr>
          <w:sz w:val="20"/>
          <w:szCs w:val="20"/>
          <w:color w:val="auto"/>
        </w:rPr>
      </w:pPr>
    </w:p>
    <w:p>
      <w:pPr>
        <w:ind w:right="520" w:firstLine="432"/>
        <w:spacing w:after="0" w:line="262" w:lineRule="auto"/>
        <w:rPr>
          <w:sz w:val="20"/>
          <w:szCs w:val="20"/>
          <w:color w:val="auto"/>
        </w:rPr>
      </w:pPr>
      <w:r>
        <w:rPr>
          <w:rFonts w:ascii="Arial" w:cs="Arial" w:eastAsia="Arial" w:hAnsi="Arial"/>
          <w:sz w:val="18"/>
          <w:szCs w:val="18"/>
          <w:color w:val="auto"/>
        </w:rPr>
        <w:t>Outside North America Off-Highway end market net sales were up $16 million for the second quarter 2019 compared to the second quarter 2018, principally driven by higher demand in the energy sector.</w:t>
      </w:r>
    </w:p>
    <w:p>
      <w:pPr>
        <w:spacing w:after="0" w:line="88"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Service Parts, Support Equipment and Other end market net sales were down 13% for the second quarter 2019 compared to the second quarter 2018, principally driven by lower demand for North America service parts.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139"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sales</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transmissions and parts. For the six months ended June 30, 2019, direct material costs were approximately 71%, overhead costs were approximately 22%, and direct labor costs were approximately 7% of total cost of sales. We are subject to changes in our cost of sales caused by movements in underlying commodity prices. We seek to hedge against this risk by using long-term supply agreements (“LTSAs”), as appropriate. See Part I, Item 3 “Quantitative and Qualitative Disclosures about Market Risk— Commodity Price Risk” included below.</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9" w:lineRule="exact"/>
        <w:rPr>
          <w:sz w:val="20"/>
          <w:szCs w:val="20"/>
          <w:color w:val="auto"/>
        </w:rPr>
      </w:pPr>
    </w:p>
    <w:p>
      <w:pPr>
        <w:ind w:right="820" w:firstLine="432"/>
        <w:spacing w:after="0" w:line="256"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39"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3" w:lineRule="exact"/>
        <w:rPr>
          <w:sz w:val="20"/>
          <w:szCs w:val="20"/>
          <w:color w:val="auto"/>
        </w:rPr>
      </w:pPr>
    </w:p>
    <w:p>
      <w:pPr>
        <w:ind w:firstLine="216"/>
        <w:spacing w:after="0" w:line="251"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Second Amended and Restated Credit Agreement dated as of March 29, 2019 ("Credit Agreement"), governing Allison Transmission, Inc.’s (“ATI”), our wholly-owned subsidiary, new term loan facility in the amount of $648 million due March 2026 ("New Term Loan”, and together with ATI’s new revolving credit facility with commitments in the amount of $ 600 million due September 2024 ("New Revolving Credit Facility") defined as the “New Senior Secured Credit Facility”). Adjusted EBITDA as a percent of net sales is calculated as Adjusted EBITDA divided by net sales.</w:t>
      </w:r>
    </w:p>
    <w:p>
      <w:pPr>
        <w:spacing w:after="0" w:line="10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160" w:firstLine="432"/>
        <w:spacing w:after="0" w:line="262"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0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26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(unaudited, dollars in millions)</w:t>
            </w: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BFE4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BFE4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6260" w:type="dxa"/>
            <w:vAlign w:val="bottom"/>
            <w:shd w:val="clear" w:color="auto" w:fill="BFE4FF"/>
          </w:tcPr>
          <w:p>
            <w:pPr>
              <w:ind w:left="40"/>
              <w:spacing w:after="0"/>
              <w:rPr>
                <w:sz w:val="20"/>
                <w:szCs w:val="20"/>
                <w:color w:val="auto"/>
              </w:rPr>
            </w:pPr>
            <w:r>
              <w:rPr>
                <w:rFonts w:ascii="Arial" w:cs="Arial" w:eastAsia="Arial" w:hAnsi="Arial"/>
                <w:sz w:val="18"/>
                <w:szCs w:val="18"/>
                <w:b w:val="1"/>
                <w:bCs w:val="1"/>
                <w:color w:val="auto"/>
              </w:rPr>
              <w:t>Net income (GAAP)</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181</w:t>
            </w:r>
          </w:p>
        </w:tc>
        <w:tc>
          <w:tcPr>
            <w:tcW w:w="120" w:type="dxa"/>
            <w:vAlign w:val="bottom"/>
            <w:shd w:val="clear" w:color="auto" w:fill="BFE4FF"/>
          </w:tcPr>
          <w:p>
            <w:pPr>
              <w:spacing w:after="0"/>
              <w:rPr>
                <w:sz w:val="22"/>
                <w:szCs w:val="22"/>
                <w:color w:val="auto"/>
              </w:rPr>
            </w:pPr>
          </w:p>
        </w:tc>
        <w:tc>
          <w:tcPr>
            <w:tcW w:w="28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BFE4FF"/>
          </w:tcPr>
          <w:p>
            <w:pPr>
              <w:jc w:val="right"/>
              <w:ind w:right="111"/>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BFE4FF"/>
          </w:tcPr>
          <w:p>
            <w:pPr>
              <w:spacing w:after="0"/>
              <w:rPr>
                <w:sz w:val="22"/>
                <w:szCs w:val="22"/>
                <w:color w:val="auto"/>
              </w:rPr>
            </w:pP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BFE4FF"/>
          </w:tcPr>
          <w:p>
            <w:pPr>
              <w:jc w:val="right"/>
              <w:ind w:right="112"/>
              <w:spacing w:after="0"/>
              <w:rPr>
                <w:sz w:val="20"/>
                <w:szCs w:val="20"/>
                <w:color w:val="auto"/>
              </w:rPr>
            </w:pPr>
            <w:r>
              <w:rPr>
                <w:rFonts w:ascii="Arial" w:cs="Arial" w:eastAsia="Arial" w:hAnsi="Arial"/>
                <w:sz w:val="18"/>
                <w:szCs w:val="18"/>
                <w:b w:val="1"/>
                <w:bCs w:val="1"/>
                <w:color w:val="auto"/>
              </w:rPr>
              <w:t>348</w:t>
            </w:r>
          </w:p>
        </w:tc>
        <w:tc>
          <w:tcPr>
            <w:tcW w:w="100" w:type="dxa"/>
            <w:vAlign w:val="bottom"/>
            <w:shd w:val="clear" w:color="auto" w:fill="BFE4FF"/>
          </w:tcPr>
          <w:p>
            <w:pPr>
              <w:spacing w:after="0"/>
              <w:rPr>
                <w:sz w:val="22"/>
                <w:szCs w:val="22"/>
                <w:color w:val="auto"/>
              </w:rPr>
            </w:pPr>
          </w:p>
        </w:tc>
        <w:tc>
          <w:tcPr>
            <w:tcW w:w="30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plus: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BFE4FF"/>
          </w:tcPr>
          <w:p>
            <w:pPr>
              <w:spacing w:after="0"/>
              <w:rPr>
                <w:sz w:val="23"/>
                <w:szCs w:val="23"/>
                <w:color w:val="auto"/>
              </w:rPr>
            </w:pPr>
          </w:p>
        </w:tc>
        <w:tc>
          <w:tcPr>
            <w:tcW w:w="100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BFE4FF"/>
          </w:tcPr>
          <w:p>
            <w:pPr>
              <w:spacing w:after="0"/>
              <w:rPr>
                <w:sz w:val="23"/>
                <w:szCs w:val="23"/>
                <w:color w:val="auto"/>
              </w:rPr>
            </w:pPr>
          </w:p>
        </w:tc>
        <w:tc>
          <w:tcPr>
            <w:tcW w:w="280" w:type="dxa"/>
            <w:vAlign w:val="bottom"/>
            <w:shd w:val="clear" w:color="auto" w:fill="BFE4FF"/>
          </w:tcPr>
          <w:p>
            <w:pPr>
              <w:spacing w:after="0"/>
              <w:rPr>
                <w:sz w:val="23"/>
                <w:szCs w:val="23"/>
                <w:color w:val="auto"/>
              </w:rPr>
            </w:pPr>
          </w:p>
        </w:tc>
        <w:tc>
          <w:tcPr>
            <w:tcW w:w="920" w:type="dxa"/>
            <w:vAlign w:val="bottom"/>
            <w:shd w:val="clear" w:color="auto" w:fill="BFE4FF"/>
          </w:tcPr>
          <w:p>
            <w:pPr>
              <w:jc w:val="right"/>
              <w:ind w:right="111"/>
              <w:spacing w:after="0"/>
              <w:rPr>
                <w:sz w:val="20"/>
                <w:szCs w:val="20"/>
                <w:color w:val="auto"/>
              </w:rPr>
            </w:pPr>
            <w:r>
              <w:rPr>
                <w:rFonts w:ascii="Arial" w:cs="Arial" w:eastAsia="Arial" w:hAnsi="Arial"/>
                <w:sz w:val="18"/>
                <w:szCs w:val="18"/>
                <w:color w:val="auto"/>
              </w:rPr>
              <w:t>48</w:t>
            </w:r>
          </w:p>
        </w:tc>
        <w:tc>
          <w:tcPr>
            <w:tcW w:w="10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980" w:type="dxa"/>
            <w:vAlign w:val="bottom"/>
            <w:shd w:val="clear" w:color="auto" w:fill="BFE4FF"/>
          </w:tcPr>
          <w:p>
            <w:pPr>
              <w:jc w:val="right"/>
              <w:ind w:right="112"/>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92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63"/>
        </w:trPr>
        <w:tc>
          <w:tcPr>
            <w:tcW w:w="626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7"/>
        </w:trPr>
        <w:tc>
          <w:tcPr>
            <w:tcW w:w="62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920" w:type="dxa"/>
            <w:vAlign w:val="bottom"/>
            <w:shd w:val="clear" w:color="auto" w:fill="BFE4FF"/>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980" w:type="dxa"/>
            <w:vAlign w:val="bottom"/>
            <w:shd w:val="clear" w:color="auto" w:fill="BFE4FF"/>
          </w:tcPr>
          <w:p>
            <w:pPr>
              <w:jc w:val="right"/>
              <w:ind w:right="112"/>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92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3"/>
        </w:trPr>
        <w:tc>
          <w:tcPr>
            <w:tcW w:w="6260" w:type="dxa"/>
            <w:vAlign w:val="bottom"/>
          </w:tcPr>
          <w:p>
            <w:pPr>
              <w:ind w:left="380"/>
              <w:spacing w:after="0"/>
              <w:rPr>
                <w:sz w:val="20"/>
                <w:szCs w:val="20"/>
                <w:color w:val="auto"/>
              </w:rPr>
            </w:pPr>
            <w:r>
              <w:rPr>
                <w:rFonts w:ascii="Arial" w:cs="Arial" w:eastAsia="Arial" w:hAnsi="Arial"/>
                <w:sz w:val="18"/>
                <w:szCs w:val="18"/>
                <w:color w:val="auto"/>
              </w:rPr>
              <w:t>Depreciation of property, plant and equipment</w:t>
            </w:r>
          </w:p>
        </w:tc>
        <w:tc>
          <w:tcPr>
            <w:tcW w:w="20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62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Stock-based compensation expense (a)</w:t>
            </w:r>
          </w:p>
        </w:tc>
        <w:tc>
          <w:tcPr>
            <w:tcW w:w="20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920" w:type="dxa"/>
            <w:vAlign w:val="bottom"/>
            <w:shd w:val="clear" w:color="auto" w:fill="BFE4FF"/>
          </w:tcPr>
          <w:p>
            <w:pPr>
              <w:jc w:val="right"/>
              <w:ind w:right="1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980" w:type="dxa"/>
            <w:vAlign w:val="bottom"/>
            <w:shd w:val="clear" w:color="auto" w:fill="BFE4FF"/>
          </w:tcPr>
          <w:p>
            <w:pPr>
              <w:jc w:val="right"/>
              <w:ind w:right="112"/>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92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6260" w:type="dxa"/>
            <w:vAlign w:val="bottom"/>
          </w:tcPr>
          <w:p>
            <w:pPr>
              <w:ind w:left="380"/>
              <w:spacing w:after="0"/>
              <w:rPr>
                <w:sz w:val="20"/>
                <w:szCs w:val="20"/>
                <w:color w:val="auto"/>
              </w:rPr>
            </w:pPr>
            <w:r>
              <w:rPr>
                <w:rFonts w:ascii="Arial" w:cs="Arial" w:eastAsia="Arial" w:hAnsi="Arial"/>
                <w:sz w:val="18"/>
                <w:szCs w:val="18"/>
                <w:color w:val="auto"/>
              </w:rPr>
              <w:t>Expenses related to long-term debt refinancing (b)</w:t>
            </w:r>
          </w:p>
        </w:tc>
        <w:tc>
          <w:tcPr>
            <w:tcW w:w="20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Unrealized loss on foreign exchange (c)</w:t>
            </w:r>
          </w:p>
        </w:tc>
        <w:tc>
          <w:tcPr>
            <w:tcW w:w="20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920" w:type="dxa"/>
            <w:vAlign w:val="bottom"/>
            <w:shd w:val="clear" w:color="auto" w:fill="BFE4FF"/>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080" w:type="dxa"/>
            <w:vAlign w:val="bottom"/>
            <w:gridSpan w:val="2"/>
            <w:shd w:val="clear" w:color="auto" w:fill="BFE4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BFE4FF"/>
          </w:tcPr>
          <w:p>
            <w:pPr>
              <w:spacing w:after="0"/>
              <w:rPr>
                <w:sz w:val="24"/>
                <w:szCs w:val="24"/>
                <w:color w:val="auto"/>
              </w:rPr>
            </w:pPr>
          </w:p>
        </w:tc>
        <w:tc>
          <w:tcPr>
            <w:tcW w:w="92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6260" w:type="dxa"/>
            <w:vAlign w:val="bottom"/>
          </w:tcPr>
          <w:p>
            <w:pPr>
              <w:ind w:left="380"/>
              <w:spacing w:after="0"/>
              <w:rPr>
                <w:sz w:val="20"/>
                <w:szCs w:val="20"/>
                <w:color w:val="auto"/>
              </w:rPr>
            </w:pPr>
            <w:r>
              <w:rPr>
                <w:rFonts w:ascii="Arial" w:cs="Arial" w:eastAsia="Arial" w:hAnsi="Arial"/>
                <w:sz w:val="18"/>
                <w:szCs w:val="18"/>
                <w:color w:val="auto"/>
              </w:rPr>
              <w:t>UAW Local 933 retirement incentive (d)</w:t>
            </w:r>
          </w:p>
        </w:tc>
        <w:tc>
          <w:tcPr>
            <w:tcW w:w="20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62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2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308</w:t>
            </w:r>
          </w:p>
        </w:tc>
        <w:tc>
          <w:tcPr>
            <w:tcW w:w="120" w:type="dxa"/>
            <w:vAlign w:val="bottom"/>
            <w:tcBorders>
              <w:top w:val="single" w:sz="8" w:color="BFE4FF"/>
              <w:bottom w:val="single" w:sz="8" w:color="BFE4FF"/>
            </w:tcBorders>
            <w:shd w:val="clear" w:color="auto" w:fill="BFE4FF"/>
          </w:tcPr>
          <w:p>
            <w:pPr>
              <w:spacing w:after="0"/>
              <w:rPr>
                <w:sz w:val="22"/>
                <w:szCs w:val="22"/>
                <w:color w:val="auto"/>
              </w:rPr>
            </w:pPr>
          </w:p>
        </w:tc>
        <w:tc>
          <w:tcPr>
            <w:tcW w:w="280" w:type="dxa"/>
            <w:vAlign w:val="bottom"/>
            <w:tcBorders>
              <w:top w:val="single" w:sz="8" w:color="auto"/>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BFE4FF"/>
          </w:tcPr>
          <w:p>
            <w:pPr>
              <w:jc w:val="right"/>
              <w:ind w:right="111"/>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BFE4FF"/>
              <w:bottom w:val="single" w:sz="8" w:color="BFE4FF"/>
            </w:tcBorders>
            <w:shd w:val="clear" w:color="auto" w:fill="BFE4FF"/>
          </w:tcPr>
          <w:p>
            <w:pPr>
              <w:spacing w:after="0"/>
              <w:rPr>
                <w:sz w:val="22"/>
                <w:szCs w:val="22"/>
                <w:color w:val="auto"/>
              </w:rPr>
            </w:pPr>
          </w:p>
        </w:tc>
        <w:tc>
          <w:tcPr>
            <w:tcW w:w="240" w:type="dxa"/>
            <w:vAlign w:val="bottom"/>
            <w:tcBorders>
              <w:top w:val="single" w:sz="8" w:color="auto"/>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BFE4FF"/>
          </w:tcPr>
          <w:p>
            <w:pPr>
              <w:jc w:val="right"/>
              <w:ind w:right="112"/>
              <w:spacing w:after="0"/>
              <w:rPr>
                <w:sz w:val="20"/>
                <w:szCs w:val="20"/>
                <w:color w:val="auto"/>
              </w:rPr>
            </w:pPr>
            <w:r>
              <w:rPr>
                <w:rFonts w:ascii="Arial" w:cs="Arial" w:eastAsia="Arial" w:hAnsi="Arial"/>
                <w:sz w:val="18"/>
                <w:szCs w:val="18"/>
                <w:b w:val="1"/>
                <w:bCs w:val="1"/>
                <w:color w:val="auto"/>
              </w:rPr>
              <w:t>598</w:t>
            </w:r>
          </w:p>
        </w:tc>
        <w:tc>
          <w:tcPr>
            <w:tcW w:w="100" w:type="dxa"/>
            <w:vAlign w:val="bottom"/>
            <w:tcBorders>
              <w:top w:val="single" w:sz="8" w:color="BFE4FF"/>
              <w:bottom w:val="single" w:sz="8" w:color="BFE4FF"/>
            </w:tcBorders>
            <w:shd w:val="clear" w:color="auto" w:fill="BFE4FF"/>
          </w:tcPr>
          <w:p>
            <w:pPr>
              <w:spacing w:after="0"/>
              <w:rPr>
                <w:sz w:val="22"/>
                <w:szCs w:val="22"/>
                <w:color w:val="auto"/>
              </w:rPr>
            </w:pPr>
          </w:p>
        </w:tc>
        <w:tc>
          <w:tcPr>
            <w:tcW w:w="300" w:type="dxa"/>
            <w:vAlign w:val="bottom"/>
            <w:tcBorders>
              <w:top w:val="single" w:sz="8" w:color="auto"/>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BFE4FF"/>
          </w:tcPr>
          <w:p>
            <w:pPr>
              <w:jc w:val="right"/>
              <w:ind w:right="9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 (GAAP)</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6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737</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1,412</w:t>
            </w:r>
          </w:p>
        </w:tc>
        <w:tc>
          <w:tcPr>
            <w:tcW w:w="10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7"/>
        </w:trPr>
        <w:tc>
          <w:tcPr>
            <w:tcW w:w="6260" w:type="dxa"/>
            <w:vAlign w:val="bottom"/>
            <w:shd w:val="clear" w:color="auto" w:fill="BFE4FF"/>
          </w:tcPr>
          <w:p>
            <w:pPr>
              <w:ind w:left="40"/>
              <w:spacing w:after="0"/>
              <w:rPr>
                <w:sz w:val="20"/>
                <w:szCs w:val="20"/>
                <w:color w:val="auto"/>
              </w:rPr>
            </w:pPr>
            <w:r>
              <w:rPr>
                <w:rFonts w:ascii="Arial" w:cs="Arial" w:eastAsia="Arial" w:hAnsi="Arial"/>
                <w:sz w:val="18"/>
                <w:szCs w:val="18"/>
                <w:b w:val="1"/>
                <w:bCs w:val="1"/>
                <w:color w:val="auto"/>
              </w:rPr>
              <w:t>Net income as a percent of net sales (GAAP)</w:t>
            </w:r>
          </w:p>
        </w:tc>
        <w:tc>
          <w:tcPr>
            <w:tcW w:w="200" w:type="dxa"/>
            <w:vAlign w:val="bottom"/>
            <w:shd w:val="clear" w:color="auto" w:fill="BFE4FF"/>
          </w:tcPr>
          <w:p>
            <w:pPr>
              <w:spacing w:after="0"/>
              <w:rPr>
                <w:sz w:val="24"/>
                <w:szCs w:val="24"/>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rPr>
              <w:t>24.6%</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63"/>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7"/>
        </w:trPr>
        <w:tc>
          <w:tcPr>
            <w:tcW w:w="6260" w:type="dxa"/>
            <w:vAlign w:val="bottom"/>
            <w:shd w:val="clear" w:color="auto" w:fill="BFE4FF"/>
          </w:tcPr>
          <w:p>
            <w:pPr>
              <w:ind w:left="4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BFE4FF"/>
          </w:tcPr>
          <w:p>
            <w:pPr>
              <w:jc w:val="right"/>
              <w:ind w:right="92"/>
              <w:spacing w:after="0"/>
              <w:rPr>
                <w:sz w:val="20"/>
                <w:szCs w:val="20"/>
                <w:color w:val="auto"/>
              </w:rPr>
            </w:pPr>
            <w:r>
              <w:rPr>
                <w:rFonts w:ascii="Arial" w:cs="Arial" w:eastAsia="Arial" w:hAnsi="Arial"/>
                <w:sz w:val="18"/>
                <w:szCs w:val="18"/>
                <w:b w:val="1"/>
                <w:bCs w:val="1"/>
                <w:color w:val="auto"/>
              </w:rPr>
              <w:t>239</w:t>
            </w:r>
          </w:p>
        </w:tc>
        <w:tc>
          <w:tcPr>
            <w:tcW w:w="120" w:type="dxa"/>
            <w:vAlign w:val="bottom"/>
            <w:shd w:val="clear" w:color="auto" w:fill="BFE4FF"/>
          </w:tcPr>
          <w:p>
            <w:pPr>
              <w:spacing w:after="0"/>
              <w:rPr>
                <w:sz w:val="24"/>
                <w:szCs w:val="24"/>
                <w:color w:val="auto"/>
              </w:rPr>
            </w:pPr>
          </w:p>
        </w:tc>
        <w:tc>
          <w:tcPr>
            <w:tcW w:w="28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BFE4FF"/>
          </w:tcPr>
          <w:p>
            <w:pPr>
              <w:jc w:val="right"/>
              <w:ind w:right="111"/>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BFE4FF"/>
          </w:tcPr>
          <w:p>
            <w:pPr>
              <w:jc w:val="right"/>
              <w:ind w:right="112"/>
              <w:spacing w:after="0"/>
              <w:rPr>
                <w:sz w:val="20"/>
                <w:szCs w:val="20"/>
                <w:color w:val="auto"/>
              </w:rPr>
            </w:pPr>
            <w:r>
              <w:rPr>
                <w:rFonts w:ascii="Arial" w:cs="Arial" w:eastAsia="Arial" w:hAnsi="Arial"/>
                <w:sz w:val="18"/>
                <w:szCs w:val="18"/>
                <w:b w:val="1"/>
                <w:bCs w:val="1"/>
                <w:color w:val="auto"/>
              </w:rPr>
              <w:t>433</w:t>
            </w:r>
          </w:p>
        </w:tc>
        <w:tc>
          <w:tcPr>
            <w:tcW w:w="100" w:type="dxa"/>
            <w:vAlign w:val="bottom"/>
            <w:shd w:val="clear" w:color="auto" w:fill="BFE4FF"/>
          </w:tcPr>
          <w:p>
            <w:pPr>
              <w:spacing w:after="0"/>
              <w:rPr>
                <w:sz w:val="24"/>
                <w:szCs w:val="24"/>
                <w:color w:val="auto"/>
              </w:rPr>
            </w:pPr>
          </w:p>
        </w:tc>
        <w:tc>
          <w:tcPr>
            <w:tcW w:w="30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BFE4FF"/>
          </w:tcPr>
          <w:p>
            <w:pPr>
              <w:jc w:val="right"/>
              <w:ind w:right="9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Deductions to reconcile to Adjusted free cash flow:</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60" w:type="dxa"/>
            <w:vAlign w:val="bottom"/>
            <w:shd w:val="clear" w:color="auto" w:fill="BFE4FF"/>
          </w:tcPr>
          <w:p>
            <w:pPr>
              <w:ind w:left="40"/>
              <w:spacing w:after="0"/>
              <w:rPr>
                <w:sz w:val="20"/>
                <w:szCs w:val="20"/>
                <w:color w:val="auto"/>
              </w:rPr>
            </w:pPr>
            <w:r>
              <w:rPr>
                <w:rFonts w:ascii="Arial" w:cs="Arial" w:eastAsia="Arial" w:hAnsi="Arial"/>
                <w:sz w:val="18"/>
                <w:szCs w:val="18"/>
                <w:color w:val="auto"/>
              </w:rPr>
              <w:t>Additions of long-lived assets</w:t>
            </w:r>
          </w:p>
        </w:tc>
        <w:tc>
          <w:tcPr>
            <w:tcW w:w="200" w:type="dxa"/>
            <w:vAlign w:val="bottom"/>
            <w:tcBorders>
              <w:bottom w:val="single" w:sz="8" w:color="auto"/>
            </w:tcBorders>
            <w:shd w:val="clear" w:color="auto" w:fill="BFE4FF"/>
          </w:tcPr>
          <w:p>
            <w:pPr>
              <w:spacing w:after="0"/>
              <w:rPr>
                <w:sz w:val="22"/>
                <w:szCs w:val="22"/>
                <w:color w:val="auto"/>
              </w:rPr>
            </w:pPr>
          </w:p>
        </w:tc>
        <w:tc>
          <w:tcPr>
            <w:tcW w:w="100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BFE4FF"/>
          </w:tcPr>
          <w:p>
            <w:pPr>
              <w:spacing w:after="0"/>
              <w:rPr>
                <w:sz w:val="22"/>
                <w:szCs w:val="22"/>
                <w:color w:val="auto"/>
              </w:rPr>
            </w:pPr>
          </w:p>
        </w:tc>
        <w:tc>
          <w:tcPr>
            <w:tcW w:w="280" w:type="dxa"/>
            <w:vAlign w:val="bottom"/>
            <w:tcBorders>
              <w:bottom w:val="single" w:sz="8" w:color="auto"/>
            </w:tcBorders>
            <w:shd w:val="clear" w:color="auto" w:fill="BFE4FF"/>
          </w:tcPr>
          <w:p>
            <w:pPr>
              <w:spacing w:after="0"/>
              <w:rPr>
                <w:sz w:val="22"/>
                <w:szCs w:val="22"/>
                <w:color w:val="auto"/>
              </w:rPr>
            </w:pPr>
          </w:p>
        </w:tc>
        <w:tc>
          <w:tcPr>
            <w:tcW w:w="920" w:type="dxa"/>
            <w:vAlign w:val="bottom"/>
            <w:tcBorders>
              <w:bottom w:val="single" w:sz="8" w:color="auto"/>
            </w:tcBorders>
            <w:shd w:val="clear" w:color="auto" w:fill="BFE4FF"/>
          </w:tcPr>
          <w:p>
            <w:pPr>
              <w:jc w:val="right"/>
              <w:ind w:right="5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spacing w:after="0"/>
              <w:rPr>
                <w:sz w:val="22"/>
                <w:szCs w:val="22"/>
                <w:color w:val="auto"/>
              </w:rPr>
            </w:pPr>
          </w:p>
        </w:tc>
        <w:tc>
          <w:tcPr>
            <w:tcW w:w="980" w:type="dxa"/>
            <w:vAlign w:val="bottom"/>
            <w:tcBorders>
              <w:bottom w:val="single" w:sz="8" w:color="auto"/>
            </w:tcBorders>
            <w:shd w:val="clear" w:color="auto" w:fill="BFE4FF"/>
          </w:tcPr>
          <w:p>
            <w:pPr>
              <w:jc w:val="right"/>
              <w:ind w:right="52"/>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spacing w:after="0"/>
              <w:rPr>
                <w:sz w:val="22"/>
                <w:szCs w:val="22"/>
                <w:color w:val="auto"/>
              </w:rPr>
            </w:pPr>
          </w:p>
        </w:tc>
        <w:tc>
          <w:tcPr>
            <w:tcW w:w="92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Adjusted free cash flow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389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40" w:right="56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ind w:left="540" w:right="2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expenses (recorded in Other income, net) related to the refinancing of the prior term loan due 2022 and prior revolving credit facility due 2021 (together, the "Prior Senior Secured Credit Facility") in the first quarter of 2019.</w:t>
      </w:r>
    </w:p>
    <w:p>
      <w:pPr>
        <w:ind w:left="540" w:right="8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(recorded in Other income, net) on intercompany financing transactions related to investments in plant assets for our India facility.</w:t>
      </w:r>
    </w:p>
    <w:p>
      <w:pPr>
        <w:ind w:left="540" w:right="100" w:hanging="316"/>
        <w:spacing w:after="0" w:line="256"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charge (recorded in Cost of sales) related to a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three months ended June 30, 2019 and 2018</w:t>
      </w:r>
    </w:p>
    <w:p>
      <w:pPr>
        <w:spacing w:after="0" w:line="139" w:lineRule="exact"/>
        <w:rPr>
          <w:sz w:val="20"/>
          <w:szCs w:val="20"/>
          <w:color w:val="auto"/>
        </w:rPr>
      </w:pPr>
    </w:p>
    <w:p>
      <w:pPr>
        <w:ind w:right="300" w:firstLine="432"/>
        <w:spacing w:after="0" w:line="256" w:lineRule="auto"/>
        <w:rPr>
          <w:sz w:val="20"/>
          <w:szCs w:val="20"/>
          <w:color w:val="auto"/>
        </w:rPr>
      </w:pPr>
      <w:r>
        <w:rPr>
          <w:rFonts w:ascii="Arial" w:cs="Arial" w:eastAsia="Arial" w:hAnsi="Arial"/>
          <w:sz w:val="18"/>
          <w:szCs w:val="18"/>
          <w:color w:val="auto"/>
        </w:rPr>
        <w:t>The following table sets forth certain financial information for the three months ended June 30, 2019 and 2018. The following table and discussion should be read in conjunction with the information contained in our condensed consolidated financial statements and the notes thereto included in Part I, Item 1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1600" w:type="dxa"/>
            <w:vAlign w:val="bottom"/>
            <w:tcBorders>
              <w:bottom w:val="single" w:sz="8" w:color="auto"/>
            </w:tcBorders>
          </w:tcPr>
          <w:p>
            <w:pPr>
              <w:spacing w:after="0"/>
              <w:rPr>
                <w:sz w:val="17"/>
                <w:szCs w:val="17"/>
                <w:color w:val="auto"/>
              </w:rPr>
            </w:pPr>
          </w:p>
        </w:tc>
      </w:tr>
      <w:tr>
        <w:trPr>
          <w:trHeight w:val="175"/>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653"/>
              <w:spacing w:after="0"/>
              <w:rPr>
                <w:sz w:val="20"/>
                <w:szCs w:val="20"/>
                <w:color w:val="auto"/>
              </w:rPr>
            </w:pPr>
            <w:r>
              <w:rPr>
                <w:rFonts w:ascii="Arial" w:cs="Arial" w:eastAsia="Arial" w:hAnsi="Arial"/>
                <w:sz w:val="14"/>
                <w:szCs w:val="14"/>
                <w:b w:val="1"/>
                <w:bCs w:val="1"/>
                <w:color w:val="auto"/>
              </w:rPr>
              <w:t>%</w:t>
            </w:r>
          </w:p>
        </w:tc>
      </w:tr>
      <w:tr>
        <w:trPr>
          <w:trHeight w:val="196"/>
        </w:trPr>
        <w:tc>
          <w:tcPr>
            <w:tcW w:w="5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of net sales</w:t>
            </w: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600" w:type="dxa"/>
            <w:vAlign w:val="bottom"/>
          </w:tcPr>
          <w:p>
            <w:pPr>
              <w:jc w:val="right"/>
              <w:ind w:right="313"/>
              <w:spacing w:after="0"/>
              <w:rPr>
                <w:sz w:val="20"/>
                <w:szCs w:val="20"/>
                <w:color w:val="auto"/>
              </w:rPr>
            </w:pPr>
            <w:r>
              <w:rPr>
                <w:rFonts w:ascii="Arial" w:cs="Arial" w:eastAsia="Arial" w:hAnsi="Arial"/>
                <w:sz w:val="14"/>
                <w:szCs w:val="14"/>
                <w:b w:val="1"/>
                <w:bCs w:val="1"/>
                <w:color w:val="auto"/>
              </w:rPr>
              <w:t>of net sales</w:t>
            </w:r>
          </w:p>
        </w:tc>
      </w:tr>
      <w:tr>
        <w:trPr>
          <w:trHeight w:val="25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737</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348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47</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w:t>
            </w:r>
          </w:p>
        </w:tc>
      </w:tr>
      <w:tr>
        <w:trPr>
          <w:trHeight w:val="264"/>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Engineering — research and development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w:t>
            </w:r>
          </w:p>
        </w:tc>
      </w:tr>
      <w:tr>
        <w:trPr>
          <w:trHeight w:val="250"/>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w:t>
            </w:r>
          </w:p>
        </w:tc>
      </w:tr>
      <w:tr>
        <w:trPr>
          <w:trHeight w:val="250"/>
        </w:trPr>
        <w:tc>
          <w:tcPr>
            <w:tcW w:w="5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259</w:t>
            </w:r>
          </w:p>
        </w:tc>
        <w:tc>
          <w:tcPr>
            <w:tcW w:w="100" w:type="dxa"/>
            <w:vAlign w:val="bottom"/>
          </w:tcPr>
          <w:p>
            <w:pPr>
              <w:spacing w:after="0"/>
              <w:rPr>
                <w:sz w:val="21"/>
                <w:szCs w:val="21"/>
                <w:color w:val="auto"/>
              </w:rPr>
            </w:pPr>
          </w:p>
        </w:tc>
        <w:tc>
          <w:tcPr>
            <w:tcW w:w="1600" w:type="dxa"/>
            <w:vAlign w:val="bottom"/>
          </w:tcPr>
          <w:p>
            <w:pPr>
              <w:jc w:val="right"/>
              <w:ind w:right="17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35</w:t>
            </w: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r>
      <w:tr>
        <w:trPr>
          <w:trHeight w:val="264"/>
        </w:trPr>
        <w:tc>
          <w:tcPr>
            <w:tcW w:w="50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1</w:t>
            </w:r>
          </w:p>
        </w:tc>
      </w:tr>
      <w:tr>
        <w:trPr>
          <w:trHeight w:val="257"/>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229</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32</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139"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Net sales for the quarter ended June 30, 2019 were $737 million compared to $711 million for the quarter ended June 30, 2018, an increase of 4%. The increase was principally driven by a $55 million, or 16%, increase in net sales in the North America On-Highway end market principally driven by higher demand led by the continued execution of our growth initiatives and market share gains in Class 4/5 truck, a $16 million, or 67%, increase in net sales in the Outside North America Off-Highway end market principally driven by higher demand in the energy sector, and a $5 million, or 5%, increase in net sales in the Outside North America On-Highway end market principally driven by higher demand in Europe and South America, partially offset by a $22 million, or 71%, decrease in net sales in the North America Off-Highway end market principally driven by lower demand from hydraulic fracturing applications, a $ 22 million, or 13%, decrease in net sales in the Service Parts, Support Equipment and Other end market principally driven by lower demand for North America service parts and a $6 million, or 14%, decrease in net sales in the Defense end market principally driven by intra-year movement in the timing of Tracked vehicle demand.</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sales</w:t>
      </w:r>
    </w:p>
    <w:p>
      <w:pPr>
        <w:spacing w:after="0" w:line="139" w:lineRule="exact"/>
        <w:rPr>
          <w:sz w:val="20"/>
          <w:szCs w:val="20"/>
          <w:color w:val="auto"/>
        </w:rPr>
      </w:pPr>
    </w:p>
    <w:p>
      <w:pPr>
        <w:ind w:right="360" w:firstLine="432"/>
        <w:spacing w:after="0" w:line="256" w:lineRule="auto"/>
        <w:rPr>
          <w:sz w:val="20"/>
          <w:szCs w:val="20"/>
          <w:color w:val="auto"/>
        </w:rPr>
      </w:pPr>
      <w:r>
        <w:rPr>
          <w:rFonts w:ascii="Arial" w:cs="Arial" w:eastAsia="Arial" w:hAnsi="Arial"/>
          <w:sz w:val="18"/>
          <w:szCs w:val="18"/>
          <w:color w:val="auto"/>
        </w:rPr>
        <w:t>Cost of sales for the quarter ended June 30, 2019 was $348 million compared to $337 million for the quarter ended June 30, 2018, an increase of 3%. The increase was principally driven by increased direct material expense commensurate with increased net sales and $2 million of higher incentive compensation expense.</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139" w:lineRule="exact"/>
        <w:rPr>
          <w:sz w:val="20"/>
          <w:szCs w:val="20"/>
          <w:color w:val="auto"/>
        </w:rPr>
      </w:pPr>
    </w:p>
    <w:p>
      <w:pPr>
        <w:ind w:right="300" w:firstLine="432"/>
        <w:spacing w:after="0" w:line="253" w:lineRule="auto"/>
        <w:rPr>
          <w:sz w:val="20"/>
          <w:szCs w:val="20"/>
          <w:color w:val="auto"/>
        </w:rPr>
      </w:pPr>
      <w:r>
        <w:rPr>
          <w:rFonts w:ascii="Arial" w:cs="Arial" w:eastAsia="Arial" w:hAnsi="Arial"/>
          <w:sz w:val="18"/>
          <w:szCs w:val="18"/>
          <w:color w:val="auto"/>
        </w:rPr>
        <w:t>Gross profit for the quarter ended June 30, 2019 was $389 million compared to $374 million for the quarter ended June 30, 2018, an increase of 4%. The increase was principally driven by $ 13 million related to increased net sales and $4 million of price increases on certain products, partially offset by $2 million of higher incentive compensation expense. Gross profit as a percent of net sales for the three months ended June 30, 2019 increased 20 basis points compared to the same period in 2018 principally driven by increased net sales and price increases on certain products, partially offset by higher incentive compensation expense.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9"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Selling, general and administrative expenses were $93 million for both the quarters ended June 30, 2019 and June 30, 2018 principally driven by $7 million of lower 2019 product warranty expense and $5 million of favorable 2019 product warranty adjustments, offset by increased commercial activities spending and $3 million of higher incentive compensation expense.</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39" w:lineRule="exact"/>
        <w:rPr>
          <w:sz w:val="20"/>
          <w:szCs w:val="20"/>
          <w:color w:val="auto"/>
        </w:rPr>
      </w:pPr>
    </w:p>
    <w:p>
      <w:pPr>
        <w:ind w:right="360" w:firstLine="432"/>
        <w:spacing w:after="0" w:line="262" w:lineRule="auto"/>
        <w:rPr>
          <w:sz w:val="20"/>
          <w:szCs w:val="20"/>
          <w:color w:val="auto"/>
        </w:rPr>
      </w:pPr>
      <w:r>
        <w:rPr>
          <w:rFonts w:ascii="Arial" w:cs="Arial" w:eastAsia="Arial" w:hAnsi="Arial"/>
          <w:sz w:val="18"/>
          <w:szCs w:val="18"/>
          <w:color w:val="auto"/>
        </w:rPr>
        <w:t>Engineering expenses for the quarter ended June 30, 2019 were $37 million compared to $33 million for the quarter ended June 30, 2018, an increase of 12%. The increase was principally driven by increased product initiatives spending.</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Interest expense, net for the quarter ended June 30, 2019 was $33 million compared to $30 million for the quarter ended June 30, 2018, an increase of 10%. The increase was principally driven by $7 million of interest expense on ATI's 5.875% Senior Notes due June 2029 (“5.875% Senior Notes”) issued in the first quarter of 2019, partially offset by $4 million of lower interest expense on ATI’s New Term Loan due primarily to the repayment of $500 million of principal in the first quarter of 2019.</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9" w:lineRule="exact"/>
        <w:rPr>
          <w:sz w:val="20"/>
          <w:szCs w:val="20"/>
          <w:color w:val="auto"/>
        </w:rPr>
      </w:pPr>
    </w:p>
    <w:p>
      <w:pPr>
        <w:ind w:right="120" w:firstLine="432"/>
        <w:spacing w:after="0" w:line="262" w:lineRule="auto"/>
        <w:rPr>
          <w:sz w:val="20"/>
          <w:szCs w:val="20"/>
          <w:color w:val="auto"/>
        </w:rPr>
      </w:pPr>
      <w:r>
        <w:rPr>
          <w:rFonts w:ascii="Arial" w:cs="Arial" w:eastAsia="Arial" w:hAnsi="Arial"/>
          <w:sz w:val="18"/>
          <w:szCs w:val="18"/>
          <w:color w:val="auto"/>
        </w:rPr>
        <w:t>Other income, net for the quarter ended June 30, 2019 was $3 million compared to $ 4 million for the quarter ended June 30, 2018. The change was principally driven by $1 million of decreased credits related to post-retirement benefit plan amendments.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ind w:right="240" w:firstLine="432"/>
        <w:spacing w:after="0" w:line="256" w:lineRule="auto"/>
        <w:rPr>
          <w:sz w:val="20"/>
          <w:szCs w:val="20"/>
          <w:color w:val="auto"/>
        </w:rPr>
      </w:pPr>
      <w:r>
        <w:rPr>
          <w:rFonts w:ascii="Arial" w:cs="Arial" w:eastAsia="Arial" w:hAnsi="Arial"/>
          <w:sz w:val="18"/>
          <w:szCs w:val="18"/>
          <w:color w:val="auto"/>
        </w:rPr>
        <w:t>Income tax expense for the three months ended June 30, 2019 was $48 million, resulting in an effective tax rate of 21%, compared to $48 million of income tax expense and an effective tax rate of 22% for the three months ended June 30, 2018. Income tax expense was principally driven by increased taxable income offset by discrete activity related to stock-based compensation.</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125"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six months ended June 30, 2019 and 2018</w:t>
      </w:r>
    </w:p>
    <w:p>
      <w:pPr>
        <w:spacing w:after="0" w:line="139" w:lineRule="exact"/>
        <w:rPr>
          <w:sz w:val="20"/>
          <w:szCs w:val="20"/>
          <w:color w:val="auto"/>
        </w:rPr>
      </w:pPr>
    </w:p>
    <w:p>
      <w:pPr>
        <w:jc w:val="both"/>
        <w:ind w:right="460" w:firstLine="432"/>
        <w:spacing w:after="0" w:line="256" w:lineRule="auto"/>
        <w:rPr>
          <w:sz w:val="20"/>
          <w:szCs w:val="20"/>
          <w:color w:val="auto"/>
        </w:rPr>
      </w:pPr>
      <w:r>
        <w:rPr>
          <w:rFonts w:ascii="Arial" w:cs="Arial" w:eastAsia="Arial" w:hAnsi="Arial"/>
          <w:sz w:val="18"/>
          <w:szCs w:val="18"/>
          <w:color w:val="auto"/>
        </w:rPr>
        <w:t>The following table sets forth certain financial information for the six months ended June 30, 2019 and 2018. The following table and discussion should be read in conjunction with the information contained in our condensed consolidated financial statements and the notes thereto included in Part I, Item 1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Six months ended June 30,</w:t>
            </w:r>
          </w:p>
        </w:tc>
        <w:tc>
          <w:tcPr>
            <w:tcW w:w="1600" w:type="dxa"/>
            <w:vAlign w:val="bottom"/>
            <w:tcBorders>
              <w:bottom w:val="single" w:sz="8" w:color="auto"/>
            </w:tcBorders>
          </w:tcPr>
          <w:p>
            <w:pPr>
              <w:spacing w:after="0"/>
              <w:rPr>
                <w:sz w:val="17"/>
                <w:szCs w:val="17"/>
                <w:color w:val="auto"/>
              </w:rPr>
            </w:pPr>
          </w:p>
        </w:tc>
      </w:tr>
      <w:tr>
        <w:trPr>
          <w:trHeight w:val="175"/>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ind w:left="7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653"/>
              <w:spacing w:after="0"/>
              <w:rPr>
                <w:sz w:val="20"/>
                <w:szCs w:val="20"/>
                <w:color w:val="auto"/>
              </w:rPr>
            </w:pPr>
            <w:r>
              <w:rPr>
                <w:rFonts w:ascii="Arial" w:cs="Arial" w:eastAsia="Arial" w:hAnsi="Arial"/>
                <w:sz w:val="14"/>
                <w:szCs w:val="14"/>
                <w:b w:val="1"/>
                <w:bCs w:val="1"/>
                <w:color w:val="auto"/>
              </w:rPr>
              <w:t>%</w:t>
            </w:r>
          </w:p>
        </w:tc>
      </w:tr>
      <w:tr>
        <w:trPr>
          <w:trHeight w:val="196"/>
        </w:trPr>
        <w:tc>
          <w:tcPr>
            <w:tcW w:w="5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of net sales</w:t>
            </w: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600" w:type="dxa"/>
            <w:vAlign w:val="bottom"/>
          </w:tcPr>
          <w:p>
            <w:pPr>
              <w:jc w:val="right"/>
              <w:ind w:right="313"/>
              <w:spacing w:after="0"/>
              <w:rPr>
                <w:sz w:val="20"/>
                <w:szCs w:val="20"/>
                <w:color w:val="auto"/>
              </w:rPr>
            </w:pPr>
            <w:r>
              <w:rPr>
                <w:rFonts w:ascii="Arial" w:cs="Arial" w:eastAsia="Arial" w:hAnsi="Arial"/>
                <w:sz w:val="14"/>
                <w:szCs w:val="14"/>
                <w:b w:val="1"/>
                <w:bCs w:val="1"/>
                <w:color w:val="auto"/>
              </w:rPr>
              <w:t>of net sales</w:t>
            </w:r>
          </w:p>
        </w:tc>
      </w:tr>
      <w:tr>
        <w:trPr>
          <w:trHeight w:val="25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1,412</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664</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48</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w:t>
            </w:r>
          </w:p>
        </w:tc>
      </w:tr>
      <w:tr>
        <w:trPr>
          <w:trHeight w:val="264"/>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Engineering — research and development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w:t>
            </w:r>
          </w:p>
        </w:tc>
      </w:tr>
      <w:tr>
        <w:trPr>
          <w:trHeight w:val="250"/>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245</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w:t>
            </w:r>
          </w:p>
        </w:tc>
      </w:tr>
      <w:tr>
        <w:trPr>
          <w:trHeight w:val="250"/>
        </w:trPr>
        <w:tc>
          <w:tcPr>
            <w:tcW w:w="5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503</w:t>
            </w:r>
          </w:p>
        </w:tc>
        <w:tc>
          <w:tcPr>
            <w:tcW w:w="100" w:type="dxa"/>
            <w:vAlign w:val="bottom"/>
          </w:tcPr>
          <w:p>
            <w:pPr>
              <w:spacing w:after="0"/>
              <w:rPr>
                <w:sz w:val="21"/>
                <w:szCs w:val="21"/>
                <w:color w:val="auto"/>
              </w:rPr>
            </w:pPr>
          </w:p>
        </w:tc>
        <w:tc>
          <w:tcPr>
            <w:tcW w:w="1600" w:type="dxa"/>
            <w:vAlign w:val="bottom"/>
          </w:tcPr>
          <w:p>
            <w:pPr>
              <w:jc w:val="right"/>
              <w:ind w:right="17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34</w:t>
            </w: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r>
      <w:tr>
        <w:trPr>
          <w:trHeight w:val="264"/>
        </w:trPr>
        <w:tc>
          <w:tcPr>
            <w:tcW w:w="50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2"/>
                <w:szCs w:val="22"/>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57"/>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440</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30</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139"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Net sales for the six months ended June 30, 2019 were $1,412 million compared to $1,374 million for the six months ended June 30, 2018, an increase of 3%. The increase was principally driven by a $93 million, or 14%, increase in net sales in the North America On-Highway end market principally driven by higher demand led by the continued execution of our growth initiatives and market share gains in Class 4/5 truck, a $31 million, or 86%, increase in net sales in the Outside North America Off-Highway end market principally driven by higher demand in the energy sector, and an $8 million, or 4%, increase in net sales in the Outside North America On-Highway end market principally driven by higher demand in Europe and Asia, partially offset by a $ 42 million, or 13%, decrease in net sales in the Service Parts, Support Equipment and Other end market principally driven by lower demand for North America service parts, a $41 million, or 64%, decrease in net sales in the North America Off-Highway end market principally driven by lower demand from hydraulic fracturing applications and an $11 million, or 14%, decrease in net sales in the Defense end market principally driven by intra-year movement in the timing of Tracked vehicle demand.</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sales</w:t>
      </w:r>
    </w:p>
    <w:p>
      <w:pPr>
        <w:spacing w:after="0" w:line="139"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Cost of sales for the six months ended June 30, 2019 was $664 million compared to $658 million for the six months ended June 30, 2018, an increase of 1%. The increase was principally driven by increased direct material expense commensurate with increased net sales, partially offset by a $7 million reduction in expenses related to a retirement incentive program for certain UAW Local 933 employees.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139"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Gross profit for the six months ended June 30, 2019 was $748 million compared to $716 million for the six months ended June 30, 2018, an increase of 4%. The increase was principally driven by $18 million related to increased net sales, $7 million of price increases on certain products and a $7 million reduction in expenses related to a retirement incentive program for certain UAW Local 933 employees. Gross profit as a percent of net sales for the six months ended June 30, 2019 increased 90 basis points compared to the same period in 2018 principally driven by increased net sales, price increases on certain products and a reduction in expenses related to the retirement incentive program.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9"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Selling, general and administrative expenses for the six months ended June 30, 2019 were $177 million compared to $185 million for the six month ended June 30, 2018, a decrease of 4%. The decrease was principally driven by $11 million of lower 2019 product warranty expense, $8 million of unfavorable 2018 product warranty adjustments that did not recur in 2019 and $6 million of favorable 2019 product warranty adjustments, partially offset by increased commercial activities spending and $3 million of higher incentive compensation expense.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39" w:lineRule="exact"/>
        <w:rPr>
          <w:sz w:val="20"/>
          <w:szCs w:val="20"/>
          <w:color w:val="auto"/>
        </w:rPr>
      </w:pPr>
    </w:p>
    <w:p>
      <w:pPr>
        <w:ind w:right="660" w:firstLine="432"/>
        <w:spacing w:after="0" w:line="262" w:lineRule="auto"/>
        <w:rPr>
          <w:sz w:val="20"/>
          <w:szCs w:val="20"/>
          <w:color w:val="auto"/>
        </w:rPr>
      </w:pPr>
      <w:r>
        <w:rPr>
          <w:rFonts w:ascii="Arial" w:cs="Arial" w:eastAsia="Arial" w:hAnsi="Arial"/>
          <w:sz w:val="18"/>
          <w:szCs w:val="18"/>
          <w:color w:val="auto"/>
        </w:rPr>
        <w:t>Engineering expenses for the six months ended June 30, 2019 were $68 million compared to $61 million for the six months ended June 30, 2018, an increase of 11%. The increase was principally driven by increased product initiatives spending.</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Interest expense, net for the six months ended June 30, 2019 was $69 million compared to $60 million for the six months ended June 30, 2018, an increase of 15%. The increase was principally driven by $8 million of interest expense on ATI's 5.875% Senior Notes issued in the first quarter of 2019 and $5 million of expenses related to long-term debt refinancing, partially offset by $2 million of lower interest expense on ATI’s New Term Loan due primarily to the repayment of $500 million of principal in the first quarter of 2019.</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net for the six months ended June 30, 2019 was $6 million compared to $3 million for the six months ended June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change was principally driven by a $3 million favorable change in foreign exchange on intercompany financing.</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jc w:val="both"/>
        <w:ind w:right="580" w:firstLine="432"/>
        <w:spacing w:after="0" w:line="256" w:lineRule="auto"/>
        <w:rPr>
          <w:sz w:val="20"/>
          <w:szCs w:val="20"/>
          <w:color w:val="auto"/>
        </w:rPr>
      </w:pPr>
      <w:r>
        <w:rPr>
          <w:rFonts w:ascii="Arial" w:cs="Arial" w:eastAsia="Arial" w:hAnsi="Arial"/>
          <w:sz w:val="18"/>
          <w:szCs w:val="18"/>
          <w:color w:val="auto"/>
        </w:rPr>
        <w:t>Income tax expense for the six months ended June 30, 2019 was $92 million, resulting in an effective tax rate of 21%, compared to $88 million of income tax expense and an effective tax rate of 21% for the six months ended June 30, 2018. The increase in income tax expense was principally driven by increased taxable income.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debt service, stock repurchases, dividends on common stock, strategic growth initiatives, including acquisitions, and working capital needs. We had total available cash and cash equivalents of $153 million and $231 million as of June 30, 2019 and December 31, 2018, respectively. Of the available cash and cash equivalents, $133 million and $120 million was deposited in operating accounts as of June 30, 2019 and December 31, 2018, respectively, while $20 million and $111 million was invested in U.S. government backed securities as of June 30, 2019 and December 31, 2018, respectively.</w:t>
      </w:r>
    </w:p>
    <w:p>
      <w:pPr>
        <w:spacing w:after="0" w:line="10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As of June 30, 2019, the total of cash and cash equivalents held by foreign subsidiaries was $86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expectations or operating needs with local resources.</w:t>
      </w:r>
    </w:p>
    <w:p>
      <w:pPr>
        <w:spacing w:after="0" w:line="150"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subsidiaries located in China and Hong Kong, as they are intended to be permanently reinvested and used to support foreign operations. We have a deferred tax liability of $2 million for the tax liability associated with the remittance of previously taxed income and unremitted earnings for our subsidiaries located in China and Hong Kong. The U.S. Tax Cuts and Jobs Act requirement of a one-time repatriation tax on foreign earnings and profits resulted in us recording a $6 million liability for the deemed repatriation to be paid to the U.S. Government in 2017.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and are not material.</w:t>
      </w:r>
    </w:p>
    <w:p>
      <w:pPr>
        <w:spacing w:after="0" w:line="98"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Our liquidity requirements are significant, primarily due to our debt service requirements. As of June 30, 2019, we had $ 648 million of indebtedness associated with ATI’s New Term Loan, $1,000 million of indebtedness associated with ATI’s 5.0% Senior Notes due 2024 (“5.0% Senior Notes”), $400 million of indebtedness associated with ATI’s 4.75% Senior Notes due 2027 ("4.75% Senior Notes") and $500 million of indebtedness associated with ATI's 5.875% Senior Notes (together with the 5.0% Senior Notes and 4.75% Senior Notes, the "Senior Notes"). The minimum required quarterly principal payment on ATI’s New Term Loan through its maturity date of September 2026 is $2 million. There are no required quarterly principal payments on ATI’s Senior Notes.</w:t>
      </w:r>
    </w:p>
    <w:p>
      <w:pPr>
        <w:spacing w:after="0" w:line="10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Our ability to make payments on and refinance our indebtedness and to fund planned capital expenditures and growth initiatives will depend on our ability to generate cash in the future. This is subject to general economic, financial, competitive, legislative, regulatory and other factors that may be beyond our control. We made $90 million of principal payments on the New Senior Secured Credit Facility during the three and six months ended June 30, 2019. We made $25 million and $28 million of principal payments on the Prior Senior Secured Credit Facility during the three and six months ended June 30, 2018.</w:t>
      </w:r>
    </w:p>
    <w:p>
      <w:pPr>
        <w:spacing w:after="0" w:line="15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New Senior Secured Credit Facility provides for a $600 million New Revolving Credit Facility, net of an allowance for up to $75 million in outstanding letters of credit commitments. Throughout the six months ended June 30, 2019, the Company made periodic withdrawals and payments on the New Revolving Credit Facility as part of the Company's debt management plans. The maximum amount outstanding at any time during the six months ended June 30, 2019 was $90 million. As of June 30, 2019, we had $578 million available under the New Revolving Credit Facility, net of $22 million in letters of credit. As of June 30, 2019, we had no amounts outstanding under the New Revolving Credit Facility. If we have commitments outstanding on the New Revolving Credit Facility at the end of a fiscal quarter, the New Senior Secured Credit Facility requires us to maintain a specified maximum first lien net leverage ratio of 5.50x. Additionally, within the terms of the New Senior Secured Credit Facility, a first lien net leverage ratio at or below 4.00x results in the elimination of excess cash flow payments on the New Senior Secured Credit Facility for the applicable year. As of June 30, 2019, our first lien net leverage ratio was 0.43x. The New Senior Secured Credit Facility also provides certain financial incentives based on our first lien net leverage ratio. A first lien net leverage ratio at or below 4.00x and above 3.50x results in a 25 basis point reduction to the applicable margin on the New Revolving Credit Facility. A first lien net leverage ratio at or below 3.50x results in an additional 25 basis point reduction to the applicable margin on the New Revolving Credit Facility. These reductions remain in effect as long as we achieve a first lien net leverage ratio at or below the related threshold.</w:t>
      </w:r>
    </w:p>
    <w:p>
      <w:pPr>
        <w:spacing w:after="0" w:line="103"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2019, we are in compliance with all covenants under the New Senior Secured Credit Facility and indentures governing the Senior Notes.</w:t>
      </w:r>
    </w:p>
    <w:p>
      <w:pPr>
        <w:spacing w:after="0" w:line="96"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Our credit ratings are reviewed by Moody’s Investors Service (“Moody’s”) and Fitch Ratings (“Fitch”). Moody’s rates our corporate credit at ‘Ba2’, New Term Loan at ‘Baa3’, 5.0% Senior Notes at ‘Ba3’, 4.75% Senior Notes at ‘Ba3’ and 5.875% Senior Notes at 'Ba3'. Fitch rates our corporate credit at ‘BB’, New Term Loan at ‘BB+’, 5.0% Senior Notes at ‘BB’, 4.75% Senior Notes at ‘BB’ and 5.875% Senior Notes at 'BB'.</w:t>
      </w:r>
    </w:p>
    <w:p>
      <w:pPr>
        <w:spacing w:after="0" w:line="94"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On November 14, 2016, our Board of Directors authorized us to purchase up to $1,000 million of our common stock under a stock repurchase program ("Repurchase Program"). On November 8, 2017 our Board of Directors increased the authorization by $500 million, on July 30, 2018 our Board of Directors increased the authorization by an additional $500 million and on May 9, 2019, the Board of Directors authorized the Company to repurchase an additional $1,000 million, bringing the total amount authorized under the Repurchase Program to $3,000 million. For the three and six months ended June 30, 2019, we repurchased approximately $235 million and $285 million, respectively, of our common stock under the Repurchase Program. As of June 30, 2019, we had $1,160 million available under the Repurchase Program.</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our sources and uses of funds for the six months ended June 30, 2019 and 2018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433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Cash flows used for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used for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bl>
    <w:p>
      <w:pPr>
        <w:spacing w:after="0" w:line="107" w:lineRule="exact"/>
        <w:rPr>
          <w:sz w:val="20"/>
          <w:szCs w:val="20"/>
          <w:color w:val="auto"/>
        </w:rPr>
      </w:pPr>
    </w:p>
    <w:p>
      <w:pPr>
        <w:jc w:val="both"/>
        <w:ind w:right="180" w:firstLine="432"/>
        <w:spacing w:after="0" w:line="254"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New Senior Secured Credit Facility to meet cash demands. We anticipate cash provided by operating activities, cash and cash equivalents and borrowing capacity under the New Senior Secured Credit Facility will be sufficient to meet our cash requirements for the next twelve months.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39"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Operating activities for the six months ended June 30, 2019 generated $433 million of cash compared to $366 million for the six months ended June 30, 2018. The increase was principally driven by lower operating working capital requirements, increased gross profit and decreased cash interest expense, partially offset by increased cash income taxes.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39"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Investing activities for the six months ended June 30, 2019 used $177 million of cash compared to $29 million for the six months ended June 30, 2018. The increase was principally driven by $ 133 million in cash paid for business acquisitions and a $15 million increase in capital expenditures. The increase in capital expenditures was principally driven by increased spending related to investments in productivity and replacement programs and engineering and testing capabilities.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39" w:lineRule="exact"/>
        <w:rPr>
          <w:sz w:val="20"/>
          <w:szCs w:val="20"/>
          <w:color w:val="auto"/>
        </w:rPr>
      </w:pPr>
    </w:p>
    <w:p>
      <w:pPr>
        <w:jc w:val="both"/>
        <w:ind w:right="80" w:firstLine="432"/>
        <w:spacing w:after="0" w:line="256" w:lineRule="auto"/>
        <w:rPr>
          <w:sz w:val="20"/>
          <w:szCs w:val="20"/>
          <w:color w:val="auto"/>
        </w:rPr>
      </w:pPr>
      <w:r>
        <w:rPr>
          <w:rFonts w:ascii="Arial" w:cs="Arial" w:eastAsia="Arial" w:hAnsi="Arial"/>
          <w:sz w:val="18"/>
          <w:szCs w:val="18"/>
          <w:color w:val="auto"/>
        </w:rPr>
        <w:t>Financing activities for the six months ended June 30, 2019 used $334 million of cash compared to $439 million for the six months ended June 30, 2018. The decrease was principally driven by $85 million of decreased stock repurchases, $28 million of lower net payments on long-term debt and $4 million less of dividends paid, partially offset by an increase of $11 million in long-term debt restructuring payments.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3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3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 Discussion and Analysis” in our Annual Report on Form 10-K for the year ended December 31, 2018 as filed with the SEC on February 26, 2019.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six months ended June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39"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the concentration of our net sales in our top five customers and the loss of any one of these; the failure of markets outside North America to increase adoption of fully-automatic transmissions; the success of our research and development efforts, the outcome of which is uncertain; our failure to identify, consummate or effectively integrate acquisitions; U.S. and foreign defense spending; general economic and industry conditions; increases in cost, disruption of supply or shortage of raw materials or components used in our products; the discovery of defects in our products, resulting in delays in new model launches, recall campaigns and/or increased warranty costs and reduction in future sales or damage to our brand and reputation; risks associated with our international operations, including increased trade protectionism; labor strikes, work stoppages or similar labor disputes, which could significantly disrupt our operations or those of our principal customers; and our intention to pay dividends and repurchase shares of our common stock.</w:t>
      </w:r>
    </w:p>
    <w:p>
      <w:pPr>
        <w:spacing w:after="0" w:line="101"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2018 as filed with the Securities and Exchange Commission on February 26, 2019. All written and oral forward-looking statements attributable to us, or persons acting on our behalf, are expressly qualified in their entirety by these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9"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We are subject to interest rate market risk in connection with a portion of our long-term debt. Our principal interest rate exposure relates to outstanding amounts under our New Senior Secured Credit Facility. Our New Senior Secured Credit Facility provides for variable rate borrowings of up to $1,226 million including $578 million under our New Revolving Credit Facility, net of $22 million of letters of credit. A one-eighth percent increase or decrease in assumed interest rates for the New Senior Secured Credit Facility, if fully drawn, as of June 30, 2019 would have an impact of approximately $2 million on interest expense. As of June 30, 2019, we had no outstanding borrowings against the New Revolving Credit Facility.</w:t>
      </w:r>
    </w:p>
    <w:p>
      <w:pPr>
        <w:spacing w:after="0" w:line="10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From time to time, we enter into interest rate swap agreements to hedge our variable interest rate debt. During the first quarter of 2019, we entered into $250 million of interest rate swaps and designated them as cash flow hedges under the hypothetical derivative method. As of June 30, 2019, we held interest rate swaps effective from September 2019 to September 2022 with notional values totaling $250 million and a weighted average LIBOR fixed rate of 3.01%, interest rate swaps effective from September 2019 to September 2025 with notional values totaling $250 million and a weighted average LIBOR fixed rate of 3.04% and interest rate swaps effective from September 2022 to September 2025 with notional values totaling $250 million and a weighted average LIBOR fixed rate of 2.82%.</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3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96"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and Chinese Yuan Renminbi would correspondingly change our earnings, net of tax, by an estimated $6 million per year. We believe other exposure to foreign currencies is immaterial.</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39"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Approximately 70%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w:t>
      </w:r>
    </w:p>
    <w:p>
      <w:pPr>
        <w:spacing w:after="0" w:line="101" w:lineRule="exact"/>
        <w:rPr>
          <w:sz w:val="20"/>
          <w:szCs w:val="20"/>
          <w:color w:val="auto"/>
        </w:rPr>
      </w:pPr>
    </w:p>
    <w:p>
      <w:pPr>
        <w:ind w:right="100" w:firstLine="432"/>
        <w:spacing w:after="0" w:line="262"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$3 million and $8 million per year, respectively.</w:t>
      </w:r>
    </w:p>
    <w:p>
      <w:pPr>
        <w:spacing w:after="0" w:line="88"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For purposes of the sensitivity analysis above, the impact of these cost sharing arrangements has not been included.</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9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P, “Commitments and Contingencies” in the notes to the condensed consolidated financial statements included in Part I, Item 1 of this Quarterly Report on Form 10-Q.</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160" w:firstLine="432"/>
        <w:spacing w:after="0" w:line="262"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2018 as filed with the Securities and Exchange Commission on February 26, 2019.</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related to our repurchases of our common stock on a monthly basis in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6"/>
              </w:rPr>
              <w:t>Total Number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35"/>
        </w:trPr>
        <w:tc>
          <w:tcPr>
            <w:tcW w:w="4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35"/>
        </w:trPr>
        <w:tc>
          <w:tcPr>
            <w:tcW w:w="4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Purchased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jc w:val="center"/>
              <w:ind w:right="167"/>
              <w:spacing w:after="0" w:line="135" w:lineRule="exact"/>
              <w:rPr>
                <w:sz w:val="20"/>
                <w:szCs w:val="20"/>
                <w:color w:val="auto"/>
              </w:rPr>
            </w:pPr>
            <w:r>
              <w:rPr>
                <w:rFonts w:ascii="Arial" w:cs="Arial" w:eastAsia="Arial" w:hAnsi="Arial"/>
                <w:sz w:val="13"/>
                <w:szCs w:val="13"/>
                <w:b w:val="1"/>
                <w:bCs w:val="1"/>
                <w:color w:val="auto"/>
                <w:w w:val="98"/>
              </w:rPr>
              <w:t>Approximate</w:t>
            </w:r>
          </w:p>
        </w:tc>
      </w:tr>
      <w:tr>
        <w:trPr>
          <w:trHeight w:val="135"/>
        </w:trPr>
        <w:tc>
          <w:tcPr>
            <w:tcW w:w="4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as Part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jc w:val="center"/>
              <w:ind w:right="187"/>
              <w:spacing w:after="0" w:line="135" w:lineRule="exact"/>
              <w:rPr>
                <w:sz w:val="20"/>
                <w:szCs w:val="20"/>
                <w:color w:val="auto"/>
              </w:rPr>
            </w:pPr>
            <w:r>
              <w:rPr>
                <w:rFonts w:ascii="Arial" w:cs="Arial" w:eastAsia="Arial" w:hAnsi="Arial"/>
                <w:sz w:val="13"/>
                <w:szCs w:val="13"/>
                <w:b w:val="1"/>
                <w:bCs w:val="1"/>
                <w:color w:val="auto"/>
                <w:w w:val="96"/>
              </w:rPr>
              <w:t>Dollar Value of</w:t>
            </w:r>
          </w:p>
        </w:tc>
      </w:tr>
      <w:tr>
        <w:trPr>
          <w:trHeight w:val="135"/>
        </w:trPr>
        <w:tc>
          <w:tcPr>
            <w:tcW w:w="476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Total 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Average Price</w:t>
            </w: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Publicly</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jc w:val="center"/>
              <w:ind w:right="167"/>
              <w:spacing w:after="0" w:line="135" w:lineRule="exact"/>
              <w:rPr>
                <w:sz w:val="20"/>
                <w:szCs w:val="20"/>
                <w:color w:val="auto"/>
              </w:rPr>
            </w:pPr>
            <w:r>
              <w:rPr>
                <w:rFonts w:ascii="Arial" w:cs="Arial" w:eastAsia="Arial" w:hAnsi="Arial"/>
                <w:sz w:val="13"/>
                <w:szCs w:val="13"/>
                <w:b w:val="1"/>
                <w:bCs w:val="1"/>
                <w:color w:val="auto"/>
                <w:w w:val="98"/>
              </w:rPr>
              <w:t>Shares that May</w:t>
            </w:r>
          </w:p>
        </w:tc>
      </w:tr>
      <w:tr>
        <w:trPr>
          <w:trHeight w:val="135"/>
        </w:trPr>
        <w:tc>
          <w:tcPr>
            <w:tcW w:w="476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Paid per</w:t>
            </w: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Announced Plans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jc w:val="center"/>
              <w:ind w:right="167"/>
              <w:spacing w:after="0" w:line="135" w:lineRule="exact"/>
              <w:rPr>
                <w:sz w:val="20"/>
                <w:szCs w:val="20"/>
                <w:color w:val="auto"/>
              </w:rPr>
            </w:pPr>
            <w:r>
              <w:rPr>
                <w:rFonts w:ascii="Arial" w:cs="Arial" w:eastAsia="Arial" w:hAnsi="Arial"/>
                <w:sz w:val="13"/>
                <w:szCs w:val="13"/>
                <w:b w:val="1"/>
                <w:bCs w:val="1"/>
                <w:color w:val="auto"/>
                <w:w w:val="95"/>
              </w:rPr>
              <w:t>Yet Be Purchased</w:t>
            </w:r>
          </w:p>
        </w:tc>
      </w:tr>
      <w:tr>
        <w:trPr>
          <w:trHeight w:val="178"/>
        </w:trPr>
        <w:tc>
          <w:tcPr>
            <w:tcW w:w="47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Purchased</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9"/>
              </w:rPr>
              <w:t>Share</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or Programs(1)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8"/>
              </w:rPr>
              <w:t>Under Plans(1)</w:t>
            </w: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1– April 30, 2019</w:t>
            </w: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tcPr>
          <w:p>
            <w:pPr>
              <w:ind w:left="40"/>
              <w:spacing w:after="0"/>
              <w:rPr>
                <w:sz w:val="20"/>
                <w:szCs w:val="20"/>
                <w:color w:val="auto"/>
              </w:rPr>
            </w:pPr>
            <w:r>
              <w:rPr>
                <w:rFonts w:ascii="Arial" w:cs="Arial" w:eastAsia="Arial" w:hAnsi="Arial"/>
                <w:sz w:val="18"/>
                <w:szCs w:val="18"/>
                <w:color w:val="auto"/>
              </w:rPr>
              <w:t>May 1 – May 31, 2019</w:t>
            </w:r>
          </w:p>
        </w:tc>
        <w:tc>
          <w:tcPr>
            <w:tcW w:w="1460" w:type="dxa"/>
            <w:vAlign w:val="bottom"/>
          </w:tcPr>
          <w:p>
            <w:pPr>
              <w:jc w:val="right"/>
              <w:ind w:right="22"/>
              <w:spacing w:after="0"/>
              <w:rPr>
                <w:sz w:val="20"/>
                <w:szCs w:val="20"/>
                <w:color w:val="auto"/>
              </w:rPr>
            </w:pPr>
            <w:r>
              <w:rPr>
                <w:rFonts w:ascii="Arial" w:cs="Arial" w:eastAsia="Arial" w:hAnsi="Arial"/>
                <w:sz w:val="18"/>
                <w:szCs w:val="18"/>
                <w:color w:val="auto"/>
              </w:rPr>
              <w:t>5,010,929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2"/>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2"/>
                <w:szCs w:val="22"/>
                <w:color w:val="auto"/>
              </w:rPr>
            </w:pPr>
          </w:p>
        </w:tc>
        <w:tc>
          <w:tcPr>
            <w:tcW w:w="1460" w:type="dxa"/>
            <w:vAlign w:val="bottom"/>
          </w:tcPr>
          <w:p>
            <w:pPr>
              <w:jc w:val="right"/>
              <w:ind w:right="27"/>
              <w:spacing w:after="0"/>
              <w:rPr>
                <w:sz w:val="20"/>
                <w:szCs w:val="20"/>
                <w:color w:val="auto"/>
              </w:rPr>
            </w:pPr>
            <w:r>
              <w:rPr>
                <w:rFonts w:ascii="Arial" w:cs="Arial" w:eastAsia="Arial" w:hAnsi="Arial"/>
                <w:sz w:val="18"/>
                <w:szCs w:val="18"/>
                <w:color w:val="auto"/>
              </w:rPr>
              <w:t>5,010,929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7"/>
              <w:spacing w:after="0"/>
              <w:rPr>
                <w:sz w:val="20"/>
                <w:szCs w:val="20"/>
                <w:color w:val="auto"/>
              </w:rPr>
            </w:pPr>
            <w:r>
              <w:rPr>
                <w:rFonts w:ascii="Arial" w:cs="Arial" w:eastAsia="Arial" w:hAnsi="Arial"/>
                <w:sz w:val="18"/>
                <w:szCs w:val="18"/>
                <w:color w:val="auto"/>
              </w:rPr>
              <w:t>1,161,326,348</w:t>
            </w:r>
          </w:p>
        </w:tc>
      </w:tr>
      <w:tr>
        <w:trPr>
          <w:trHeight w:val="27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1 – June 30, 2019</w:t>
            </w: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38,562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rPr>
              <w:t>38,562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1,159,713,801</w:t>
            </w:r>
          </w:p>
        </w:tc>
      </w:tr>
      <w:tr>
        <w:trPr>
          <w:trHeight w:val="250"/>
        </w:trPr>
        <w:tc>
          <w:tcPr>
            <w:tcW w:w="4760" w:type="dxa"/>
            <w:vAlign w:val="bottom"/>
          </w:tcPr>
          <w:p>
            <w:pPr>
              <w:ind w:left="38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5,049,491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2"/>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color w:val="auto"/>
              </w:rPr>
              <w:t>5,049,491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0"/>
        </w:trPr>
        <w:tc>
          <w:tcPr>
            <w:tcW w:w="4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hanging="316"/>
        <w:spacing w:after="0" w:line="256"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values reflect repurchases made under the Repurchase Program approved by the Board of Directors on November 14, 2016 and the increases approved by the Board of Directors on November 8, 2017, July 30, 2018 and May 9, 2019 which, in the aggregate, authorized total repurchases of $3,000 million. The Repurchase Program has no termination date.</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25"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20" w:type="dxa"/>
            <w:vAlign w:val="bottom"/>
            <w:gridSpan w:val="5"/>
          </w:tcPr>
          <w:p>
            <w:pPr>
              <w:ind w:left="40"/>
              <w:spacing w:after="0"/>
              <w:rPr>
                <w:sz w:val="20"/>
                <w:szCs w:val="20"/>
                <w:color w:val="auto"/>
              </w:rPr>
            </w:pPr>
            <w:r>
              <w:rPr>
                <w:rFonts w:ascii="Arial" w:cs="Arial" w:eastAsia="Arial" w:hAnsi="Arial"/>
                <w:sz w:val="18"/>
                <w:szCs w:val="18"/>
                <w:b w:val="1"/>
                <w:bCs w:val="1"/>
                <w:color w:val="auto"/>
              </w:rPr>
              <w:t>Item 6.</w:t>
            </w:r>
          </w:p>
        </w:tc>
        <w:tc>
          <w:tcPr>
            <w:tcW w:w="862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38"/>
        </w:trPr>
        <w:tc>
          <w:tcPr>
            <w:tcW w:w="152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32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3"/>
        </w:trPr>
        <w:tc>
          <w:tcPr>
            <w:tcW w:w="480" w:type="dxa"/>
            <w:vAlign w:val="bottom"/>
          </w:tcPr>
          <w:p>
            <w:pPr>
              <w:ind w:left="40"/>
              <w:spacing w:after="0"/>
              <w:rPr>
                <w:sz w:val="20"/>
                <w:szCs w:val="20"/>
                <w:color w:val="auto"/>
              </w:rPr>
            </w:pPr>
            <w:r>
              <w:rPr>
                <w:rFonts w:ascii="Arial" w:cs="Arial" w:eastAsia="Arial" w:hAnsi="Arial"/>
                <w:sz w:val="18"/>
                <w:szCs w:val="18"/>
                <w:color w:val="auto"/>
              </w:rPr>
              <w:t>10.1</w:t>
            </w:r>
          </w:p>
        </w:tc>
        <w:tc>
          <w:tcPr>
            <w:tcW w:w="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0" w:type="dxa"/>
            <w:vAlign w:val="bottom"/>
            <w:gridSpan w:val="11"/>
          </w:tcPr>
          <w:p>
            <w:pPr>
              <w:spacing w:after="0"/>
              <w:rPr>
                <w:rFonts w:ascii="Arial" w:cs="Arial" w:eastAsia="Arial" w:hAnsi="Arial"/>
                <w:sz w:val="18"/>
                <w:szCs w:val="18"/>
                <w:color w:val="0000FF"/>
              </w:rPr>
            </w:pPr>
            <w:hyperlink r:id="rId25">
              <w:r>
                <w:rPr>
                  <w:rFonts w:ascii="Arial" w:cs="Arial" w:eastAsia="Arial" w:hAnsi="Arial"/>
                  <w:sz w:val="18"/>
                  <w:szCs w:val="18"/>
                  <w:color w:val="0000FF"/>
                </w:rPr>
                <w:t>Stock Repurchase Agreement, dated May 7, 2019, between Allison Transmission Holdings, Inc. and Ashe Capital</w:t>
              </w:r>
            </w:hyperlink>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Management, L.P. (incorporated by reference to Exhibit 10.1 of the Registrant's Current Report on Form 8-K filed on May 7,</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Borders>
              <w:bottom w:val="single" w:sz="8" w:color="0000FF"/>
            </w:tcBorders>
          </w:tcPr>
          <w:p>
            <w:pPr>
              <w:spacing w:after="0" w:line="182"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2019)</w:t>
              </w:r>
            </w:hyperlink>
          </w:p>
        </w:tc>
        <w:tc>
          <w:tcPr>
            <w:tcW w:w="3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7"/>
        </w:trPr>
        <w:tc>
          <w:tcPr>
            <w:tcW w:w="480" w:type="dxa"/>
            <w:vAlign w:val="bottom"/>
          </w:tcPr>
          <w:p>
            <w:pPr>
              <w:ind w:left="4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20" w:type="dxa"/>
            <w:vAlign w:val="bottom"/>
            <w:gridSpan w:val="6"/>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Certification of Chief Executive Officer pursuant to Rule 13a-14(a)/15d-14(a) as adopted pursuant to Section</w:t>
              </w:r>
            </w:hyperlink>
          </w:p>
        </w:tc>
        <w:tc>
          <w:tcPr>
            <w:tcW w:w="1180" w:type="dxa"/>
            <w:vAlign w:val="bottom"/>
            <w:gridSpan w:val="5"/>
          </w:tcPr>
          <w:p>
            <w:pPr>
              <w:ind w:left="80"/>
              <w:spacing w:after="0"/>
              <w:rPr>
                <w:rFonts w:ascii="Arial" w:cs="Arial" w:eastAsia="Arial" w:hAnsi="Arial"/>
                <w:sz w:val="18"/>
                <w:szCs w:val="18"/>
                <w:color w:val="0000FF"/>
              </w:rPr>
            </w:pPr>
            <w:hyperlink w:anchor="page41">
              <w:r>
                <w:rPr>
                  <w:rFonts w:ascii="Arial" w:cs="Arial" w:eastAsia="Arial" w:hAnsi="Arial"/>
                  <w:sz w:val="18"/>
                  <w:szCs w:val="18"/>
                  <w:color w:val="0000FF"/>
                </w:rPr>
                <w:t>302 of the</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41">
              <w:r>
                <w:rPr>
                  <w:rFonts w:ascii="Arial" w:cs="Arial" w:eastAsia="Arial" w:hAnsi="Arial"/>
                  <w:sz w:val="18"/>
                  <w:szCs w:val="18"/>
                  <w:color w:val="0000FF"/>
                </w:rPr>
                <w:t>Sarbanes-Oxley Act of 2002 (filed herewith)</w:t>
              </w:r>
            </w:hyperlink>
          </w:p>
        </w:tc>
        <w:tc>
          <w:tcPr>
            <w:tcW w:w="4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480" w:type="dxa"/>
            <w:vAlign w:val="bottom"/>
          </w:tcPr>
          <w:p>
            <w:pPr>
              <w:ind w:left="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20" w:type="dxa"/>
            <w:vAlign w:val="bottom"/>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Chief Financial Officer pursuant to Rule 13a-14(a)/15d-14(a) as adopted pursuant to Section</w:t>
              </w:r>
            </w:hyperlink>
          </w:p>
        </w:tc>
        <w:tc>
          <w:tcPr>
            <w:tcW w:w="1180" w:type="dxa"/>
            <w:vAlign w:val="bottom"/>
            <w:gridSpan w:val="5"/>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302 of the</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Sarbanes-Oxley Act of 2002 (filed herewith)</w:t>
              </w:r>
            </w:hyperlink>
          </w:p>
        </w:tc>
        <w:tc>
          <w:tcPr>
            <w:tcW w:w="4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480" w:type="dxa"/>
            <w:vAlign w:val="bottom"/>
          </w:tcPr>
          <w:p>
            <w:pPr>
              <w:ind w:left="4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0" w:type="dxa"/>
            <w:vAlign w:val="bottom"/>
            <w:gridSpan w:val="1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Periodic Report by Chief Executive Officer and Chief Financial Officer pursuant to 18 U.S.C. Section 1350,</w:t>
              </w:r>
            </w:hyperlink>
          </w:p>
        </w:tc>
      </w:tr>
      <w:tr>
        <w:trPr>
          <w:trHeight w:val="183"/>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43">
              <w:r>
                <w:rPr>
                  <w:rFonts w:ascii="Arial" w:cs="Arial" w:eastAsia="Arial" w:hAnsi="Arial"/>
                  <w:sz w:val="18"/>
                  <w:szCs w:val="18"/>
                  <w:color w:val="0000FF"/>
                </w:rPr>
                <w:t>as adopted pursuant to Section 906 of the Sarbanes-Oxley Act of 2002 (filed herewith)</w:t>
              </w:r>
            </w:hyperlink>
          </w:p>
        </w:tc>
        <w:tc>
          <w:tcPr>
            <w:tcW w:w="4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520" w:type="dxa"/>
            <w:vAlign w:val="bottom"/>
            <w:gridSpan w:val="5"/>
          </w:tcPr>
          <w:p>
            <w:pPr>
              <w:spacing w:after="0" w:line="20" w:lineRule="exact"/>
              <w:rPr>
                <w:sz w:val="1"/>
                <w:szCs w:val="1"/>
                <w:color w:val="auto"/>
              </w:rPr>
            </w:pPr>
          </w:p>
        </w:tc>
        <w:tc>
          <w:tcPr>
            <w:tcW w:w="6920" w:type="dxa"/>
            <w:vAlign w:val="bottom"/>
            <w:gridSpan w:val="5"/>
            <w:shd w:val="clear" w:color="auto" w:fill="0000FF"/>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r>
      <w:tr>
        <w:trPr>
          <w:trHeight w:val="303"/>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gridSpan w:val="11"/>
          </w:tcPr>
          <w:p>
            <w:pPr>
              <w:spacing w:after="0"/>
              <w:rPr>
                <w:sz w:val="20"/>
                <w:szCs w:val="20"/>
                <w:color w:val="auto"/>
              </w:rPr>
            </w:pPr>
            <w:r>
              <w:rPr>
                <w:rFonts w:ascii="Arial" w:cs="Arial" w:eastAsia="Arial" w:hAnsi="Arial"/>
                <w:sz w:val="18"/>
                <w:szCs w:val="18"/>
                <w:color w:val="auto"/>
              </w:rPr>
              <w:t xml:space="preserve">XBRL Instance Document - </w:t>
            </w:r>
            <w:r>
              <w:rPr>
                <w:rFonts w:ascii="Arial" w:cs="Arial" w:eastAsia="Arial" w:hAnsi="Arial"/>
                <w:sz w:val="21"/>
                <w:szCs w:val="21"/>
                <w:color w:val="auto"/>
              </w:rPr>
              <w:t>t</w:t>
            </w:r>
            <w:r>
              <w:rPr>
                <w:rFonts w:ascii="Arial" w:cs="Arial" w:eastAsia="Arial" w:hAnsi="Arial"/>
                <w:sz w:val="18"/>
                <w:szCs w:val="18"/>
                <w:color w:val="auto"/>
              </w:rPr>
              <w:t>he instance document does not appear in the Interactive Data File because its XBRL tags are</w:t>
            </w:r>
          </w:p>
        </w:tc>
      </w:tr>
      <w:tr>
        <w:trPr>
          <w:trHeight w:val="217"/>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2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101.SCH</w:t>
            </w:r>
          </w:p>
        </w:tc>
        <w:tc>
          <w:tcPr>
            <w:tcW w:w="86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101.CAL</w:t>
            </w:r>
          </w:p>
        </w:tc>
        <w:tc>
          <w:tcPr>
            <w:tcW w:w="86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101.DEF</w:t>
            </w:r>
          </w:p>
        </w:tc>
        <w:tc>
          <w:tcPr>
            <w:tcW w:w="86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101.LAB</w:t>
            </w:r>
          </w:p>
        </w:tc>
        <w:tc>
          <w:tcPr>
            <w:tcW w:w="86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1520" w:type="dxa"/>
            <w:vAlign w:val="bottom"/>
            <w:gridSpan w:val="5"/>
          </w:tcPr>
          <w:p>
            <w:pPr>
              <w:ind w:left="40"/>
              <w:spacing w:after="0"/>
              <w:rPr>
                <w:sz w:val="20"/>
                <w:szCs w:val="20"/>
                <w:color w:val="auto"/>
              </w:rPr>
            </w:pPr>
            <w:r>
              <w:rPr>
                <w:rFonts w:ascii="Arial" w:cs="Arial" w:eastAsia="Arial" w:hAnsi="Arial"/>
                <w:sz w:val="18"/>
                <w:szCs w:val="18"/>
                <w:color w:val="auto"/>
              </w:rPr>
              <w:t>101.PRE</w:t>
            </w:r>
          </w:p>
        </w:tc>
        <w:tc>
          <w:tcPr>
            <w:tcW w:w="86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635"/>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40" w:type="dxa"/>
            <w:vAlign w:val="bottom"/>
            <w:gridSpan w:val="3"/>
          </w:tcPr>
          <w:p>
            <w:pPr>
              <w:ind w:left="4100"/>
              <w:spacing w:after="0"/>
              <w:rPr>
                <w:sz w:val="20"/>
                <w:szCs w:val="20"/>
                <w:color w:val="auto"/>
              </w:rPr>
            </w:pPr>
            <w:r>
              <w:rPr>
                <w:rFonts w:ascii="Arial" w:cs="Arial" w:eastAsia="Arial" w:hAnsi="Arial"/>
                <w:sz w:val="18"/>
                <w:szCs w:val="18"/>
                <w:color w:val="auto"/>
              </w:rPr>
              <w:t>39</w:t>
            </w: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20"/>
          </w:cols>
          <w:pgMar w:left="24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ALLISON TRANSMISSION HOLDINGS, INC.</w:t>
            </w:r>
          </w:p>
        </w:tc>
      </w:tr>
      <w:tr>
        <w:trPr>
          <w:trHeight w:val="277"/>
        </w:trPr>
        <w:tc>
          <w:tcPr>
            <w:tcW w:w="2160" w:type="dxa"/>
            <w:vAlign w:val="bottom"/>
          </w:tcPr>
          <w:p>
            <w:pPr>
              <w:spacing w:after="0"/>
              <w:rPr>
                <w:sz w:val="20"/>
                <w:szCs w:val="20"/>
                <w:color w:val="auto"/>
              </w:rPr>
            </w:pPr>
            <w:r>
              <w:rPr>
                <w:rFonts w:ascii="Arial" w:cs="Arial" w:eastAsia="Arial" w:hAnsi="Arial"/>
                <w:sz w:val="18"/>
                <w:szCs w:val="18"/>
                <w:color w:val="auto"/>
              </w:rPr>
              <w:t>Date: August 1, 2019</w:t>
            </w:r>
          </w:p>
        </w:tc>
        <w:tc>
          <w:tcPr>
            <w:tcW w:w="920" w:type="dxa"/>
            <w:vAlign w:val="bottom"/>
          </w:tcPr>
          <w:p>
            <w:pPr>
              <w:ind w:left="48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David S. Graziosi</w:t>
            </w:r>
          </w:p>
        </w:tc>
      </w:tr>
      <w:tr>
        <w:trPr>
          <w:trHeight w:val="365"/>
        </w:trPr>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Name:</w:t>
            </w:r>
          </w:p>
        </w:tc>
        <w:tc>
          <w:tcPr>
            <w:tcW w:w="5180" w:type="dxa"/>
            <w:vAlign w:val="bottom"/>
          </w:tcPr>
          <w:p>
            <w:pPr>
              <w:ind w:left="220"/>
              <w:spacing w:after="0"/>
              <w:rPr>
                <w:sz w:val="20"/>
                <w:szCs w:val="20"/>
                <w:color w:val="auto"/>
              </w:rPr>
            </w:pPr>
            <w:r>
              <w:rPr>
                <w:rFonts w:ascii="Arial" w:cs="Arial" w:eastAsia="Arial" w:hAnsi="Arial"/>
                <w:sz w:val="18"/>
                <w:szCs w:val="18"/>
                <w:color w:val="auto"/>
              </w:rPr>
              <w:t>David S. Graziosi</w:t>
            </w:r>
          </w:p>
        </w:tc>
      </w:tr>
      <w:tr>
        <w:trPr>
          <w:trHeight w:val="256"/>
        </w:trPr>
        <w:tc>
          <w:tcPr>
            <w:tcW w:w="2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1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17"/>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64"/>
        </w:trPr>
        <w:tc>
          <w:tcPr>
            <w:tcW w:w="2160" w:type="dxa"/>
            <w:vAlign w:val="bottom"/>
          </w:tcPr>
          <w:p>
            <w:pPr>
              <w:spacing w:after="0"/>
              <w:rPr>
                <w:sz w:val="20"/>
                <w:szCs w:val="20"/>
                <w:color w:val="auto"/>
              </w:rPr>
            </w:pPr>
            <w:r>
              <w:rPr>
                <w:rFonts w:ascii="Arial" w:cs="Arial" w:eastAsia="Arial" w:hAnsi="Arial"/>
                <w:sz w:val="18"/>
                <w:szCs w:val="18"/>
                <w:color w:val="auto"/>
              </w:rPr>
              <w:t>Date: August 1, 2019</w:t>
            </w:r>
          </w:p>
        </w:tc>
        <w:tc>
          <w:tcPr>
            <w:tcW w:w="920" w:type="dxa"/>
            <w:vAlign w:val="bottom"/>
          </w:tcPr>
          <w:p>
            <w:pPr>
              <w:ind w:left="48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G. Frederick Bohley</w:t>
            </w:r>
          </w:p>
        </w:tc>
      </w:tr>
      <w:tr>
        <w:trPr>
          <w:trHeight w:val="365"/>
        </w:trPr>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Name:</w:t>
            </w:r>
          </w:p>
        </w:tc>
        <w:tc>
          <w:tcPr>
            <w:tcW w:w="5180" w:type="dxa"/>
            <w:vAlign w:val="bottom"/>
          </w:tcPr>
          <w:p>
            <w:pPr>
              <w:ind w:left="220"/>
              <w:spacing w:after="0"/>
              <w:rPr>
                <w:sz w:val="20"/>
                <w:szCs w:val="20"/>
                <w:color w:val="auto"/>
              </w:rPr>
            </w:pPr>
            <w:r>
              <w:rPr>
                <w:rFonts w:ascii="Arial" w:cs="Arial" w:eastAsia="Arial" w:hAnsi="Arial"/>
                <w:sz w:val="18"/>
                <w:szCs w:val="18"/>
                <w:color w:val="auto"/>
              </w:rPr>
              <w:t>G. Frederick Bohley</w:t>
            </w:r>
          </w:p>
        </w:tc>
      </w:tr>
      <w:tr>
        <w:trPr>
          <w:trHeight w:val="256"/>
        </w:trPr>
        <w:tc>
          <w:tcPr>
            <w:tcW w:w="2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180" w:type="dxa"/>
            <w:vAlign w:val="bottom"/>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17"/>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851"/>
        </w:trPr>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80" w:type="dxa"/>
            <w:vAlign w:val="bottom"/>
          </w:tcPr>
          <w:p>
            <w:pPr>
              <w:ind w:left="136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320"/>
          </w:cols>
          <w:pgMar w:left="240" w:top="125" w:right="339" w:bottom="1440" w:gutter="0" w:footer="0" w:header="0"/>
        </w:sectPr>
      </w:pPr>
    </w:p>
    <w:bookmarkStart w:id="40" w:name="page41"/>
    <w:bookmarkEnd w:id="40"/>
    <w:p>
      <w:pPr>
        <w:jc w:val="center"/>
        <w:ind w:left="360" w:right="2240"/>
        <w:spacing w:after="0" w:line="297"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23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52" w:lineRule="exact"/>
        <w:rPr>
          <w:rFonts w:ascii="Arial" w:cs="Arial" w:eastAsia="Arial" w:hAnsi="Arial"/>
          <w:sz w:val="18"/>
          <w:szCs w:val="18"/>
          <w:color w:val="auto"/>
        </w:rPr>
      </w:pPr>
    </w:p>
    <w:p>
      <w:pPr>
        <w:jc w:val="both"/>
        <w:ind w:left="660" w:right="200" w:hanging="652"/>
        <w:spacing w:after="0" w:line="29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60" w:hanging="652"/>
        <w:spacing w:after="0" w:line="34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80" w:hanging="652"/>
        <w:spacing w:after="0" w:line="29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20" w:hanging="644"/>
        <w:spacing w:after="0" w:line="29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120" w:hanging="644"/>
        <w:spacing w:after="0" w:line="29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80" w:hanging="644"/>
        <w:spacing w:after="0" w:line="377"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300" w:hanging="644"/>
        <w:spacing w:after="0" w:line="29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80" w:hanging="652"/>
        <w:spacing w:after="0" w:line="34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77"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300" w:right="260" w:hanging="644"/>
        <w:spacing w:after="0" w:line="30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David S. Graziosi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320"/>
          </w:cols>
          <w:pgMar w:left="240" w:top="540" w:right="339" w:bottom="1440" w:gutter="0" w:footer="0" w:header="0"/>
        </w:sectPr>
      </w:pPr>
    </w:p>
    <w:bookmarkStart w:id="41" w:name="page42"/>
    <w:bookmarkEnd w:id="41"/>
    <w:p>
      <w:pPr>
        <w:jc w:val="center"/>
        <w:ind w:left="360" w:right="2240"/>
        <w:spacing w:after="0" w:line="297"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G. Frederick Bohley, certify that:</w:t>
      </w:r>
    </w:p>
    <w:p>
      <w:pPr>
        <w:spacing w:after="0" w:line="23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52" w:lineRule="exact"/>
        <w:rPr>
          <w:rFonts w:ascii="Arial" w:cs="Arial" w:eastAsia="Arial" w:hAnsi="Arial"/>
          <w:sz w:val="18"/>
          <w:szCs w:val="18"/>
          <w:color w:val="auto"/>
        </w:rPr>
      </w:pPr>
    </w:p>
    <w:p>
      <w:pPr>
        <w:jc w:val="both"/>
        <w:ind w:left="660" w:right="200" w:hanging="652"/>
        <w:spacing w:after="0" w:line="29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60" w:hanging="652"/>
        <w:spacing w:after="0" w:line="34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9" w:lineRule="exact"/>
        <w:rPr>
          <w:rFonts w:ascii="Arial" w:cs="Arial" w:eastAsia="Arial" w:hAnsi="Arial"/>
          <w:sz w:val="17"/>
          <w:szCs w:val="17"/>
          <w:color w:val="auto"/>
        </w:rPr>
      </w:pPr>
    </w:p>
    <w:p>
      <w:pPr>
        <w:ind w:left="660" w:right="180" w:hanging="652"/>
        <w:spacing w:after="0" w:line="29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20" w:hanging="644"/>
        <w:spacing w:after="0" w:line="29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120" w:hanging="644"/>
        <w:spacing w:after="0" w:line="29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80" w:hanging="644"/>
        <w:spacing w:after="0" w:line="37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300" w:hanging="644"/>
        <w:spacing w:after="0" w:line="29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80" w:hanging="652"/>
        <w:spacing w:after="0" w:line="34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7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300" w:right="260" w:hanging="644"/>
        <w:spacing w:after="0" w:line="309"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1421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G. Frederick Bohley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Senior 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320"/>
          </w:cols>
          <w:pgMar w:left="240" w:top="540"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June 30, 2019 as filed with the Securities and Exchange Commission on the date hereof (the “Report”), we, David S. Graziosi,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S. Graziosi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 Frederick Bohley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5" Type="http://schemas.openxmlformats.org/officeDocument/2006/relationships/hyperlink" Target="http://www.sec.gov/Archives/edgar/data/1411207/000119312519139652/d74360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2019-12-28T09:24:44Z</dcterms:created>
  <dcterms:modified xsi:type="dcterms:W3CDTF">2019-12-28T09:24:44Z</dcterms:modified>
</cp:coreProperties>
</file>