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66040</wp:posOffset>
            </wp:positionV>
            <wp:extent cx="2371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76200</wp:posOffset>
            </wp:positionV>
            <wp:extent cx="2371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07" w:lineRule="exact"/>
        <w:rPr>
          <w:sz w:val="24"/>
          <w:szCs w:val="24"/>
          <w:color w:val="auto"/>
        </w:rPr>
      </w:pPr>
    </w:p>
    <w:p>
      <w:pPr>
        <w:ind w:left="420" w:hanging="399"/>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2022</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03" w:lineRule="exact"/>
        <w:rPr>
          <w:sz w:val="24"/>
          <w:szCs w:val="24"/>
          <w:color w:val="auto"/>
        </w:rPr>
      </w:pPr>
    </w:p>
    <w:p>
      <w:pPr>
        <w:ind w:left="4480" w:right="2520" w:hanging="4459"/>
        <w:spacing w:after="0" w:line="379" w:lineRule="auto"/>
        <w:tabs>
          <w:tab w:leader="none" w:pos="42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5"/>
          <w:szCs w:val="15"/>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-17145</wp:posOffset>
            </wp:positionV>
            <wp:extent cx="2371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ALLISON TRANSMISSION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55245</wp:posOffset>
            </wp:positionV>
            <wp:extent cx="2371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176" w:lineRule="exact"/>
        <w:rPr>
          <w:sz w:val="24"/>
          <w:szCs w:val="24"/>
          <w:color w:val="auto"/>
        </w:rPr>
      </w:pPr>
    </w:p>
    <w:p>
      <w:pPr>
        <w:ind w:left="24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26-0414014</w:t>
      </w:r>
    </w:p>
    <w:p>
      <w:pPr>
        <w:spacing w:after="0" w:line="15" w:lineRule="exact"/>
        <w:rPr>
          <w:sz w:val="24"/>
          <w:szCs w:val="24"/>
          <w:color w:val="auto"/>
        </w:rPr>
      </w:pPr>
    </w:p>
    <w:p>
      <w:pPr>
        <w:sectPr>
          <w:pgSz w:w="11900" w:h="16838" w:orient="portrait"/>
          <w:cols w:equalWidth="0" w:num="2">
            <w:col w:w="7340" w:space="720"/>
            <w:col w:w="3180"/>
          </w:cols>
          <w:pgMar w:left="320" w:top="229" w:right="339" w:bottom="1440" w:gutter="0" w:footer="0" w:header="0"/>
          <w:type w:val="continuous"/>
        </w:sectPr>
      </w:pPr>
    </w:p>
    <w:p>
      <w:pPr>
        <w:spacing w:after="0" w:line="23" w:lineRule="exact"/>
        <w:rPr>
          <w:sz w:val="24"/>
          <w:szCs w:val="24"/>
          <w:color w:val="auto"/>
        </w:rPr>
      </w:pPr>
    </w:p>
    <w:p>
      <w:pPr>
        <w:ind w:left="21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2693670</wp:posOffset>
            </wp:positionH>
            <wp:positionV relativeFrom="paragraph">
              <wp:posOffset>142240</wp:posOffset>
            </wp:positionV>
            <wp:extent cx="1729740"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9740" cy="5226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Allison Way</w:t>
      </w:r>
    </w:p>
    <w:p>
      <w:pPr>
        <w:jc w:val="center"/>
        <w:spacing w:after="0" w:line="228" w:lineRule="auto"/>
        <w:rPr>
          <w:sz w:val="20"/>
          <w:szCs w:val="20"/>
          <w:color w:val="auto"/>
        </w:rPr>
      </w:pPr>
      <w:r>
        <w:rPr>
          <w:rFonts w:ascii="Arial" w:cs="Arial" w:eastAsia="Arial" w:hAnsi="Arial"/>
          <w:sz w:val="15"/>
          <w:szCs w:val="15"/>
          <w:b w:val="1"/>
          <w:bCs w:val="1"/>
          <w:color w:val="auto"/>
        </w:rPr>
        <w:t>Indianapolis, IN 46222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(317) 242-5000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4560" w:type="dxa"/>
            <w:vAlign w:val="bottom"/>
            <w:gridSpan w:val="5"/>
          </w:tcPr>
          <w:p>
            <w:pPr>
              <w:ind w:left="6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41"/>
        </w:trPr>
        <w:tc>
          <w:tcPr>
            <w:tcW w:w="3460" w:type="dxa"/>
            <w:vAlign w:val="bottom"/>
            <w:tcBorders>
              <w:bottom w:val="single" w:sz="8" w:color="auto"/>
            </w:tcBorders>
          </w:tcPr>
          <w:p>
            <w:pPr>
              <w:jc w:val="center"/>
              <w:ind w:left="984"/>
              <w:spacing w:after="0"/>
              <w:rPr>
                <w:sz w:val="20"/>
                <w:szCs w:val="20"/>
                <w:color w:val="auto"/>
              </w:rPr>
            </w:pPr>
            <w:r>
              <w:rPr>
                <w:rFonts w:ascii="Arial" w:cs="Arial" w:eastAsia="Arial" w:hAnsi="Arial"/>
                <w:sz w:val="15"/>
                <w:szCs w:val="15"/>
                <w:b w:val="1"/>
                <w:bCs w:val="1"/>
                <w:color w:val="auto"/>
              </w:rPr>
              <w:t>Title of each class</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20" w:type="dxa"/>
            <w:vAlign w:val="bottom"/>
          </w:tcPr>
          <w:p>
            <w:pPr>
              <w:spacing w:after="0"/>
              <w:rPr>
                <w:sz w:val="20"/>
                <w:szCs w:val="20"/>
                <w:color w:val="auto"/>
              </w:rPr>
            </w:pPr>
          </w:p>
        </w:tc>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38"/>
        </w:trPr>
        <w:tc>
          <w:tcPr>
            <w:tcW w:w="3460" w:type="dxa"/>
            <w:vAlign w:val="bottom"/>
          </w:tcPr>
          <w:p>
            <w:pPr>
              <w:jc w:val="center"/>
              <w:ind w:left="984"/>
              <w:spacing w:after="0"/>
              <w:rPr>
                <w:sz w:val="20"/>
                <w:szCs w:val="20"/>
                <w:color w:val="auto"/>
              </w:rPr>
            </w:pPr>
            <w:r>
              <w:rPr>
                <w:rFonts w:ascii="Arial" w:cs="Arial" w:eastAsia="Arial" w:hAnsi="Arial"/>
                <w:sz w:val="15"/>
                <w:szCs w:val="15"/>
                <w:b w:val="1"/>
                <w:bCs w:val="1"/>
                <w:color w:val="auto"/>
              </w:rPr>
              <w:t>Common Stock, $0.01 par value</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5"/>
                <w:szCs w:val="15"/>
                <w:b w:val="1"/>
                <w:bCs w:val="1"/>
                <w:color w:val="auto"/>
                <w:w w:val="97"/>
              </w:rPr>
              <w:t>ALSN</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20" w:type="dxa"/>
            <w:vAlign w:val="bottom"/>
            <w:gridSpan w:val="2"/>
          </w:tcPr>
          <w:p>
            <w:pPr>
              <w:jc w:val="center"/>
              <w:ind w:right="824"/>
              <w:spacing w:after="0"/>
              <w:rPr>
                <w:sz w:val="20"/>
                <w:szCs w:val="20"/>
                <w:color w:val="auto"/>
              </w:rPr>
            </w:pPr>
            <w:r>
              <w:rPr>
                <w:rFonts w:ascii="Arial" w:cs="Arial" w:eastAsia="Arial" w:hAnsi="Arial"/>
                <w:sz w:val="15"/>
                <w:szCs w:val="15"/>
                <w:b w:val="1"/>
                <w:bCs w:val="1"/>
                <w:color w:val="auto"/>
              </w:rPr>
              <w:t>New York Stock Exchange</w:t>
            </w:r>
          </w:p>
        </w:tc>
      </w:tr>
      <w:tr>
        <w:trPr>
          <w:trHeight w:val="248"/>
        </w:trPr>
        <w:tc>
          <w:tcPr>
            <w:tcW w:w="700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12(g) of the Act: None</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57"/>
        </w:trPr>
        <w:tc>
          <w:tcPr>
            <w:tcW w:w="802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c>
          <w:tcPr>
            <w:tcW w:w="620" w:type="dxa"/>
            <w:vAlign w:val="bottom"/>
          </w:tcPr>
          <w:p>
            <w:pPr>
              <w:ind w:left="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600" w:type="dxa"/>
            <w:vAlign w:val="bottom"/>
          </w:tcPr>
          <w:p>
            <w:pPr>
              <w:ind w:left="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56"/>
        </w:trPr>
        <w:tc>
          <w:tcPr>
            <w:tcW w:w="802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tc>
        <w:tc>
          <w:tcPr>
            <w:tcW w:w="62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60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bl>
    <w:p>
      <w:pPr>
        <w:spacing w:after="0" w:line="42" w:lineRule="exact"/>
        <w:rPr>
          <w:sz w:val="24"/>
          <w:szCs w:val="24"/>
          <w:color w:val="auto"/>
        </w:rPr>
      </w:pPr>
    </w:p>
    <w:p>
      <w:pPr>
        <w:ind w:right="120"/>
        <w:spacing w:after="0" w:line="24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 w:leader="none" w:pos="134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0" w:lineRule="exact"/>
        <w:rPr>
          <w:sz w:val="24"/>
          <w:szCs w:val="24"/>
          <w:color w:val="auto"/>
        </w:rPr>
      </w:pPr>
    </w:p>
    <w:p>
      <w:pPr>
        <w:ind w:right="40"/>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8" w:lineRule="exact"/>
        <w:rPr>
          <w:sz w:val="24"/>
          <w:szCs w:val="24"/>
          <w:color w:val="auto"/>
        </w:rPr>
      </w:pPr>
    </w:p>
    <w:p>
      <w:pPr>
        <w:ind w:right="160"/>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p>
      <w:pPr>
        <w:ind w:left="20"/>
        <w:spacing w:after="0" w:line="173" w:lineRule="exact"/>
        <w:tabs>
          <w:tab w:leader="none" w:pos="2260" w:val="left"/>
          <w:tab w:leader="none" w:pos="4060" w:val="left"/>
          <w:tab w:leader="none" w:pos="6200" w:val="left"/>
          <w:tab w:leader="none" w:pos="87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23" w:lineRule="exact"/>
        <w:rPr>
          <w:sz w:val="24"/>
          <w:szCs w:val="24"/>
          <w:color w:val="auto"/>
        </w:rPr>
      </w:pPr>
    </w:p>
    <w:p>
      <w:pPr>
        <w:ind w:right="240"/>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8" w:lineRule="exact"/>
        <w:rPr>
          <w:sz w:val="24"/>
          <w:szCs w:val="24"/>
          <w:color w:val="auto"/>
        </w:rPr>
      </w:pPr>
    </w:p>
    <w:p>
      <w:pPr>
        <w:ind w:right="340"/>
        <w:spacing w:after="0" w:line="241"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report. </w:t>
      </w:r>
      <w:r>
        <w:rPr>
          <w:rFonts w:ascii="MS PGothic" w:cs="MS PGothic" w:eastAsia="MS PGothic" w:hAnsi="MS PGothic"/>
          <w:sz w:val="15"/>
          <w:szCs w:val="15"/>
          <w:color w:val="auto"/>
        </w:rPr>
        <w:t>☒</w:t>
      </w:r>
    </w:p>
    <w:p>
      <w:pPr>
        <w:spacing w:after="0" w:line="60" w:lineRule="exact"/>
        <w:rPr>
          <w:sz w:val="24"/>
          <w:szCs w:val="24"/>
          <w:color w:val="auto"/>
        </w:rPr>
      </w:pPr>
    </w:p>
    <w:p>
      <w:pPr>
        <w:ind w:right="220"/>
        <w:spacing w:after="0" w:line="195"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42" w:lineRule="exact"/>
        <w:rPr>
          <w:sz w:val="24"/>
          <w:szCs w:val="24"/>
          <w:color w:val="auto"/>
        </w:rPr>
      </w:pPr>
    </w:p>
    <w:p>
      <w:pPr>
        <w:ind w:right="60"/>
        <w:spacing w:after="0" w:line="195"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6" w:lineRule="exact"/>
        <w:rPr>
          <w:sz w:val="24"/>
          <w:szCs w:val="24"/>
          <w:color w:val="auto"/>
        </w:rPr>
      </w:pPr>
    </w:p>
    <w:p>
      <w:pPr>
        <w:spacing w:after="0" w:line="173" w:lineRule="exact"/>
        <w:tabs>
          <w:tab w:leader="none" w:pos="7800" w:val="left"/>
          <w:tab w:leader="none" w:pos="84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5"/>
          <w:szCs w:val="15"/>
          <w:color w:val="auto"/>
        </w:rPr>
        <w:t>The aggregate market value of the voting and non-voting stock held by non-affiliates was approximately $3,680 million as of June 30, 2022.</w:t>
      </w:r>
    </w:p>
    <w:p>
      <w:pPr>
        <w:spacing w:after="0" w:line="70"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1, 2023, there were 91,864,356 shares of Common Stock outstanding.</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59" w:lineRule="exact"/>
        <w:rPr>
          <w:sz w:val="24"/>
          <w:szCs w:val="24"/>
          <w:color w:val="auto"/>
        </w:rPr>
      </w:pPr>
    </w:p>
    <w:p>
      <w:pPr>
        <w:ind w:right="40"/>
        <w:spacing w:after="0" w:line="263" w:lineRule="auto"/>
        <w:rPr>
          <w:sz w:val="20"/>
          <w:szCs w:val="20"/>
          <w:color w:val="auto"/>
        </w:rPr>
      </w:pPr>
      <w:r>
        <w:rPr>
          <w:rFonts w:ascii="Arial" w:cs="Arial" w:eastAsia="Arial" w:hAnsi="Arial"/>
          <w:sz w:val="15"/>
          <w:szCs w:val="15"/>
          <w:color w:val="auto"/>
        </w:rPr>
        <w:t>Portions of the Registrant’s definitive Proxy Statement for its 2023 annual meeting of stockholders will be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31"/>
          </w:tcPr>
          <w:p>
            <w:pPr>
              <w:spacing w:after="0"/>
              <w:rPr>
                <w:sz w:val="20"/>
                <w:szCs w:val="20"/>
                <w:color w:val="auto"/>
              </w:rPr>
            </w:pPr>
            <w:r>
              <w:rPr>
                <w:rFonts w:ascii="Arial" w:cs="Arial" w:eastAsia="Arial" w:hAnsi="Arial"/>
                <w:sz w:val="18"/>
                <w:szCs w:val="18"/>
                <w:color w:val="0000FF"/>
              </w:rPr>
              <w:t>Table of Contents</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7"/>
        </w:trPr>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80" w:type="dxa"/>
            <w:vAlign w:val="bottom"/>
            <w:gridSpan w:val="9"/>
          </w:tcPr>
          <w:p>
            <w:pPr>
              <w:jc w:val="center"/>
              <w:ind w:right="3940"/>
              <w:spacing w:after="0"/>
              <w:rPr>
                <w:sz w:val="20"/>
                <w:szCs w:val="20"/>
                <w:color w:val="auto"/>
              </w:rPr>
            </w:pPr>
            <w:r>
              <w:rPr>
                <w:rFonts w:ascii="Arial" w:cs="Arial" w:eastAsia="Arial" w:hAnsi="Arial"/>
                <w:sz w:val="18"/>
                <w:szCs w:val="18"/>
                <w:b w:val="1"/>
                <w:bCs w:val="1"/>
                <w:color w:val="auto"/>
              </w:rPr>
              <w:t>INDEX</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Page</w:t>
            </w:r>
          </w:p>
        </w:tc>
        <w:tc>
          <w:tcPr>
            <w:tcW w:w="60" w:type="dxa"/>
            <w:vAlign w:val="bottom"/>
          </w:tcPr>
          <w:p>
            <w:pPr>
              <w:spacing w:after="0"/>
              <w:rPr>
                <w:sz w:val="24"/>
                <w:szCs w:val="24"/>
                <w:color w:val="auto"/>
              </w:rPr>
            </w:pPr>
          </w:p>
        </w:tc>
      </w:tr>
      <w:tr>
        <w:trPr>
          <w:trHeight w:val="182"/>
        </w:trPr>
        <w:tc>
          <w:tcPr>
            <w:tcW w:w="100" w:type="dxa"/>
            <w:vAlign w:val="bottom"/>
          </w:tcPr>
          <w:p>
            <w:pPr>
              <w:spacing w:after="0"/>
              <w:rPr>
                <w:sz w:val="15"/>
                <w:szCs w:val="15"/>
                <w:color w:val="auto"/>
              </w:rPr>
            </w:pPr>
          </w:p>
        </w:tc>
        <w:tc>
          <w:tcPr>
            <w:tcW w:w="800" w:type="dxa"/>
            <w:vAlign w:val="bottom"/>
            <w:gridSpan w:val="5"/>
          </w:tcPr>
          <w:p>
            <w:pPr>
              <w:spacing w:after="0" w:line="182" w:lineRule="exact"/>
              <w:rPr>
                <w:sz w:val="20"/>
                <w:szCs w:val="20"/>
                <w:color w:val="auto"/>
              </w:rPr>
            </w:pPr>
            <w:r>
              <w:rPr>
                <w:rFonts w:ascii="Arial" w:cs="Arial" w:eastAsia="Arial" w:hAnsi="Arial"/>
                <w:sz w:val="18"/>
                <w:szCs w:val="18"/>
                <w:b w:val="1"/>
                <w:bCs w:val="1"/>
                <w:color w:val="0000FF"/>
              </w:rPr>
              <w:t>PART I.</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1.</w:t>
            </w:r>
          </w:p>
        </w:tc>
        <w:tc>
          <w:tcPr>
            <w:tcW w:w="2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Business</w:t>
            </w:r>
          </w:p>
        </w:tc>
        <w:tc>
          <w:tcPr>
            <w:tcW w:w="8760" w:type="dxa"/>
            <w:vAlign w:val="bottom"/>
            <w:gridSpan w:val="2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w w:val="92"/>
              </w:rPr>
              <w:t>Item 1A.</w:t>
            </w: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8"/>
                <w:szCs w:val="18"/>
                <w:color w:val="0000FF"/>
              </w:rPr>
              <w:t>Risk Factors</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w w:val="92"/>
              </w:rPr>
              <w:t>Item 1B.</w:t>
            </w: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8"/>
                <w:szCs w:val="18"/>
                <w:color w:val="0000FF"/>
              </w:rPr>
              <w:t>Unresolved Staff Comments</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Item 2.</w:t>
            </w:r>
          </w:p>
        </w:tc>
        <w:tc>
          <w:tcPr>
            <w:tcW w:w="120" w:type="dxa"/>
            <w:vAlign w:val="bottom"/>
            <w:tcBorders>
              <w:top w:val="single" w:sz="8" w:color="auto"/>
            </w:tcBorders>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Properties</w:t>
            </w:r>
          </w:p>
        </w:tc>
        <w:tc>
          <w:tcPr>
            <w:tcW w:w="726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3.</w:t>
            </w:r>
          </w:p>
        </w:tc>
        <w:tc>
          <w:tcPr>
            <w:tcW w:w="2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Legal Proceedings</w:t>
            </w:r>
          </w:p>
        </w:tc>
        <w:tc>
          <w:tcPr>
            <w:tcW w:w="8000" w:type="dxa"/>
            <w:vAlign w:val="bottom"/>
            <w:gridSpan w:val="16"/>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4.</w:t>
            </w:r>
          </w:p>
        </w:tc>
        <w:tc>
          <w:tcPr>
            <w:tcW w:w="2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Mine Safety Disclosures</w:t>
            </w:r>
          </w:p>
        </w:tc>
        <w:tc>
          <w:tcPr>
            <w:tcW w:w="7560" w:type="dxa"/>
            <w:vAlign w:val="bottom"/>
            <w:gridSpan w:val="14"/>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80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0"/>
              </w:rPr>
              <w:t>Item 5.</w:t>
            </w:r>
          </w:p>
        </w:tc>
        <w:tc>
          <w:tcPr>
            <w:tcW w:w="2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Item 6.</w:t>
            </w:r>
          </w:p>
        </w:tc>
        <w:tc>
          <w:tcPr>
            <w:tcW w:w="2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[Reserved]</w:t>
            </w:r>
          </w:p>
        </w:tc>
        <w:tc>
          <w:tcPr>
            <w:tcW w:w="7980" w:type="dxa"/>
            <w:vAlign w:val="bottom"/>
            <w:tcBorders>
              <w:top w:val="single" w:sz="8" w:color="0000FF"/>
            </w:tcBorders>
            <w:gridSpan w:val="18"/>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7.</w:t>
            </w:r>
          </w:p>
        </w:tc>
        <w:tc>
          <w:tcPr>
            <w:tcW w:w="2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7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42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Item 7A.</w:t>
            </w: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78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0"/>
              </w:rPr>
              <w:t>Item 8.</w:t>
            </w:r>
          </w:p>
        </w:tc>
        <w:tc>
          <w:tcPr>
            <w:tcW w:w="2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8"/>
                <w:szCs w:val="18"/>
                <w:color w:val="0000FF"/>
              </w:rPr>
              <w:t>Financial Statements and Supplementary Data</w:t>
            </w: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0"/>
              </w:rPr>
              <w:t>Item 9.</w:t>
            </w:r>
          </w:p>
        </w:tc>
        <w:tc>
          <w:tcPr>
            <w:tcW w:w="2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Item 9A.</w:t>
            </w: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Controls and Procedures</w:t>
            </w:r>
          </w:p>
        </w:tc>
        <w:tc>
          <w:tcPr>
            <w:tcW w:w="750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w w:val="92"/>
              </w:rPr>
              <w:t>Item 9B.</w:t>
            </w: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80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2"/>
        </w:trPr>
        <w:tc>
          <w:tcPr>
            <w:tcW w:w="100" w:type="dxa"/>
            <w:vAlign w:val="bottom"/>
          </w:tcPr>
          <w:p>
            <w:pPr>
              <w:spacing w:after="0"/>
              <w:rPr>
                <w:sz w:val="24"/>
                <w:szCs w:val="24"/>
                <w:color w:val="auto"/>
              </w:rPr>
            </w:pPr>
          </w:p>
        </w:tc>
        <w:tc>
          <w:tcPr>
            <w:tcW w:w="800" w:type="dxa"/>
            <w:vAlign w:val="bottom"/>
            <w:gridSpan w:val="5"/>
          </w:tcPr>
          <w:p>
            <w:pPr>
              <w:spacing w:after="0"/>
              <w:rPr>
                <w:sz w:val="20"/>
                <w:szCs w:val="20"/>
                <w:color w:val="auto"/>
              </w:rPr>
            </w:pPr>
            <w:r>
              <w:rPr>
                <w:rFonts w:ascii="Arial" w:cs="Arial" w:eastAsia="Arial" w:hAnsi="Arial"/>
                <w:sz w:val="18"/>
                <w:szCs w:val="18"/>
                <w:b w:val="1"/>
                <w:bCs w:val="1"/>
                <w:color w:val="0000FF"/>
              </w:rPr>
              <w:t>PART III.</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Item 10.</w:t>
            </w: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5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500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11.</w:t>
            </w:r>
          </w:p>
        </w:tc>
        <w:tc>
          <w:tcPr>
            <w:tcW w:w="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Executive Compensation</w:t>
            </w:r>
          </w:p>
        </w:tc>
        <w:tc>
          <w:tcPr>
            <w:tcW w:w="750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w w:val="95"/>
              </w:rPr>
              <w:t>Item 12.</w:t>
            </w: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gridSpan w:val="24"/>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6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5"/>
              </w:rPr>
              <w:t>Item 13.</w:t>
            </w: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tcBorders>
              <w:top w:val="single" w:sz="8" w:color="0000FF"/>
            </w:tcBorders>
            <w:gridSpan w:val="3"/>
          </w:tcPr>
          <w:p>
            <w:pPr>
              <w:spacing w:after="0"/>
              <w:rPr>
                <w:sz w:val="24"/>
                <w:szCs w:val="24"/>
                <w:color w:val="auto"/>
              </w:rPr>
            </w:pPr>
          </w:p>
        </w:tc>
        <w:tc>
          <w:tcPr>
            <w:tcW w:w="150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Item 14.</w:t>
            </w: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Principal Accounting Fees and Services</w:t>
            </w:r>
          </w:p>
        </w:tc>
        <w:tc>
          <w:tcPr>
            <w:tcW w:w="6320" w:type="dxa"/>
            <w:vAlign w:val="bottom"/>
            <w:gridSpan w:val="11"/>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800" w:type="dxa"/>
            <w:vAlign w:val="bottom"/>
            <w:gridSpan w:val="5"/>
          </w:tcPr>
          <w:p>
            <w:pPr>
              <w:spacing w:after="0"/>
              <w:rPr>
                <w:sz w:val="20"/>
                <w:szCs w:val="20"/>
                <w:color w:val="auto"/>
              </w:rPr>
            </w:pPr>
            <w:r>
              <w:rPr>
                <w:rFonts w:ascii="Arial" w:cs="Arial" w:eastAsia="Arial" w:hAnsi="Arial"/>
                <w:sz w:val="18"/>
                <w:szCs w:val="18"/>
                <w:b w:val="1"/>
                <w:bCs w:val="1"/>
                <w:color w:val="0000FF"/>
              </w:rPr>
              <w:t>PART IV.</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0" w:type="dxa"/>
            <w:vAlign w:val="bottom"/>
          </w:tcPr>
          <w:p>
            <w:pPr>
              <w:spacing w:after="0"/>
              <w:rPr>
                <w:sz w:val="24"/>
                <w:szCs w:val="24"/>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Item 15.</w:t>
            </w:r>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5980" w:type="dxa"/>
            <w:vAlign w:val="bottom"/>
            <w:gridSpan w:val="10"/>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4"/>
                <w:szCs w:val="24"/>
                <w:color w:val="auto"/>
              </w:rPr>
            </w:pPr>
          </w:p>
        </w:tc>
      </w:tr>
      <w:tr>
        <w:trPr>
          <w:trHeight w:val="358"/>
        </w:trPr>
        <w:tc>
          <w:tcPr>
            <w:tcW w:w="100" w:type="dxa"/>
            <w:vAlign w:val="bottom"/>
          </w:tcPr>
          <w:p>
            <w:pPr>
              <w:spacing w:after="0"/>
              <w:rPr>
                <w:sz w:val="24"/>
                <w:szCs w:val="24"/>
                <w:color w:val="auto"/>
              </w:rPr>
            </w:pPr>
          </w:p>
        </w:tc>
        <w:tc>
          <w:tcPr>
            <w:tcW w:w="80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580" w:type="dxa"/>
            <w:vAlign w:val="bottom"/>
            <w:gridSpan w:val="25"/>
          </w:tcPr>
          <w:p>
            <w:pPr>
              <w:ind w:left="80"/>
              <w:spacing w:after="0"/>
              <w:rPr>
                <w:sz w:val="20"/>
                <w:szCs w:val="20"/>
                <w:color w:val="auto"/>
              </w:rPr>
            </w:pPr>
            <w:r>
              <w:rPr>
                <w:rFonts w:ascii="Arial" w:cs="Arial" w:eastAsia="Arial" w:hAnsi="Arial"/>
                <w:sz w:val="18"/>
                <w:szCs w:val="18"/>
                <w:color w:val="0000FF"/>
              </w:rPr>
              <w:t>Form 10-K Summary</w:t>
            </w: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4"/>
                <w:szCs w:val="24"/>
                <w:color w:val="auto"/>
              </w:rPr>
            </w:pPr>
          </w:p>
        </w:tc>
      </w:tr>
      <w:tr>
        <w:trPr>
          <w:trHeight w:val="452"/>
        </w:trPr>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Signatures</w:t>
            </w:r>
          </w:p>
        </w:tc>
        <w:tc>
          <w:tcPr>
            <w:tcW w:w="7820" w:type="dxa"/>
            <w:vAlign w:val="bottom"/>
            <w:gridSpan w:val="1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4"/>
                <w:szCs w:val="24"/>
                <w:color w:val="auto"/>
              </w:rPr>
            </w:pPr>
          </w:p>
        </w:tc>
      </w:tr>
      <w:tr>
        <w:trPr>
          <w:trHeight w:val="685"/>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top w:val="single" w:sz="8" w:color="0000FF"/>
            </w:tcBorders>
            <w:gridSpan w:val="4"/>
          </w:tcPr>
          <w:p>
            <w:pPr>
              <w:spacing w:after="0"/>
              <w:rPr>
                <w:sz w:val="24"/>
                <w:szCs w:val="24"/>
                <w:color w:val="auto"/>
              </w:rPr>
            </w:pPr>
          </w:p>
        </w:tc>
        <w:tc>
          <w:tcPr>
            <w:tcW w:w="3860" w:type="dxa"/>
            <w:vAlign w:val="bottom"/>
            <w:gridSpan w:val="13"/>
          </w:tcPr>
          <w:p>
            <w:pPr>
              <w:jc w:val="right"/>
              <w:ind w:right="2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7"/>
        </w:trPr>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1"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wars and pandemics; global economic volatility; general economic and industry conditions, including the risk of recession; labor strikes, work stoppages or similar labor disputes, which could significantly disrupt our operations or those of our principal customers or suppliers; the duration and spread of the COVID-19 pandemic, including new variants of the virus and the pace and availability of vaccines and boosters, mitigating efforts deployed by government agencies and the public at large, and the overall impact from such outbreak on economic conditions, financial market volatility and our business, including but not limited to the operations of our manufacturing and other facilities, the availability of labor, our supply chain, our distribution processes and demand for our products and the corresponding impacts to our net sales and cash flow;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129"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these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Trademarks</w:t>
      </w:r>
    </w:p>
    <w:p>
      <w:pPr>
        <w:spacing w:after="0" w:line="211" w:lineRule="exact"/>
        <w:rPr>
          <w:sz w:val="20"/>
          <w:szCs w:val="20"/>
          <w:color w:val="auto"/>
        </w:rPr>
      </w:pPr>
    </w:p>
    <w:p>
      <w:pPr>
        <w:ind w:right="140" w:firstLine="562"/>
        <w:spacing w:after="0" w:line="232" w:lineRule="auto"/>
        <w:rPr>
          <w:sz w:val="20"/>
          <w:szCs w:val="20"/>
          <w:color w:val="auto"/>
        </w:rPr>
      </w:pPr>
      <w:r>
        <w:rPr>
          <w:rFonts w:ascii="Arial" w:cs="Arial" w:eastAsia="Arial" w:hAnsi="Arial"/>
          <w:sz w:val="18"/>
          <w:szCs w:val="18"/>
          <w:color w:val="auto"/>
        </w:rPr>
        <w:t xml:space="preserve">This Annual Report on Form 10-K includes trademarks, such as Allison Transmission, eGen Flex, eGen Power, FracTran, TerraTran, ReTran and Walker Die Casting,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 or </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55"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122" w:lineRule="exact"/>
        <w:rPr>
          <w:sz w:val="20"/>
          <w:szCs w:val="20"/>
          <w:color w:val="auto"/>
        </w:rPr>
      </w:pPr>
    </w:p>
    <w:p>
      <w:pPr>
        <w:ind w:right="400" w:firstLine="494"/>
        <w:spacing w:after="0" w:line="252" w:lineRule="auto"/>
        <w:rPr>
          <w:sz w:val="20"/>
          <w:szCs w:val="20"/>
          <w:color w:val="auto"/>
        </w:rPr>
      </w:pPr>
      <w:r>
        <w:rPr>
          <w:rFonts w:ascii="Arial" w:cs="Arial" w:eastAsia="Arial" w:hAnsi="Arial"/>
          <w:sz w:val="18"/>
          <w:szCs w:val="18"/>
          <w:color w:val="auto"/>
        </w:rPr>
        <w:t>We have approximately 3,500 employees. Although approximately 74% of revenues were generated in North America in 2022, we have a global presence by serving customers in Asia, Europe, South America and Africa. We serve customers through an independent network of approximately 1,600 independent distributor and dealer locations worldwide.</w:t>
      </w:r>
    </w:p>
    <w:p>
      <w:pPr>
        <w:spacing w:after="0" w:line="117"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Global markets continue to experience supply chain, labor, energy and raw material constraints as a result of global economic volatility, the war in Ukraine and the COVID-19 pandemic, that impacted our business in 2022 and continue to impact our business performance. As a result, during 2022 we experienced raw material and component part price inflation, increased freight and logistics costs, increased labor costs, production constraints due to labor shortages and increased foreign exchange volatility. In addition, our net sales for 2022 were negatively impacted as a result of our customers’ inability to secure components from the broader commercial vehicle supply base which resulted in reduced commercial vehicle build schedules and the inability of the commercial vehicle market to produce sufficient quantities to meet demand. We expect that commercial vehicle build schedules will continue to be negatively impacted by the availability of components in 2023.</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w:t>
      </w:r>
    </w:p>
    <w:p>
      <w:pPr>
        <w:spacing w:after="0" w:line="155"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We are the world’s largest manufacturer of fully automatic transmissions for medium- and heavy-duty commercial vehicles and medium- and heavy-tactical U.S. defense vehicles and a leader in electrified propulsion systems. Allison products are used in a wide variety of applications, including on-highway trucks (distribution, refuse, construction, fire and emergency), buses (primarily school and transit), motorhomes, off-highway vehicles and equipment (primarily energy, mining and construction applications) and defense vehicles (tactical wheeled and tracked). We believe the Allison brand is one of the most recognized in our industry as a result of the performance, reliability and fuel efficiency of our propulsion solutions and is associated with high quality, durability, vocational value, technological leadership and superior customer service.</w:t>
      </w:r>
    </w:p>
    <w:p>
      <w:pPr>
        <w:spacing w:after="0" w:line="129"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We introduced the world’s first fully automatic transmission for commercial vehicles over 75 years ago. Since that time, we have driven the trend in North America and other parts of the world towards increasing automaticity by targeting a diverse range of commercial vehicle vocations. Allison products are optimized for the unique performance requirements of end users, which typically vary by vocation. Our products are highly engineered, requiring advanced manufacturing processes, and employ complex software algorithms for our propulsion system controls to maximize end user performance. We have more than 200 different models that are compatible with more than 500 combinations of engine brands, models and ratings (including diesel, gasoline, natural gas and other alternative fuels). Additionally, we have created thousands of unique Allison-developed calibrations available to be used with our control modules.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Industry</w:t>
      </w:r>
    </w:p>
    <w:p>
      <w:pPr>
        <w:spacing w:after="0" w:line="155"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Commercial vehicles typically employ one of three transmission types: manual, automated manual or fully automatic. Manual and automated manual transmissions ("AMT") are the most prevalent transmission type used in Class 8 tractors in North America. Manual transmissions are the most prevalent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 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30" w:lineRule="exact"/>
        <w:rPr>
          <w:sz w:val="20"/>
          <w:szCs w:val="20"/>
          <w:color w:val="auto"/>
        </w:rPr>
      </w:pPr>
    </w:p>
    <w:p>
      <w:pPr>
        <w:ind w:right="60" w:firstLine="494"/>
        <w:spacing w:after="0" w:line="258" w:lineRule="auto"/>
        <w:rPr>
          <w:sz w:val="20"/>
          <w:szCs w:val="20"/>
          <w:color w:val="auto"/>
        </w:rPr>
      </w:pPr>
      <w:r>
        <w:rPr>
          <w:rFonts w:ascii="Arial" w:cs="Arial" w:eastAsia="Arial" w:hAnsi="Arial"/>
          <w:sz w:val="17"/>
          <w:szCs w:val="17"/>
          <w:color w:val="auto"/>
        </w:rPr>
        <w:t>Emerging technologies in commercial-duty propulsion solutions include electric hybrid and fully electric propulsion solutions in certain end markets and are in part driven by efforts to reduce fuel consumption, noise and greenhouse gas emissions. Fully electric powertrains differ from electric hybrid powertrains because they only propel the vehicle with an electric motor; while electric hybrids generally utilize both a conventional internal combustion power source and powertrain as well as the means to propel the vehicle electrically. While both emerging technologies are gaining use in automotive markets and electric hybrids and fully electric propulsion solutions have gained use in the bus market, fully electric propulsion solutions remain in a developmental phase in the medium- and heavy-duty commercial vehicle market.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Served Markets</w:t>
      </w:r>
    </w:p>
    <w:p>
      <w:pPr>
        <w:spacing w:after="0" w:line="155"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We sell our propulsion solutions globally for use in medium- and heavy-duty on-highway commercial vehicles, off-highway vehicles and equipment and defense vehicles. In addition to the sale of propulsion solutions, we also sell branded replacement parts, support equipment, aluminum die cast components and other products necessary to service the installed base of vehicles utilizing our solutions. The following table provides a summary of our business by end market, for the fiscal year ended December 31, 2022.</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760" w:type="dxa"/>
            <w:vAlign w:val="bottom"/>
            <w:tcBorders>
              <w:top w:val="single" w:sz="8" w:color="auto"/>
              <w:left w:val="single" w:sz="8" w:color="auto"/>
              <w:right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NORTH AMERICA</w:t>
            </w:r>
          </w:p>
        </w:tc>
        <w:tc>
          <w:tcPr>
            <w:tcW w:w="500" w:type="dxa"/>
            <w:vAlign w:val="bottom"/>
            <w:tcBorders>
              <w:top w:val="single" w:sz="8" w:color="auto"/>
              <w:bottom w:val="single" w:sz="8" w:color="auto"/>
              <w:right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OUTSIDE NORTH AMERICA</w:t>
            </w:r>
          </w:p>
        </w:tc>
        <w:tc>
          <w:tcPr>
            <w:tcW w:w="560" w:type="dxa"/>
            <w:vAlign w:val="bottom"/>
            <w:tcBorders>
              <w:top w:val="single" w:sz="8" w:color="auto"/>
              <w:bottom w:val="single" w:sz="8" w:color="auto"/>
              <w:right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8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auto"/>
              <w:right w:val="single" w:sz="8" w:color="auto"/>
            </w:tcBorders>
          </w:tcPr>
          <w:p>
            <w:pPr>
              <w:spacing w:after="0"/>
              <w:rPr>
                <w:sz w:val="17"/>
                <w:szCs w:val="17"/>
                <w:color w:val="auto"/>
              </w:rPr>
            </w:pPr>
          </w:p>
        </w:tc>
      </w:tr>
      <w:tr>
        <w:trPr>
          <w:trHeight w:val="160"/>
        </w:trPr>
        <w:tc>
          <w:tcPr>
            <w:tcW w:w="1760" w:type="dxa"/>
            <w:vAlign w:val="bottom"/>
            <w:tcBorders>
              <w:left w:val="single" w:sz="8" w:color="auto"/>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220" w:type="dxa"/>
            <w:vAlign w:val="bottom"/>
          </w:tcPr>
          <w:p>
            <w:pPr>
              <w:jc w:val="center"/>
              <w:ind w:left="288"/>
              <w:spacing w:after="0" w:line="159" w:lineRule="exact"/>
              <w:rPr>
                <w:sz w:val="20"/>
                <w:szCs w:val="20"/>
                <w:color w:val="auto"/>
              </w:rPr>
            </w:pPr>
            <w:r>
              <w:rPr>
                <w:rFonts w:ascii="Arial" w:cs="Arial" w:eastAsia="Arial" w:hAnsi="Arial"/>
                <w:sz w:val="14"/>
                <w:szCs w:val="14"/>
                <w:b w:val="1"/>
                <w:bCs w:val="1"/>
                <w:color w:val="auto"/>
              </w:rPr>
              <w:t>SERVICE</w:t>
            </w:r>
          </w:p>
        </w:tc>
        <w:tc>
          <w:tcPr>
            <w:tcW w:w="360" w:type="dxa"/>
            <w:vAlign w:val="bottom"/>
            <w:tcBorders>
              <w:right w:val="single" w:sz="8" w:color="auto"/>
            </w:tcBorders>
          </w:tcPr>
          <w:p>
            <w:pPr>
              <w:spacing w:after="0"/>
              <w:rPr>
                <w:sz w:val="13"/>
                <w:szCs w:val="13"/>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220" w:type="dxa"/>
            <w:vAlign w:val="bottom"/>
          </w:tcPr>
          <w:p>
            <w:pPr>
              <w:jc w:val="center"/>
              <w:ind w:left="248"/>
              <w:spacing w:after="0"/>
              <w:rPr>
                <w:sz w:val="20"/>
                <w:szCs w:val="20"/>
                <w:color w:val="auto"/>
              </w:rPr>
            </w:pPr>
            <w:r>
              <w:rPr>
                <w:rFonts w:ascii="Arial" w:cs="Arial" w:eastAsia="Arial" w:hAnsi="Arial"/>
                <w:sz w:val="14"/>
                <w:szCs w:val="14"/>
                <w:b w:val="1"/>
                <w:bCs w:val="1"/>
                <w:color w:val="auto"/>
                <w:w w:val="97"/>
              </w:rPr>
              <w:t>PARTS,</w:t>
            </w:r>
          </w:p>
        </w:tc>
        <w:tc>
          <w:tcPr>
            <w:tcW w:w="36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220" w:type="dxa"/>
            <w:vAlign w:val="bottom"/>
          </w:tcPr>
          <w:p>
            <w:pPr>
              <w:jc w:val="center"/>
              <w:ind w:left="288"/>
              <w:spacing w:after="0"/>
              <w:rPr>
                <w:sz w:val="20"/>
                <w:szCs w:val="20"/>
                <w:color w:val="auto"/>
              </w:rPr>
            </w:pPr>
            <w:r>
              <w:rPr>
                <w:rFonts w:ascii="Arial" w:cs="Arial" w:eastAsia="Arial" w:hAnsi="Arial"/>
                <w:sz w:val="14"/>
                <w:szCs w:val="14"/>
                <w:b w:val="1"/>
                <w:bCs w:val="1"/>
                <w:color w:val="auto"/>
              </w:rPr>
              <w:t>SUPPORT</w:t>
            </w:r>
          </w:p>
        </w:tc>
        <w:tc>
          <w:tcPr>
            <w:tcW w:w="36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940" w:type="dxa"/>
            <w:vAlign w:val="bottom"/>
          </w:tcPr>
          <w:p>
            <w:pPr>
              <w:jc w:val="center"/>
              <w:ind w:left="488"/>
              <w:spacing w:after="0"/>
              <w:rPr>
                <w:sz w:val="20"/>
                <w:szCs w:val="20"/>
                <w:color w:val="auto"/>
              </w:rPr>
            </w:pPr>
            <w:r>
              <w:rPr>
                <w:rFonts w:ascii="Arial" w:cs="Arial" w:eastAsia="Arial" w:hAnsi="Arial"/>
                <w:sz w:val="14"/>
                <w:szCs w:val="14"/>
                <w:b w:val="1"/>
                <w:bCs w:val="1"/>
                <w:color w:val="auto"/>
              </w:rPr>
              <w:t>ON-</w:t>
            </w:r>
          </w:p>
        </w:tc>
        <w:tc>
          <w:tcPr>
            <w:tcW w:w="680" w:type="dxa"/>
            <w:vAlign w:val="bottom"/>
            <w:tcBorders>
              <w:right w:val="single" w:sz="8" w:color="auto"/>
            </w:tcBorders>
          </w:tcPr>
          <w:p>
            <w:pPr>
              <w:spacing w:after="0"/>
              <w:rPr>
                <w:sz w:val="14"/>
                <w:szCs w:val="14"/>
                <w:color w:val="auto"/>
              </w:rPr>
            </w:pPr>
          </w:p>
        </w:tc>
        <w:tc>
          <w:tcPr>
            <w:tcW w:w="1140" w:type="dxa"/>
            <w:vAlign w:val="bottom"/>
          </w:tcPr>
          <w:p>
            <w:pPr>
              <w:jc w:val="center"/>
              <w:ind w:left="288"/>
              <w:spacing w:after="0"/>
              <w:rPr>
                <w:sz w:val="20"/>
                <w:szCs w:val="20"/>
                <w:color w:val="auto"/>
              </w:rPr>
            </w:pPr>
            <w:r>
              <w:rPr>
                <w:rFonts w:ascii="Arial" w:cs="Arial" w:eastAsia="Arial" w:hAnsi="Arial"/>
                <w:sz w:val="14"/>
                <w:szCs w:val="14"/>
                <w:b w:val="1"/>
                <w:bCs w:val="1"/>
                <w:color w:val="auto"/>
              </w:rPr>
              <w:t>OFF-</w:t>
            </w:r>
          </w:p>
        </w:tc>
        <w:tc>
          <w:tcPr>
            <w:tcW w:w="500" w:type="dxa"/>
            <w:vAlign w:val="bottom"/>
            <w:tcBorders>
              <w:right w:val="single" w:sz="8" w:color="auto"/>
            </w:tcBorders>
          </w:tcPr>
          <w:p>
            <w:pPr>
              <w:spacing w:after="0"/>
              <w:rPr>
                <w:sz w:val="14"/>
                <w:szCs w:val="14"/>
                <w:color w:val="auto"/>
              </w:rPr>
            </w:pPr>
          </w:p>
        </w:tc>
        <w:tc>
          <w:tcPr>
            <w:tcW w:w="1080" w:type="dxa"/>
            <w:vAlign w:val="bottom"/>
          </w:tcPr>
          <w:p>
            <w:pPr>
              <w:jc w:val="center"/>
              <w:ind w:left="308"/>
              <w:spacing w:after="0"/>
              <w:rPr>
                <w:sz w:val="20"/>
                <w:szCs w:val="20"/>
                <w:color w:val="auto"/>
              </w:rPr>
            </w:pPr>
            <w:r>
              <w:rPr>
                <w:rFonts w:ascii="Arial" w:cs="Arial" w:eastAsia="Arial" w:hAnsi="Arial"/>
                <w:sz w:val="14"/>
                <w:szCs w:val="14"/>
                <w:b w:val="1"/>
                <w:bCs w:val="1"/>
                <w:color w:val="auto"/>
              </w:rPr>
              <w:t>ON-</w:t>
            </w:r>
          </w:p>
        </w:tc>
        <w:tc>
          <w:tcPr>
            <w:tcW w:w="500" w:type="dxa"/>
            <w:vAlign w:val="bottom"/>
            <w:tcBorders>
              <w:right w:val="single" w:sz="8" w:color="auto"/>
            </w:tcBorders>
          </w:tcPr>
          <w:p>
            <w:pPr>
              <w:spacing w:after="0"/>
              <w:rPr>
                <w:sz w:val="14"/>
                <w:szCs w:val="14"/>
                <w:color w:val="auto"/>
              </w:rPr>
            </w:pPr>
          </w:p>
        </w:tc>
        <w:tc>
          <w:tcPr>
            <w:tcW w:w="920" w:type="dxa"/>
            <w:vAlign w:val="bottom"/>
          </w:tcPr>
          <w:p>
            <w:pPr>
              <w:jc w:val="center"/>
              <w:ind w:left="348"/>
              <w:spacing w:after="0"/>
              <w:rPr>
                <w:sz w:val="20"/>
                <w:szCs w:val="20"/>
                <w:color w:val="auto"/>
              </w:rPr>
            </w:pPr>
            <w:r>
              <w:rPr>
                <w:rFonts w:ascii="Arial" w:cs="Arial" w:eastAsia="Arial" w:hAnsi="Arial"/>
                <w:sz w:val="14"/>
                <w:szCs w:val="14"/>
                <w:b w:val="1"/>
                <w:bCs w:val="1"/>
                <w:color w:val="auto"/>
              </w:rPr>
              <w:t>OFF-</w:t>
            </w:r>
          </w:p>
        </w:tc>
        <w:tc>
          <w:tcPr>
            <w:tcW w:w="56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220" w:type="dxa"/>
            <w:vAlign w:val="bottom"/>
          </w:tcPr>
          <w:p>
            <w:pPr>
              <w:jc w:val="center"/>
              <w:ind w:left="288"/>
              <w:spacing w:after="0"/>
              <w:rPr>
                <w:sz w:val="20"/>
                <w:szCs w:val="20"/>
                <w:color w:val="auto"/>
              </w:rPr>
            </w:pPr>
            <w:r>
              <w:rPr>
                <w:rFonts w:ascii="Arial" w:cs="Arial" w:eastAsia="Arial" w:hAnsi="Arial"/>
                <w:sz w:val="14"/>
                <w:szCs w:val="14"/>
                <w:b w:val="1"/>
                <w:bCs w:val="1"/>
                <w:color w:val="auto"/>
              </w:rPr>
              <w:t>EQUIPMENT</w:t>
            </w:r>
          </w:p>
        </w:tc>
        <w:tc>
          <w:tcPr>
            <w:tcW w:w="360" w:type="dxa"/>
            <w:vAlign w:val="bottom"/>
            <w:tcBorders>
              <w:right w:val="single" w:sz="8" w:color="auto"/>
            </w:tcBorders>
          </w:tcPr>
          <w:p>
            <w:pPr>
              <w:spacing w:after="0"/>
              <w:rPr>
                <w:sz w:val="14"/>
                <w:szCs w:val="14"/>
                <w:color w:val="auto"/>
              </w:rPr>
            </w:pPr>
          </w:p>
        </w:tc>
      </w:tr>
      <w:tr>
        <w:trPr>
          <w:trHeight w:val="185"/>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620" w:type="dxa"/>
            <w:vAlign w:val="bottom"/>
            <w:tcBorders>
              <w:bottom w:val="single" w:sz="8" w:color="auto"/>
              <w:right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w w:val="97"/>
              </w:rPr>
              <w:t>HIGHWAY</w:t>
            </w:r>
          </w:p>
        </w:tc>
        <w:tc>
          <w:tcPr>
            <w:tcW w:w="11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7"/>
              </w:rPr>
              <w:t>HIGHWAY</w:t>
            </w:r>
          </w:p>
        </w:tc>
        <w:tc>
          <w:tcPr>
            <w:tcW w:w="50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HIGHWAY</w:t>
            </w:r>
          </w:p>
        </w:tc>
        <w:tc>
          <w:tcPr>
            <w:tcW w:w="50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rPr>
              <w:t>HIGHWAY</w:t>
            </w: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DEFENSE</w:t>
            </w:r>
          </w:p>
        </w:tc>
        <w:tc>
          <w:tcPr>
            <w:tcW w:w="4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&amp; OTHER</w:t>
            </w:r>
          </w:p>
        </w:tc>
        <w:tc>
          <w:tcPr>
            <w:tcW w:w="360" w:type="dxa"/>
            <w:vAlign w:val="bottom"/>
            <w:tcBorders>
              <w:bottom w:val="single" w:sz="8" w:color="auto"/>
              <w:right w:val="single" w:sz="8" w:color="auto"/>
            </w:tcBorders>
          </w:tcPr>
          <w:p>
            <w:pPr>
              <w:spacing w:after="0"/>
              <w:rPr>
                <w:sz w:val="16"/>
                <w:szCs w:val="16"/>
                <w:color w:val="auto"/>
              </w:rPr>
            </w:pPr>
          </w:p>
        </w:tc>
      </w:tr>
      <w:tr>
        <w:trPr>
          <w:trHeight w:val="160"/>
        </w:trPr>
        <w:tc>
          <w:tcPr>
            <w:tcW w:w="1760" w:type="dxa"/>
            <w:vAlign w:val="bottom"/>
            <w:tcBorders>
              <w:left w:val="single" w:sz="8" w:color="auto"/>
              <w:right w:val="single" w:sz="8" w:color="auto"/>
            </w:tcBorders>
            <w:shd w:val="clear" w:color="auto" w:fill="CFF0FC"/>
          </w:tcPr>
          <w:p>
            <w:pPr>
              <w:ind w:left="40"/>
              <w:spacing w:after="0" w:line="159" w:lineRule="exact"/>
              <w:rPr>
                <w:sz w:val="20"/>
                <w:szCs w:val="20"/>
                <w:color w:val="auto"/>
              </w:rPr>
            </w:pPr>
            <w:r>
              <w:rPr>
                <w:rFonts w:ascii="Arial" w:cs="Arial" w:eastAsia="Arial" w:hAnsi="Arial"/>
                <w:sz w:val="14"/>
                <w:szCs w:val="14"/>
                <w:b w:val="1"/>
                <w:bCs w:val="1"/>
                <w:color w:val="auto"/>
              </w:rPr>
              <w:t>2022 NET SALES</w:t>
            </w:r>
          </w:p>
        </w:tc>
        <w:tc>
          <w:tcPr>
            <w:tcW w:w="940" w:type="dxa"/>
            <w:vAlign w:val="bottom"/>
            <w:shd w:val="clear" w:color="auto" w:fill="CFF0FC"/>
          </w:tcPr>
          <w:p>
            <w:pPr>
              <w:spacing w:after="0"/>
              <w:rPr>
                <w:sz w:val="13"/>
                <w:szCs w:val="13"/>
                <w:color w:val="auto"/>
              </w:rPr>
            </w:pPr>
          </w:p>
        </w:tc>
        <w:tc>
          <w:tcPr>
            <w:tcW w:w="680" w:type="dxa"/>
            <w:vAlign w:val="bottom"/>
            <w:tcBorders>
              <w:right w:val="single" w:sz="8" w:color="auto"/>
            </w:tcBorders>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500" w:type="dxa"/>
            <w:vAlign w:val="bottom"/>
            <w:tcBorders>
              <w:right w:val="single" w:sz="8" w:color="auto"/>
            </w:tcBorders>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00" w:type="dxa"/>
            <w:vAlign w:val="bottom"/>
            <w:tcBorders>
              <w:right w:val="single" w:sz="8" w:color="auto"/>
            </w:tcBorders>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60" w:type="dxa"/>
            <w:vAlign w:val="bottom"/>
            <w:tcBorders>
              <w:right w:val="single" w:sz="8" w:color="auto"/>
            </w:tcBorders>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80" w:type="dxa"/>
            <w:vAlign w:val="bottom"/>
            <w:tcBorders>
              <w:right w:val="single" w:sz="8" w:color="auto"/>
            </w:tcBorders>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60" w:type="dxa"/>
            <w:vAlign w:val="bottom"/>
            <w:tcBorders>
              <w:right w:val="single" w:sz="8" w:color="auto"/>
            </w:tcBorders>
            <w:shd w:val="clear" w:color="auto" w:fill="CFF0FC"/>
          </w:tcPr>
          <w:p>
            <w:pPr>
              <w:spacing w:after="0"/>
              <w:rPr>
                <w:sz w:val="13"/>
                <w:szCs w:val="13"/>
                <w:color w:val="auto"/>
              </w:rPr>
            </w:pPr>
          </w:p>
        </w:tc>
      </w:tr>
      <w:tr>
        <w:trPr>
          <w:trHeight w:val="185"/>
        </w:trPr>
        <w:tc>
          <w:tcPr>
            <w:tcW w:w="17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1,359</w:t>
            </w:r>
          </w:p>
        </w:tc>
        <w:tc>
          <w:tcPr>
            <w:tcW w:w="11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86</w:t>
            </w:r>
          </w:p>
        </w:tc>
        <w:tc>
          <w:tcPr>
            <w:tcW w:w="10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463</w:t>
            </w:r>
          </w:p>
        </w:tc>
        <w:tc>
          <w:tcPr>
            <w:tcW w:w="9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127</w:t>
            </w:r>
          </w:p>
        </w:tc>
        <w:tc>
          <w:tcPr>
            <w:tcW w:w="11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right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146</w:t>
            </w:r>
          </w:p>
        </w:tc>
        <w:tc>
          <w:tcPr>
            <w:tcW w:w="1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right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94"/>
              </w:rPr>
              <w:t>588</w:t>
            </w:r>
          </w:p>
        </w:tc>
      </w:tr>
      <w:tr>
        <w:trPr>
          <w:trHeight w:val="182"/>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OF TOTAL</w:t>
            </w:r>
          </w:p>
        </w:tc>
        <w:tc>
          <w:tcPr>
            <w:tcW w:w="9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49%</w:t>
            </w:r>
          </w:p>
        </w:tc>
        <w:tc>
          <w:tcPr>
            <w:tcW w:w="68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3%</w:t>
            </w:r>
          </w:p>
        </w:tc>
        <w:tc>
          <w:tcPr>
            <w:tcW w:w="50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w w:val="99"/>
              </w:rPr>
              <w:t>17%</w:t>
            </w:r>
          </w:p>
        </w:tc>
        <w:tc>
          <w:tcPr>
            <w:tcW w:w="5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w w:val="98"/>
              </w:rPr>
              <w:t>5%</w:t>
            </w:r>
          </w:p>
        </w:tc>
        <w:tc>
          <w:tcPr>
            <w:tcW w:w="56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5%</w:t>
            </w:r>
          </w:p>
        </w:tc>
        <w:tc>
          <w:tcPr>
            <w:tcW w:w="48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21%</w:t>
            </w:r>
          </w:p>
        </w:tc>
        <w:tc>
          <w:tcPr>
            <w:tcW w:w="360" w:type="dxa"/>
            <w:vAlign w:val="bottom"/>
            <w:tcBorders>
              <w:bottom w:val="single" w:sz="8" w:color="auto"/>
              <w:right w:val="single" w:sz="8" w:color="auto"/>
            </w:tcBorders>
          </w:tcPr>
          <w:p>
            <w:pPr>
              <w:spacing w:after="0"/>
              <w:rPr>
                <w:sz w:val="15"/>
                <w:szCs w:val="15"/>
                <w:color w:val="auto"/>
              </w:rPr>
            </w:pPr>
          </w:p>
        </w:tc>
      </w:tr>
      <w:tr>
        <w:trPr>
          <w:trHeight w:val="160"/>
        </w:trPr>
        <w:tc>
          <w:tcPr>
            <w:tcW w:w="1760" w:type="dxa"/>
            <w:vAlign w:val="bottom"/>
            <w:tcBorders>
              <w:left w:val="single" w:sz="8" w:color="auto"/>
              <w:right w:val="single" w:sz="8" w:color="auto"/>
            </w:tcBorders>
            <w:shd w:val="clear" w:color="auto" w:fill="CFF0FC"/>
          </w:tcPr>
          <w:p>
            <w:pPr>
              <w:spacing w:after="0"/>
              <w:rPr>
                <w:sz w:val="13"/>
                <w:szCs w:val="13"/>
                <w:color w:val="auto"/>
              </w:rPr>
            </w:pPr>
          </w:p>
        </w:tc>
        <w:tc>
          <w:tcPr>
            <w:tcW w:w="1620" w:type="dxa"/>
            <w:vAlign w:val="bottom"/>
            <w:tcBorders>
              <w:right w:val="single" w:sz="8" w:color="auto"/>
            </w:tcBorders>
            <w:gridSpan w:val="2"/>
            <w:shd w:val="clear" w:color="auto" w:fill="CFF0FC"/>
          </w:tcPr>
          <w:p>
            <w:pPr>
              <w:ind w:left="120"/>
              <w:spacing w:after="0" w:line="159" w:lineRule="exact"/>
              <w:rPr>
                <w:sz w:val="20"/>
                <w:szCs w:val="20"/>
                <w:color w:val="auto"/>
              </w:rPr>
            </w:pPr>
            <w:r>
              <w:rPr>
                <w:rFonts w:ascii="Arial" w:cs="Arial" w:eastAsia="Arial" w:hAnsi="Arial"/>
                <w:sz w:val="14"/>
                <w:szCs w:val="14"/>
                <w:color w:val="auto"/>
              </w:rPr>
              <w:t>• Construction</w:t>
            </w:r>
          </w:p>
        </w:tc>
        <w:tc>
          <w:tcPr>
            <w:tcW w:w="1140" w:type="dxa"/>
            <w:vAlign w:val="bottom"/>
            <w:shd w:val="clear" w:color="auto" w:fill="CFF0FC"/>
          </w:tcPr>
          <w:p>
            <w:pPr>
              <w:ind w:left="120"/>
              <w:spacing w:after="0" w:line="159" w:lineRule="exact"/>
              <w:rPr>
                <w:sz w:val="20"/>
                <w:szCs w:val="20"/>
                <w:color w:val="auto"/>
              </w:rPr>
            </w:pPr>
            <w:r>
              <w:rPr>
                <w:rFonts w:ascii="Arial" w:cs="Arial" w:eastAsia="Arial" w:hAnsi="Arial"/>
                <w:sz w:val="14"/>
                <w:szCs w:val="14"/>
                <w:color w:val="auto"/>
              </w:rPr>
              <w:t>• Construction</w:t>
            </w:r>
          </w:p>
        </w:tc>
        <w:tc>
          <w:tcPr>
            <w:tcW w:w="500" w:type="dxa"/>
            <w:vAlign w:val="bottom"/>
            <w:tcBorders>
              <w:right w:val="single" w:sz="8" w:color="auto"/>
            </w:tcBorders>
            <w:shd w:val="clear" w:color="auto" w:fill="CFF0FC"/>
          </w:tcPr>
          <w:p>
            <w:pPr>
              <w:spacing w:after="0"/>
              <w:rPr>
                <w:sz w:val="13"/>
                <w:szCs w:val="13"/>
                <w:color w:val="auto"/>
              </w:rPr>
            </w:pPr>
          </w:p>
        </w:tc>
        <w:tc>
          <w:tcPr>
            <w:tcW w:w="1080" w:type="dxa"/>
            <w:vAlign w:val="bottom"/>
            <w:shd w:val="clear" w:color="auto" w:fill="CFF0FC"/>
          </w:tcPr>
          <w:p>
            <w:pPr>
              <w:ind w:left="120"/>
              <w:spacing w:after="0" w:line="159" w:lineRule="exact"/>
              <w:rPr>
                <w:sz w:val="20"/>
                <w:szCs w:val="20"/>
                <w:color w:val="auto"/>
              </w:rPr>
            </w:pPr>
            <w:r>
              <w:rPr>
                <w:rFonts w:ascii="Arial" w:cs="Arial" w:eastAsia="Arial" w:hAnsi="Arial"/>
                <w:sz w:val="14"/>
                <w:szCs w:val="14"/>
                <w:color w:val="auto"/>
              </w:rPr>
              <w:t>• Construction</w:t>
            </w:r>
          </w:p>
        </w:tc>
        <w:tc>
          <w:tcPr>
            <w:tcW w:w="500" w:type="dxa"/>
            <w:vAlign w:val="bottom"/>
            <w:tcBorders>
              <w:right w:val="single" w:sz="8" w:color="auto"/>
            </w:tcBorders>
            <w:shd w:val="clear" w:color="auto" w:fill="CFF0FC"/>
          </w:tcPr>
          <w:p>
            <w:pPr>
              <w:spacing w:after="0"/>
              <w:rPr>
                <w:sz w:val="13"/>
                <w:szCs w:val="13"/>
                <w:color w:val="auto"/>
              </w:rPr>
            </w:pPr>
          </w:p>
        </w:tc>
        <w:tc>
          <w:tcPr>
            <w:tcW w:w="1480" w:type="dxa"/>
            <w:vAlign w:val="bottom"/>
            <w:tcBorders>
              <w:right w:val="single" w:sz="8" w:color="auto"/>
            </w:tcBorders>
            <w:gridSpan w:val="2"/>
            <w:shd w:val="clear" w:color="auto" w:fill="CFF0FC"/>
          </w:tcPr>
          <w:p>
            <w:pPr>
              <w:ind w:left="100"/>
              <w:spacing w:after="0" w:line="159" w:lineRule="exact"/>
              <w:rPr>
                <w:sz w:val="20"/>
                <w:szCs w:val="20"/>
                <w:color w:val="auto"/>
              </w:rPr>
            </w:pPr>
            <w:r>
              <w:rPr>
                <w:rFonts w:ascii="Arial" w:cs="Arial" w:eastAsia="Arial" w:hAnsi="Arial"/>
                <w:sz w:val="14"/>
                <w:szCs w:val="14"/>
                <w:color w:val="auto"/>
              </w:rPr>
              <w:t>• Construction</w:t>
            </w:r>
          </w:p>
        </w:tc>
        <w:tc>
          <w:tcPr>
            <w:tcW w:w="1580" w:type="dxa"/>
            <w:vAlign w:val="bottom"/>
            <w:tcBorders>
              <w:right w:val="single" w:sz="8" w:color="auto"/>
            </w:tcBorders>
            <w:gridSpan w:val="2"/>
            <w:shd w:val="clear" w:color="auto" w:fill="CFF0FC"/>
          </w:tcPr>
          <w:p>
            <w:pPr>
              <w:ind w:left="120"/>
              <w:spacing w:after="0" w:line="159" w:lineRule="exact"/>
              <w:rPr>
                <w:sz w:val="20"/>
                <w:szCs w:val="20"/>
                <w:color w:val="auto"/>
              </w:rPr>
            </w:pPr>
            <w:r>
              <w:rPr>
                <w:rFonts w:ascii="Arial" w:cs="Arial" w:eastAsia="Arial" w:hAnsi="Arial"/>
                <w:sz w:val="14"/>
                <w:szCs w:val="14"/>
                <w:color w:val="auto"/>
              </w:rPr>
              <w:t>• North America</w:t>
            </w:r>
          </w:p>
        </w:tc>
        <w:tc>
          <w:tcPr>
            <w:tcW w:w="1580" w:type="dxa"/>
            <w:vAlign w:val="bottom"/>
            <w:tcBorders>
              <w:right w:val="single" w:sz="8" w:color="auto"/>
            </w:tcBorders>
            <w:gridSpan w:val="2"/>
            <w:shd w:val="clear" w:color="auto" w:fill="CFF0FC"/>
          </w:tcPr>
          <w:p>
            <w:pPr>
              <w:ind w:left="120"/>
              <w:spacing w:after="0" w:line="159" w:lineRule="exact"/>
              <w:rPr>
                <w:sz w:val="20"/>
                <w:szCs w:val="20"/>
                <w:color w:val="auto"/>
              </w:rPr>
            </w:pPr>
            <w:r>
              <w:rPr>
                <w:rFonts w:ascii="Arial" w:cs="Arial" w:eastAsia="Arial" w:hAnsi="Arial"/>
                <w:sz w:val="14"/>
                <w:szCs w:val="14"/>
                <w:color w:val="auto"/>
              </w:rPr>
              <w:t>• Aluminum die cast</w:t>
            </w: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162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Day Cab Tractors</w:t>
            </w:r>
          </w:p>
        </w:tc>
        <w:tc>
          <w:tcPr>
            <w:tcW w:w="1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Energy</w:t>
            </w:r>
          </w:p>
        </w:tc>
        <w:tc>
          <w:tcPr>
            <w:tcW w:w="50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Distribution</w:t>
            </w:r>
          </w:p>
        </w:tc>
        <w:tc>
          <w:tcPr>
            <w:tcW w:w="50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Energy</w:t>
            </w:r>
          </w:p>
        </w:tc>
        <w:tc>
          <w:tcPr>
            <w:tcW w:w="560" w:type="dxa"/>
            <w:vAlign w:val="bottom"/>
            <w:tcBorders>
              <w:right w:val="single" w:sz="8" w:color="auto"/>
            </w:tcBorders>
            <w:shd w:val="clear" w:color="auto" w:fill="CFF0FC"/>
          </w:tcPr>
          <w:p>
            <w:pPr>
              <w:spacing w:after="0"/>
              <w:rPr>
                <w:sz w:val="14"/>
                <w:szCs w:val="14"/>
                <w:color w:val="auto"/>
              </w:rPr>
            </w:pPr>
          </w:p>
        </w:tc>
        <w:tc>
          <w:tcPr>
            <w:tcW w:w="11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medium- and</w:t>
            </w:r>
          </w:p>
        </w:tc>
        <w:tc>
          <w:tcPr>
            <w:tcW w:w="480" w:type="dxa"/>
            <w:vAlign w:val="bottom"/>
            <w:tcBorders>
              <w:right w:val="single" w:sz="8" w:color="auto"/>
            </w:tcBorders>
            <w:shd w:val="clear" w:color="auto" w:fill="CFF0FC"/>
          </w:tcPr>
          <w:p>
            <w:pPr>
              <w:spacing w:after="0"/>
              <w:rPr>
                <w:sz w:val="14"/>
                <w:szCs w:val="14"/>
                <w:color w:val="auto"/>
              </w:rPr>
            </w:pPr>
          </w:p>
        </w:tc>
        <w:tc>
          <w:tcPr>
            <w:tcW w:w="1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components</w:t>
            </w:r>
          </w:p>
        </w:tc>
        <w:tc>
          <w:tcPr>
            <w:tcW w:w="360" w:type="dxa"/>
            <w:vAlign w:val="bottom"/>
            <w:tcBorders>
              <w:right w:val="single" w:sz="8" w:color="auto"/>
            </w:tcBorders>
            <w:shd w:val="clear" w:color="auto" w:fill="CFF0FC"/>
          </w:tcPr>
          <w:p>
            <w:pPr>
              <w:spacing w:after="0"/>
              <w:rPr>
                <w:sz w:val="14"/>
                <w:szCs w:val="14"/>
                <w:color w:val="auto"/>
              </w:rPr>
            </w:pP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Distribution</w:t>
            </w:r>
          </w:p>
        </w:tc>
        <w:tc>
          <w:tcPr>
            <w:tcW w:w="68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Mining</w:t>
            </w:r>
          </w:p>
        </w:tc>
        <w:tc>
          <w:tcPr>
            <w:tcW w:w="50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Emergency</w:t>
            </w:r>
          </w:p>
        </w:tc>
        <w:tc>
          <w:tcPr>
            <w:tcW w:w="50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Mining</w:t>
            </w:r>
          </w:p>
        </w:tc>
        <w:tc>
          <w:tcPr>
            <w:tcW w:w="560" w:type="dxa"/>
            <w:vAlign w:val="bottom"/>
            <w:tcBorders>
              <w:right w:val="single" w:sz="8" w:color="auto"/>
            </w:tcBorders>
            <w:shd w:val="clear" w:color="auto" w:fill="CFF0FC"/>
          </w:tcPr>
          <w:p>
            <w:pPr>
              <w:spacing w:after="0"/>
              <w:rPr>
                <w:sz w:val="14"/>
                <w:szCs w:val="14"/>
                <w:color w:val="auto"/>
              </w:rPr>
            </w:pPr>
          </w:p>
        </w:tc>
        <w:tc>
          <w:tcPr>
            <w:tcW w:w="11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heavy-tactical</w:t>
            </w:r>
          </w:p>
        </w:tc>
        <w:tc>
          <w:tcPr>
            <w:tcW w:w="480" w:type="dxa"/>
            <w:vAlign w:val="bottom"/>
            <w:tcBorders>
              <w:right w:val="single" w:sz="8" w:color="auto"/>
            </w:tcBorders>
            <w:shd w:val="clear" w:color="auto" w:fill="CFF0FC"/>
          </w:tcPr>
          <w:p>
            <w:pPr>
              <w:spacing w:after="0"/>
              <w:rPr>
                <w:sz w:val="14"/>
                <w:szCs w:val="14"/>
                <w:color w:val="auto"/>
              </w:rPr>
            </w:pPr>
          </w:p>
        </w:tc>
        <w:tc>
          <w:tcPr>
            <w:tcW w:w="1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Extended</w:t>
            </w:r>
          </w:p>
        </w:tc>
        <w:tc>
          <w:tcPr>
            <w:tcW w:w="360" w:type="dxa"/>
            <w:vAlign w:val="bottom"/>
            <w:tcBorders>
              <w:right w:val="single" w:sz="8" w:color="auto"/>
            </w:tcBorders>
            <w:shd w:val="clear" w:color="auto" w:fill="CFF0FC"/>
          </w:tcPr>
          <w:p>
            <w:pPr>
              <w:spacing w:after="0"/>
              <w:rPr>
                <w:sz w:val="14"/>
                <w:szCs w:val="14"/>
                <w:color w:val="auto"/>
              </w:rPr>
            </w:pP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Emergency</w:t>
            </w:r>
          </w:p>
        </w:tc>
        <w:tc>
          <w:tcPr>
            <w:tcW w:w="680" w:type="dxa"/>
            <w:vAlign w:val="bottom"/>
            <w:tcBorders>
              <w:right w:val="single" w:sz="8" w:color="auto"/>
            </w:tcBorders>
            <w:shd w:val="clear" w:color="auto" w:fill="CFF0FC"/>
          </w:tcPr>
          <w:p>
            <w:pPr>
              <w:spacing w:after="0"/>
              <w:rPr>
                <w:sz w:val="14"/>
                <w:szCs w:val="14"/>
                <w:color w:val="auto"/>
              </w:rPr>
            </w:pPr>
          </w:p>
        </w:tc>
        <w:tc>
          <w:tcPr>
            <w:tcW w:w="164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Specialty vehicle</w:t>
            </w:r>
          </w:p>
        </w:tc>
        <w:tc>
          <w:tcPr>
            <w:tcW w:w="1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Mining</w:t>
            </w:r>
          </w:p>
        </w:tc>
        <w:tc>
          <w:tcPr>
            <w:tcW w:w="50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 Specialty</w:t>
            </w:r>
          </w:p>
        </w:tc>
        <w:tc>
          <w:tcPr>
            <w:tcW w:w="560" w:type="dxa"/>
            <w:vAlign w:val="bottom"/>
            <w:tcBorders>
              <w:right w:val="single" w:sz="8" w:color="auto"/>
            </w:tcBorders>
            <w:shd w:val="clear" w:color="auto" w:fill="CFF0FC"/>
          </w:tcPr>
          <w:p>
            <w:pPr>
              <w:spacing w:after="0"/>
              <w:rPr>
                <w:sz w:val="14"/>
                <w:szCs w:val="14"/>
                <w:color w:val="auto"/>
              </w:rPr>
            </w:pPr>
          </w:p>
        </w:tc>
        <w:tc>
          <w:tcPr>
            <w:tcW w:w="158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wheeled platforms</w:t>
            </w:r>
          </w:p>
        </w:tc>
        <w:tc>
          <w:tcPr>
            <w:tcW w:w="1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transmission</w:t>
            </w:r>
          </w:p>
        </w:tc>
        <w:tc>
          <w:tcPr>
            <w:tcW w:w="360" w:type="dxa"/>
            <w:vAlign w:val="bottom"/>
            <w:tcBorders>
              <w:right w:val="single" w:sz="8" w:color="auto"/>
            </w:tcBorders>
            <w:shd w:val="clear" w:color="auto" w:fill="CFF0FC"/>
          </w:tcPr>
          <w:p>
            <w:pPr>
              <w:spacing w:after="0"/>
              <w:rPr>
                <w:sz w:val="14"/>
                <w:szCs w:val="14"/>
                <w:color w:val="auto"/>
              </w:rPr>
            </w:pP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Motorhome</w:t>
            </w:r>
          </w:p>
        </w:tc>
        <w:tc>
          <w:tcPr>
            <w:tcW w:w="68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Refuse</w:t>
            </w:r>
          </w:p>
        </w:tc>
        <w:tc>
          <w:tcPr>
            <w:tcW w:w="50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vehicle</w:t>
            </w:r>
          </w:p>
        </w:tc>
        <w:tc>
          <w:tcPr>
            <w:tcW w:w="560" w:type="dxa"/>
            <w:vAlign w:val="bottom"/>
            <w:tcBorders>
              <w:right w:val="single" w:sz="8" w:color="auto"/>
            </w:tcBorders>
            <w:shd w:val="clear" w:color="auto" w:fill="CFF0FC"/>
          </w:tcPr>
          <w:p>
            <w:pPr>
              <w:spacing w:after="0"/>
              <w:rPr>
                <w:sz w:val="14"/>
                <w:szCs w:val="14"/>
                <w:color w:val="auto"/>
              </w:rPr>
            </w:pPr>
          </w:p>
        </w:tc>
        <w:tc>
          <w:tcPr>
            <w:tcW w:w="158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Global tracked</w:t>
            </w:r>
          </w:p>
        </w:tc>
        <w:tc>
          <w:tcPr>
            <w:tcW w:w="1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coverage</w:t>
            </w:r>
          </w:p>
        </w:tc>
        <w:tc>
          <w:tcPr>
            <w:tcW w:w="360" w:type="dxa"/>
            <w:vAlign w:val="bottom"/>
            <w:tcBorders>
              <w:right w:val="single" w:sz="8" w:color="auto"/>
            </w:tcBorders>
            <w:shd w:val="clear" w:color="auto" w:fill="CFF0FC"/>
          </w:tcPr>
          <w:p>
            <w:pPr>
              <w:spacing w:after="0"/>
              <w:rPr>
                <w:sz w:val="14"/>
                <w:szCs w:val="14"/>
                <w:color w:val="auto"/>
              </w:rPr>
            </w:pP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Refuse</w:t>
            </w:r>
          </w:p>
        </w:tc>
        <w:tc>
          <w:tcPr>
            <w:tcW w:w="68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School,</w:t>
            </w:r>
          </w:p>
        </w:tc>
        <w:tc>
          <w:tcPr>
            <w:tcW w:w="50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tcBorders>
              <w:right w:val="single" w:sz="8" w:color="auto"/>
            </w:tcBorders>
            <w:shd w:val="clear" w:color="auto" w:fill="CFF0FC"/>
          </w:tcPr>
          <w:p>
            <w:pPr>
              <w:spacing w:after="0"/>
              <w:rPr>
                <w:sz w:val="14"/>
                <w:szCs w:val="14"/>
                <w:color w:val="auto"/>
              </w:rPr>
            </w:pPr>
          </w:p>
        </w:tc>
        <w:tc>
          <w:tcPr>
            <w:tcW w:w="158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combat platforms</w:t>
            </w:r>
          </w:p>
        </w:tc>
        <w:tc>
          <w:tcPr>
            <w:tcW w:w="158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Remanufactured</w:t>
            </w: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162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School, transit,</w:t>
            </w:r>
          </w:p>
        </w:tc>
        <w:tc>
          <w:tcPr>
            <w:tcW w:w="114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transit, shuttle</w:t>
            </w:r>
          </w:p>
        </w:tc>
        <w:tc>
          <w:tcPr>
            <w:tcW w:w="50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tcBorders>
              <w:right w:val="single" w:sz="8" w:color="auto"/>
            </w:tcBorders>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transmissions</w:t>
            </w:r>
          </w:p>
        </w:tc>
        <w:tc>
          <w:tcPr>
            <w:tcW w:w="360" w:type="dxa"/>
            <w:vAlign w:val="bottom"/>
            <w:tcBorders>
              <w:right w:val="single" w:sz="8" w:color="auto"/>
            </w:tcBorders>
            <w:shd w:val="clear" w:color="auto" w:fill="CFF0FC"/>
          </w:tcPr>
          <w:p>
            <w:pPr>
              <w:spacing w:after="0"/>
              <w:rPr>
                <w:sz w:val="14"/>
                <w:szCs w:val="14"/>
                <w:color w:val="auto"/>
              </w:rPr>
            </w:pP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162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shuttle and coach</w:t>
            </w:r>
          </w:p>
        </w:tc>
        <w:tc>
          <w:tcPr>
            <w:tcW w:w="114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58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and coach buses</w:t>
            </w:r>
          </w:p>
        </w:tc>
        <w:tc>
          <w:tcPr>
            <w:tcW w:w="920" w:type="dxa"/>
            <w:vAlign w:val="bottom"/>
            <w:shd w:val="clear" w:color="auto" w:fill="CFF0FC"/>
          </w:tcPr>
          <w:p>
            <w:pPr>
              <w:spacing w:after="0"/>
              <w:rPr>
                <w:sz w:val="14"/>
                <w:szCs w:val="14"/>
                <w:color w:val="auto"/>
              </w:rPr>
            </w:pPr>
          </w:p>
        </w:tc>
        <w:tc>
          <w:tcPr>
            <w:tcW w:w="560" w:type="dxa"/>
            <w:vAlign w:val="bottom"/>
            <w:tcBorders>
              <w:right w:val="single" w:sz="8" w:color="auto"/>
            </w:tcBorders>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Royalties</w:t>
            </w:r>
          </w:p>
        </w:tc>
        <w:tc>
          <w:tcPr>
            <w:tcW w:w="360" w:type="dxa"/>
            <w:vAlign w:val="bottom"/>
            <w:tcBorders>
              <w:right w:val="single" w:sz="8" w:color="auto"/>
            </w:tcBorders>
            <w:shd w:val="clear" w:color="auto" w:fill="CFF0FC"/>
          </w:tcPr>
          <w:p>
            <w:pPr>
              <w:spacing w:after="0"/>
              <w:rPr>
                <w:sz w:val="14"/>
                <w:szCs w:val="14"/>
                <w:color w:val="auto"/>
              </w:rPr>
            </w:pP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buses</w:t>
            </w:r>
          </w:p>
        </w:tc>
        <w:tc>
          <w:tcPr>
            <w:tcW w:w="68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Specialty</w:t>
            </w:r>
          </w:p>
        </w:tc>
        <w:tc>
          <w:tcPr>
            <w:tcW w:w="50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tcBorders>
              <w:right w:val="single" w:sz="8" w:color="auto"/>
            </w:tcBorders>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Saleable</w:t>
            </w:r>
          </w:p>
        </w:tc>
        <w:tc>
          <w:tcPr>
            <w:tcW w:w="360" w:type="dxa"/>
            <w:vAlign w:val="bottom"/>
            <w:tcBorders>
              <w:right w:val="single" w:sz="8" w:color="auto"/>
            </w:tcBorders>
            <w:shd w:val="clear" w:color="auto" w:fill="CFF0FC"/>
          </w:tcPr>
          <w:p>
            <w:pPr>
              <w:spacing w:after="0"/>
              <w:rPr>
                <w:sz w:val="14"/>
                <w:szCs w:val="14"/>
                <w:color w:val="auto"/>
              </w:rPr>
            </w:pP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Utility</w:t>
            </w:r>
          </w:p>
        </w:tc>
        <w:tc>
          <w:tcPr>
            <w:tcW w:w="68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Utility</w:t>
            </w:r>
          </w:p>
        </w:tc>
        <w:tc>
          <w:tcPr>
            <w:tcW w:w="50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tcBorders>
              <w:right w:val="single" w:sz="8" w:color="auto"/>
            </w:tcBorders>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engineering</w:t>
            </w:r>
          </w:p>
        </w:tc>
        <w:tc>
          <w:tcPr>
            <w:tcW w:w="360" w:type="dxa"/>
            <w:vAlign w:val="bottom"/>
            <w:tcBorders>
              <w:right w:val="single" w:sz="8" w:color="auto"/>
            </w:tcBorders>
            <w:shd w:val="clear" w:color="auto" w:fill="CFF0FC"/>
          </w:tcPr>
          <w:p>
            <w:pPr>
              <w:spacing w:after="0"/>
              <w:rPr>
                <w:sz w:val="14"/>
                <w:szCs w:val="14"/>
                <w:color w:val="auto"/>
              </w:rPr>
            </w:pP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8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tcBorders>
              <w:right w:val="single" w:sz="8" w:color="auto"/>
            </w:tcBorders>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Service parts</w:t>
            </w:r>
          </w:p>
        </w:tc>
        <w:tc>
          <w:tcPr>
            <w:tcW w:w="360" w:type="dxa"/>
            <w:vAlign w:val="bottom"/>
            <w:tcBorders>
              <w:right w:val="single" w:sz="8" w:color="auto"/>
            </w:tcBorders>
            <w:shd w:val="clear" w:color="auto" w:fill="CFF0FC"/>
          </w:tcPr>
          <w:p>
            <w:pPr>
              <w:spacing w:after="0"/>
              <w:rPr>
                <w:sz w:val="14"/>
                <w:szCs w:val="14"/>
                <w:color w:val="auto"/>
              </w:rPr>
            </w:pPr>
          </w:p>
        </w:tc>
      </w:tr>
      <w:tr>
        <w:trPr>
          <w:trHeight w:val="162"/>
        </w:trPr>
        <w:tc>
          <w:tcPr>
            <w:tcW w:w="1760" w:type="dxa"/>
            <w:vAlign w:val="bottom"/>
            <w:tcBorders>
              <w:left w:val="single" w:sz="8" w:color="auto"/>
              <w:right w:val="single" w:sz="8" w:color="auto"/>
            </w:tcBorders>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80" w:type="dxa"/>
            <w:vAlign w:val="bottom"/>
            <w:tcBorders>
              <w:right w:val="single" w:sz="8" w:color="auto"/>
            </w:tcBorders>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00" w:type="dxa"/>
            <w:vAlign w:val="bottom"/>
            <w:tcBorders>
              <w:right w:val="single" w:sz="8" w:color="auto"/>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tcBorders>
              <w:right w:val="single" w:sz="8" w:color="auto"/>
            </w:tcBorders>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80" w:type="dxa"/>
            <w:vAlign w:val="bottom"/>
            <w:tcBorders>
              <w:right w:val="single" w:sz="8" w:color="auto"/>
            </w:tcBorders>
            <w:shd w:val="clear" w:color="auto" w:fill="CFF0FC"/>
          </w:tcPr>
          <w:p>
            <w:pPr>
              <w:spacing w:after="0"/>
              <w:rPr>
                <w:sz w:val="14"/>
                <w:szCs w:val="14"/>
                <w:color w:val="auto"/>
              </w:rPr>
            </w:pPr>
          </w:p>
        </w:tc>
        <w:tc>
          <w:tcPr>
            <w:tcW w:w="1580" w:type="dxa"/>
            <w:vAlign w:val="bottom"/>
            <w:tcBorders>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Support equipment</w:t>
            </w:r>
          </w:p>
        </w:tc>
      </w:tr>
      <w:tr>
        <w:trPr>
          <w:trHeight w:val="185"/>
        </w:trPr>
        <w:tc>
          <w:tcPr>
            <w:tcW w:w="1760" w:type="dxa"/>
            <w:vAlign w:val="bottom"/>
            <w:tcBorders>
              <w:left w:val="single" w:sz="8" w:color="auto"/>
              <w:bottom w:val="single" w:sz="8" w:color="auto"/>
              <w:right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right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right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right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right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right w:val="single" w:sz="8" w:color="auto"/>
            </w:tcBorders>
            <w:shd w:val="clear" w:color="auto" w:fill="CFF0FC"/>
          </w:tcPr>
          <w:p>
            <w:pPr>
              <w:spacing w:after="0"/>
              <w:rPr>
                <w:sz w:val="16"/>
                <w:szCs w:val="16"/>
                <w:color w:val="auto"/>
              </w:rPr>
            </w:pPr>
          </w:p>
        </w:tc>
        <w:tc>
          <w:tcPr>
            <w:tcW w:w="1580" w:type="dxa"/>
            <w:vAlign w:val="bottom"/>
            <w:tcBorders>
              <w:bottom w:val="single" w:sz="8" w:color="auto"/>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Transmission fluids</w:t>
            </w:r>
          </w:p>
        </w:tc>
      </w:tr>
    </w:tbl>
    <w:p>
      <w:pPr>
        <w:spacing w:after="0" w:line="170" w:lineRule="exact"/>
        <w:rPr>
          <w:sz w:val="20"/>
          <w:szCs w:val="20"/>
          <w:color w:val="auto"/>
        </w:rPr>
      </w:pPr>
    </w:p>
    <w:p>
      <w:pPr>
        <w:ind w:right="540" w:firstLine="562"/>
        <w:spacing w:after="0" w:line="271" w:lineRule="auto"/>
        <w:rPr>
          <w:sz w:val="20"/>
          <w:szCs w:val="20"/>
          <w:color w:val="auto"/>
        </w:rPr>
      </w:pPr>
      <w:r>
        <w:rPr>
          <w:rFonts w:ascii="Arial" w:cs="Arial" w:eastAsia="Arial" w:hAnsi="Arial"/>
          <w:sz w:val="18"/>
          <w:szCs w:val="18"/>
          <w:color w:val="auto"/>
        </w:rPr>
        <w:t>Refer to "Note 19. Concentration of Risk” in Part II, Item 8., of this Annual Report on Form 10-K for additional information on our significant original equipment manufacturer (“OEM”) customers.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 automatic transmissions for the on-highway medium- and heavy-duty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commercial vehicle market in North America. 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100330</wp:posOffset>
            </wp:positionV>
            <wp:extent cx="3810000" cy="2346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10000" cy="234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Our core North American on-highway market includes Class 4-5, Class 6-7 and Class 8 straight trucks, conventional transit, shuttle and coach buses, school buses and motorhomes. Class 8 trucks are subdivided into two markets: straight and tractor (which includes both line-haul and regional haul day cab tractors). Class 8 straight trucks are those with a unified body (e.g., refuse, construction, and dump trucks), while tractors have a vehicle chassis that is separable from the trailer they pull. We have been supplying transmissions for Class 8 straight trucks for decades, and it is a core end market for us. We have limited exposure to the Class 8 line-haul tractor market because lower priced manual transmissions and AMTs generally meet the needs of these vehicles which are primarily used in long distance hauling.</w:t>
      </w:r>
    </w:p>
    <w:p>
      <w:pPr>
        <w:spacing w:after="0" w:line="128"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We also provide electric hybrid and fully electric propulsion solutions within the North American on-highway market. The interest in conserving fuel and reducing greenhouse gas emissions is driving demand for more fuel-efficient commercial vehicles. Our electric hybrid and fully electric propulsion customers include bus and truck applications. We compete primarily with BAE Systems plc and manufacturers of fully electric propulsion solutions such as Dana Incorporated ("Dana") and Cummins, Inc. as well as certain vertically integrated OEMs.</w:t>
      </w:r>
    </w:p>
    <w:p>
      <w:pPr>
        <w:spacing w:after="0" w:line="122"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We sell substantially all of our propulsion solutions in the North American on-highway market to OEMs. These OEMs, in turn, install our propulsion solutions in vehicles in which our product is either the exclusive propulsion solution available or is specifically requested by end users. In 2022, OEM customers representing over 90% of our North American on-highway unit volume participated in long-term agreements (“LTAs”) with us. Generally, these LTAs offer the OEM customer defined levels of mutual commitment with respect to growing Allison’s presence in the OEMs’ products and promotional efforts, pricing and sharing of commodity cost risk. The length of our LTAs is typically between three and five years. We often compete in this market against independent manufacturers of manual transmissions, AMTs, electric hybrid and fully electric propulsion solutions, fully automatic transmissions manufactured by Ford Motor Company (“Ford”), ZF Friedrichshafen AG (“ZF”) and Voith GmbH (“Voith”) and against vertically integrated OEMs in certain weight classes that use their own internally manufactured transmissions in certain vehicles.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summary of our market share by vehicle class in the North America On-Highway end market.</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820" w:type="dxa"/>
            <w:vAlign w:val="bottom"/>
            <w:tcBorders>
              <w:top w:val="single" w:sz="8" w:color="auto"/>
              <w:left w:val="single" w:sz="8" w:color="auto"/>
              <w:right w:val="single" w:sz="8" w:color="auto"/>
            </w:tcBorders>
          </w:tcPr>
          <w:p>
            <w:pPr>
              <w:spacing w:after="0"/>
              <w:rPr>
                <w:sz w:val="15"/>
                <w:szCs w:val="15"/>
                <w:color w:val="auto"/>
              </w:rPr>
            </w:pPr>
          </w:p>
        </w:tc>
        <w:tc>
          <w:tcPr>
            <w:tcW w:w="1440" w:type="dxa"/>
            <w:vAlign w:val="bottom"/>
            <w:tcBorders>
              <w:top w:val="single" w:sz="8" w:color="auto"/>
              <w:right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CLASS 4-5</w:t>
            </w:r>
          </w:p>
        </w:tc>
        <w:tc>
          <w:tcPr>
            <w:tcW w:w="1540" w:type="dxa"/>
            <w:vAlign w:val="bottom"/>
            <w:tcBorders>
              <w:top w:val="single" w:sz="8" w:color="auto"/>
              <w:right w:val="single" w:sz="8" w:color="auto"/>
            </w:tcBorders>
          </w:tcPr>
          <w:p>
            <w:pPr>
              <w:spacing w:after="0"/>
              <w:rPr>
                <w:sz w:val="15"/>
                <w:szCs w:val="15"/>
                <w:color w:val="auto"/>
              </w:rPr>
            </w:pPr>
          </w:p>
        </w:tc>
        <w:tc>
          <w:tcPr>
            <w:tcW w:w="1540" w:type="dxa"/>
            <w:vAlign w:val="bottom"/>
            <w:tcBorders>
              <w:top w:val="single" w:sz="8" w:color="auto"/>
              <w:right w:val="single" w:sz="8" w:color="auto"/>
            </w:tcBorders>
          </w:tcPr>
          <w:p>
            <w:pPr>
              <w:spacing w:after="0"/>
              <w:rPr>
                <w:sz w:val="15"/>
                <w:szCs w:val="15"/>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6-7</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8 STRAIGHT</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8</w:t>
            </w:r>
          </w:p>
        </w:tc>
        <w:tc>
          <w:tcPr>
            <w:tcW w:w="0" w:type="dxa"/>
            <w:vAlign w:val="bottom"/>
          </w:tcPr>
          <w:p>
            <w:pPr>
              <w:spacing w:after="0"/>
              <w:rPr>
                <w:sz w:val="1"/>
                <w:szCs w:val="1"/>
                <w:color w:val="auto"/>
              </w:rPr>
            </w:pPr>
          </w:p>
        </w:tc>
      </w:tr>
      <w:tr>
        <w:trPr>
          <w:trHeight w:val="181"/>
        </w:trPr>
        <w:tc>
          <w:tcPr>
            <w:tcW w:w="1820" w:type="dxa"/>
            <w:vAlign w:val="bottom"/>
            <w:tcBorders>
              <w:left w:val="single" w:sz="8" w:color="auto"/>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TRUCKS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MOTOR HOME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SCHOOL BUS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TRUCKS</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TRUCKS</w:t>
            </w:r>
          </w:p>
        </w:tc>
        <w:tc>
          <w:tcPr>
            <w:tcW w:w="1520" w:type="dxa"/>
            <w:vAlign w:val="bottom"/>
            <w:tcBorders>
              <w:bottom w:val="single" w:sz="8" w:color="auto"/>
              <w:right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DAY CAB</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vMerge w:val="restart"/>
            <w:shd w:val="clear" w:color="auto" w:fill="CFF0FC"/>
          </w:tcPr>
          <w:p>
            <w:pPr>
              <w:ind w:left="40"/>
              <w:spacing w:after="0"/>
              <w:rPr>
                <w:sz w:val="20"/>
                <w:szCs w:val="20"/>
                <w:color w:val="auto"/>
              </w:rPr>
            </w:pPr>
            <w:r>
              <w:rPr>
                <w:rFonts w:ascii="Arial" w:cs="Arial" w:eastAsia="Arial" w:hAnsi="Arial"/>
                <w:sz w:val="18"/>
                <w:szCs w:val="18"/>
                <w:b w:val="1"/>
                <w:bCs w:val="1"/>
                <w:color w:val="auto"/>
              </w:rPr>
              <w:t>2022 SHARE</w:t>
            </w:r>
          </w:p>
        </w:tc>
        <w:tc>
          <w:tcPr>
            <w:tcW w:w="1440" w:type="dxa"/>
            <w:vAlign w:val="bottom"/>
            <w:tcBorders>
              <w:right w:val="single" w:sz="8" w:color="auto"/>
            </w:tcBorders>
            <w:vMerge w:val="restart"/>
            <w:shd w:val="clear" w:color="auto" w:fill="CFF0FC"/>
          </w:tcPr>
          <w:p>
            <w:pPr>
              <w:jc w:val="center"/>
              <w:ind w:right="42"/>
              <w:spacing w:after="0"/>
              <w:rPr>
                <w:sz w:val="20"/>
                <w:szCs w:val="20"/>
                <w:color w:val="auto"/>
              </w:rPr>
            </w:pPr>
            <w:r>
              <w:rPr>
                <w:rFonts w:ascii="Arial" w:cs="Arial" w:eastAsia="Arial" w:hAnsi="Arial"/>
                <w:sz w:val="18"/>
                <w:szCs w:val="18"/>
                <w:color w:val="auto"/>
                <w:w w:val="99"/>
              </w:rPr>
              <w:t>13%</w:t>
            </w:r>
          </w:p>
        </w:tc>
        <w:tc>
          <w:tcPr>
            <w:tcW w:w="1540" w:type="dxa"/>
            <w:vAlign w:val="bottom"/>
            <w:tcBorders>
              <w:right w:val="single" w:sz="8" w:color="auto"/>
            </w:tcBorders>
            <w:vMerge w:val="restart"/>
            <w:shd w:val="clear" w:color="auto" w:fill="CFF0FC"/>
          </w:tcPr>
          <w:p>
            <w:pPr>
              <w:jc w:val="right"/>
              <w:ind w:right="519"/>
              <w:spacing w:after="0"/>
              <w:rPr>
                <w:sz w:val="20"/>
                <w:szCs w:val="20"/>
                <w:color w:val="auto"/>
              </w:rPr>
            </w:pPr>
            <w:r>
              <w:rPr>
                <w:rFonts w:ascii="Arial" w:cs="Arial" w:eastAsia="Arial" w:hAnsi="Arial"/>
                <w:sz w:val="18"/>
                <w:szCs w:val="18"/>
                <w:color w:val="auto"/>
              </w:rPr>
              <w:t>44%</w:t>
            </w:r>
          </w:p>
        </w:tc>
        <w:tc>
          <w:tcPr>
            <w:tcW w:w="1540" w:type="dxa"/>
            <w:vAlign w:val="bottom"/>
            <w:tcBorders>
              <w:right w:val="single" w:sz="8" w:color="auto"/>
            </w:tcBorders>
            <w:vMerge w:val="restart"/>
            <w:shd w:val="clear" w:color="auto" w:fill="CFF0FC"/>
          </w:tcPr>
          <w:p>
            <w:pPr>
              <w:jc w:val="right"/>
              <w:ind w:right="519"/>
              <w:spacing w:after="0"/>
              <w:rPr>
                <w:sz w:val="20"/>
                <w:szCs w:val="20"/>
                <w:color w:val="auto"/>
              </w:rPr>
            </w:pPr>
            <w:r>
              <w:rPr>
                <w:rFonts w:ascii="Arial" w:cs="Arial" w:eastAsia="Arial" w:hAnsi="Arial"/>
                <w:sz w:val="18"/>
                <w:szCs w:val="18"/>
                <w:color w:val="auto"/>
              </w:rPr>
              <w:t>85%</w:t>
            </w:r>
          </w:p>
        </w:tc>
        <w:tc>
          <w:tcPr>
            <w:tcW w:w="1540" w:type="dxa"/>
            <w:vAlign w:val="bottom"/>
            <w:tcBorders>
              <w:right w:val="single" w:sz="8" w:color="auto"/>
            </w:tcBorders>
            <w:vMerge w:val="restart"/>
            <w:shd w:val="clear" w:color="auto" w:fill="CFF0FC"/>
          </w:tcPr>
          <w:p>
            <w:pPr>
              <w:jc w:val="center"/>
              <w:spacing w:after="0"/>
              <w:rPr>
                <w:sz w:val="20"/>
                <w:szCs w:val="20"/>
                <w:color w:val="auto"/>
              </w:rPr>
            </w:pPr>
            <w:r>
              <w:rPr>
                <w:rFonts w:ascii="Arial" w:cs="Arial" w:eastAsia="Arial" w:hAnsi="Arial"/>
                <w:sz w:val="18"/>
                <w:szCs w:val="18"/>
                <w:color w:val="auto"/>
                <w:w w:val="99"/>
              </w:rPr>
              <w:t>79%</w:t>
            </w:r>
          </w:p>
        </w:tc>
        <w:tc>
          <w:tcPr>
            <w:tcW w:w="1840" w:type="dxa"/>
            <w:vAlign w:val="bottom"/>
            <w:tcBorders>
              <w:right w:val="single" w:sz="8" w:color="auto"/>
            </w:tcBorders>
            <w:vMerge w:val="restart"/>
            <w:shd w:val="clear" w:color="auto" w:fill="CFF0FC"/>
          </w:tcPr>
          <w:p>
            <w:pPr>
              <w:jc w:val="center"/>
              <w:spacing w:after="0"/>
              <w:rPr>
                <w:sz w:val="20"/>
                <w:szCs w:val="20"/>
                <w:color w:val="auto"/>
              </w:rPr>
            </w:pPr>
            <w:r>
              <w:rPr>
                <w:rFonts w:ascii="Arial" w:cs="Arial" w:eastAsia="Arial" w:hAnsi="Arial"/>
                <w:sz w:val="18"/>
                <w:szCs w:val="18"/>
                <w:color w:val="auto"/>
                <w:w w:val="99"/>
              </w:rPr>
              <w:t>78%</w:t>
            </w:r>
          </w:p>
        </w:tc>
        <w:tc>
          <w:tcPr>
            <w:tcW w:w="1520" w:type="dxa"/>
            <w:vAlign w:val="bottom"/>
            <w:tcBorders>
              <w:right w:val="single" w:sz="8" w:color="auto"/>
            </w:tcBorders>
            <w:vMerge w:val="restart"/>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line="20" w:lineRule="exact"/>
              <w:rPr>
                <w:sz w:val="1"/>
                <w:szCs w:val="1"/>
                <w:color w:val="auto"/>
              </w:rPr>
            </w:pPr>
          </w:p>
        </w:tc>
      </w:tr>
      <w:tr>
        <w:trPr>
          <w:trHeight w:val="211"/>
        </w:trPr>
        <w:tc>
          <w:tcPr>
            <w:tcW w:w="1820" w:type="dxa"/>
            <w:vAlign w:val="bottom"/>
            <w:tcBorders>
              <w:left w:val="single" w:sz="8" w:color="auto"/>
              <w:bottom w:val="single" w:sz="8" w:color="auto"/>
              <w:right w:val="single" w:sz="8" w:color="auto"/>
            </w:tcBorders>
            <w:vMerge w:val="continue"/>
            <w:shd w:val="clear" w:color="auto" w:fill="CFF0FC"/>
          </w:tcPr>
          <w:p>
            <w:pPr>
              <w:spacing w:after="0"/>
              <w:rPr>
                <w:sz w:val="17"/>
                <w:szCs w:val="17"/>
                <w:color w:val="auto"/>
              </w:rPr>
            </w:pPr>
          </w:p>
        </w:tc>
        <w:tc>
          <w:tcPr>
            <w:tcW w:w="1440" w:type="dxa"/>
            <w:vAlign w:val="bottom"/>
            <w:tcBorders>
              <w:bottom w:val="single" w:sz="8" w:color="auto"/>
              <w:right w:val="single" w:sz="8" w:color="auto"/>
            </w:tcBorders>
            <w:vMerge w:val="continue"/>
            <w:shd w:val="clear" w:color="auto" w:fill="CFF0FC"/>
          </w:tcPr>
          <w:p>
            <w:pPr>
              <w:spacing w:after="0"/>
              <w:rPr>
                <w:sz w:val="17"/>
                <w:szCs w:val="17"/>
                <w:color w:val="auto"/>
              </w:rPr>
            </w:pPr>
          </w:p>
        </w:tc>
        <w:tc>
          <w:tcPr>
            <w:tcW w:w="1540" w:type="dxa"/>
            <w:vAlign w:val="bottom"/>
            <w:tcBorders>
              <w:bottom w:val="single" w:sz="8" w:color="auto"/>
              <w:right w:val="single" w:sz="8" w:color="auto"/>
            </w:tcBorders>
            <w:vMerge w:val="continue"/>
            <w:shd w:val="clear" w:color="auto" w:fill="CFF0FC"/>
          </w:tcPr>
          <w:p>
            <w:pPr>
              <w:spacing w:after="0"/>
              <w:rPr>
                <w:sz w:val="17"/>
                <w:szCs w:val="17"/>
                <w:color w:val="auto"/>
              </w:rPr>
            </w:pPr>
          </w:p>
        </w:tc>
        <w:tc>
          <w:tcPr>
            <w:tcW w:w="1540" w:type="dxa"/>
            <w:vAlign w:val="bottom"/>
            <w:tcBorders>
              <w:bottom w:val="single" w:sz="8" w:color="auto"/>
              <w:right w:val="single" w:sz="8" w:color="auto"/>
            </w:tcBorders>
            <w:vMerge w:val="continue"/>
            <w:shd w:val="clear" w:color="auto" w:fill="CFF0FC"/>
          </w:tcPr>
          <w:p>
            <w:pPr>
              <w:spacing w:after="0"/>
              <w:rPr>
                <w:sz w:val="17"/>
                <w:szCs w:val="17"/>
                <w:color w:val="auto"/>
              </w:rPr>
            </w:pPr>
          </w:p>
        </w:tc>
        <w:tc>
          <w:tcPr>
            <w:tcW w:w="1540" w:type="dxa"/>
            <w:vAlign w:val="bottom"/>
            <w:tcBorders>
              <w:bottom w:val="single" w:sz="8" w:color="auto"/>
              <w:right w:val="single" w:sz="8" w:color="auto"/>
            </w:tcBorders>
            <w:vMerge w:val="continue"/>
            <w:shd w:val="clear" w:color="auto" w:fill="CFF0FC"/>
          </w:tcPr>
          <w:p>
            <w:pPr>
              <w:spacing w:after="0"/>
              <w:rPr>
                <w:sz w:val="17"/>
                <w:szCs w:val="17"/>
                <w:color w:val="auto"/>
              </w:rPr>
            </w:pPr>
          </w:p>
        </w:tc>
        <w:tc>
          <w:tcPr>
            <w:tcW w:w="1840" w:type="dxa"/>
            <w:vAlign w:val="bottom"/>
            <w:tcBorders>
              <w:bottom w:val="single" w:sz="8" w:color="auto"/>
              <w:right w:val="single" w:sz="8" w:color="auto"/>
            </w:tcBorders>
            <w:vMerge w:val="continue"/>
            <w:shd w:val="clear" w:color="auto" w:fill="CFF0FC"/>
          </w:tcPr>
          <w:p>
            <w:pPr>
              <w:spacing w:after="0"/>
              <w:rPr>
                <w:sz w:val="17"/>
                <w:szCs w:val="17"/>
                <w:color w:val="auto"/>
              </w:rPr>
            </w:pPr>
          </w:p>
        </w:tc>
        <w:tc>
          <w:tcPr>
            <w:tcW w:w="1520" w:type="dxa"/>
            <w:vAlign w:val="bottom"/>
            <w:tcBorders>
              <w:bottom w:val="single" w:sz="8" w:color="auto"/>
              <w:right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-393065</wp:posOffset>
            </wp:positionV>
            <wp:extent cx="5984875"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84875" cy="240030"/>
                    </a:xfrm>
                    <a:prstGeom prst="rect">
                      <a:avLst/>
                    </a:prstGeom>
                    <a:noFill/>
                  </pic:spPr>
                </pic:pic>
              </a:graphicData>
            </a:graphic>
          </wp:anchor>
        </w:drawing>
      </w:r>
    </w:p>
    <w:p>
      <w:pPr>
        <w:spacing w:after="0" w:line="123"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We have provided products used in vehicles and equipment that serve energy, mining and construction applications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North America for over 70 years. Off-highway energy applications include hydraulic fracturing equipment, well-stimulation equipment, pumping equipment, and well-servicing rigs, which often use a fully automatic transmission in stationary pumping applications. We supply our heavy duty off-highway transmissions to producers of well-stimulation and well-servicing equipment. Competition in this end market includes Caterpillar Inc. (“Caterpillar”) and Twin Disc, Inc. (“Twin Disc”).</w:t>
      </w:r>
    </w:p>
    <w:p>
      <w:pPr>
        <w:spacing w:after="0" w:line="125"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We also provide heavy-duty transmissions used in mining trucks, specialty vehicles and construction vehicles. Off-highway mining and construction applications include trucks used to haul various commodities and other products around construction sites and mines, including underground mines. These trucks include rigid dump trucks, wide-body dump trucks, underground trucks, and long-haul tractor trailer trucks with load capacities between 40 to 110 tons. Our major competitors in this end market include vertically integrated companies that manufacture fully automatic transmissions for their vehicles. These vertically integrated competitors include Caterpillar, Komatsu Ltd. (“Komatsu”), and Volvo Group (“Volvo”). We also compete with independent manufacturers ZF and Dana. Specialty vehicles using our heavy-duty off-highway transmissions include airport rescue and firefighting vehicles. Our major competitor in this end market is Twin Disc.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North America</w:t>
      </w:r>
    </w:p>
    <w:p>
      <w:pPr>
        <w:spacing w:after="0" w:line="211"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Outside North America we serve several different markets, including: Asia-Pacific, Europe, Middle East, Africa (collectively, “EMEA”), and South America.</w:t>
      </w:r>
    </w:p>
    <w:p>
      <w:pPr>
        <w:spacing w:after="0" w:line="99"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 automatic transmissions for the commercial vehicle market outside of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We also provide electric hybrid and fully electric propulsion solutions within the outside North America on-highway market. While the use of fully automatic transmissions in the medium- and heavy-duty commercial vehicle market has been widely accepted in North America, markets outside North America continue to be dominated by manual transmissions. Where adopted, fully automatic transmission-equipped medium- and heavy-duty commercial vehicles are concentrated in certain vocational end markets. We often compete in this market against independent manufacturers of manual transmissions, AMTs, electric hybrid and fully electric propulsion solutions, fully automatic transmissions manufactured by ZF, Voith, and Shaanxi Fast Gear Co., Ltd. and against vertically integrated OEMs. The following is a summary of our on-highway net sales by region outside of North America.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591175" cy="2834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91175" cy="283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40" w:firstLine="894"/>
        <w:spacing w:after="0"/>
        <w:rPr>
          <w:sz w:val="20"/>
          <w:szCs w:val="20"/>
          <w:color w:val="auto"/>
        </w:rPr>
      </w:pPr>
      <w:r>
        <w:rPr>
          <w:rFonts w:ascii="Arial" w:cs="Arial" w:eastAsia="Arial" w:hAnsi="Arial"/>
          <w:sz w:val="18"/>
          <w:szCs w:val="18"/>
          <w:b w:val="1"/>
          <w:bCs w:val="1"/>
          <w:i w:val="1"/>
          <w:iCs w:val="1"/>
          <w:color w:val="auto"/>
        </w:rPr>
        <w:t xml:space="preserve">Asia-Pacific. </w:t>
      </w:r>
      <w:r>
        <w:rPr>
          <w:rFonts w:ascii="Arial" w:cs="Arial" w:eastAsia="Arial" w:hAnsi="Arial"/>
          <w:sz w:val="18"/>
          <w:szCs w:val="18"/>
          <w:color w:val="auto"/>
        </w:rPr>
        <w:t>Our key Asia-Pacific markets include China, Japan, South Korea, Australia and India; however, we 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 in several other important Asia-Pacific countries including Indonesia, Malaysia, Singapore, Taiwan and Thailand. In addition, OEMs in the Asia-Pacific market are increasingly exporting their products to other regions. Within Asia-Pacific, our sales efforts are principally focused on the transit bus, vocational truck, severe service and distribution markets. Currently, manual transmissions are the predominant transmissions used in commercial vehicles in the Asia-Pacific region. In China, government subsidies and regulations by governmental entities continue to drive the development and adoption of fully electric propulsion solutions for use in the bus and truck markets.</w:t>
      </w:r>
    </w:p>
    <w:p>
      <w:pPr>
        <w:spacing w:after="0" w:line="129" w:lineRule="exact"/>
        <w:rPr>
          <w:sz w:val="20"/>
          <w:szCs w:val="20"/>
          <w:color w:val="auto"/>
        </w:rPr>
      </w:pPr>
    </w:p>
    <w:p>
      <w:pPr>
        <w:ind w:firstLine="894"/>
        <w:spacing w:after="0" w:line="239" w:lineRule="auto"/>
        <w:rPr>
          <w:sz w:val="20"/>
          <w:szCs w:val="20"/>
          <w:color w:val="auto"/>
        </w:rPr>
      </w:pPr>
      <w:r>
        <w:rPr>
          <w:rFonts w:ascii="Arial" w:cs="Arial" w:eastAsia="Arial" w:hAnsi="Arial"/>
          <w:sz w:val="18"/>
          <w:szCs w:val="18"/>
          <w:b w:val="1"/>
          <w:bCs w:val="1"/>
          <w:i w:val="1"/>
          <w:iCs w:val="1"/>
          <w:color w:val="auto"/>
        </w:rPr>
        <w:t>Europe, Middle East, Africa</w:t>
      </w:r>
      <w:r>
        <w:rPr>
          <w:rFonts w:ascii="Arial" w:cs="Arial" w:eastAsia="Arial" w:hAnsi="Arial"/>
          <w:sz w:val="18"/>
          <w:szCs w:val="18"/>
          <w:color w:val="auto"/>
        </w:rPr>
        <w:t>. EMEA is composed of several different markets, each of which differs from our core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American market by the degree of market maturity, sophistication and acceptance of fully automatic transmission and electric propulsion solution technology. Within Europe, we serve Western European developed markets, as well as Eastern European emerging markets, principally in the refuse, emergency, transit bus, coach bus, distribution and utility markets. Competition in Western Europe is most notably characterized by a high level of vertical powertrain integration, with OEMs often utilizing their own manual transmissions and AMTs in their vehicles, and electric hybrid and fully electric propulsion solutions. The Middle East and Africa regions are generally characterized by very limited local vehicle production, with imports from China, Europe, India, South America, Turkey and the U.S. accounting for the majority of vehicles.</w:t>
      </w:r>
    </w:p>
    <w:p>
      <w:pPr>
        <w:spacing w:after="0" w:line="131" w:lineRule="exact"/>
        <w:rPr>
          <w:sz w:val="20"/>
          <w:szCs w:val="20"/>
          <w:color w:val="auto"/>
        </w:rPr>
      </w:pPr>
    </w:p>
    <w:p>
      <w:pPr>
        <w:ind w:right="40" w:firstLine="894"/>
        <w:spacing w:after="0" w:line="252" w:lineRule="auto"/>
        <w:rPr>
          <w:sz w:val="20"/>
          <w:szCs w:val="20"/>
          <w:color w:val="auto"/>
        </w:rPr>
      </w:pPr>
      <w:r>
        <w:rPr>
          <w:rFonts w:ascii="Arial" w:cs="Arial" w:eastAsia="Arial" w:hAnsi="Arial"/>
          <w:sz w:val="18"/>
          <w:szCs w:val="18"/>
          <w:b w:val="1"/>
          <w:bCs w:val="1"/>
          <w:i w:val="1"/>
          <w:iCs w:val="1"/>
          <w:color w:val="auto"/>
        </w:rPr>
        <w:t>South America</w:t>
      </w:r>
      <w:r>
        <w:rPr>
          <w:rFonts w:ascii="Arial" w:cs="Arial" w:eastAsia="Arial" w:hAnsi="Arial"/>
          <w:sz w:val="18"/>
          <w:szCs w:val="18"/>
          <w:color w:val="auto"/>
        </w:rPr>
        <w:t>. The South American region is characterized by a high level of OEM vertical integration, with captive manual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transmission and AMT manufacturing. Currently, manual transmissions are the predominant transmissions used in commercial vehicles in South America. We serve the South American region primarily in the bus, refuse, vocational truck and agricultural markets.</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137160</wp:posOffset>
            </wp:positionV>
            <wp:extent cx="3767455" cy="2602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67455" cy="260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firstLine="894"/>
        <w:spacing w:after="0" w:line="274" w:lineRule="auto"/>
        <w:rPr>
          <w:sz w:val="20"/>
          <w:szCs w:val="20"/>
          <w:color w:val="auto"/>
        </w:rPr>
      </w:pPr>
      <w:r>
        <w:rPr>
          <w:rFonts w:ascii="Arial" w:cs="Arial" w:eastAsia="Arial" w:hAnsi="Arial"/>
          <w:sz w:val="17"/>
          <w:szCs w:val="17"/>
          <w:b w:val="1"/>
          <w:bCs w:val="1"/>
          <w:i w:val="1"/>
          <w:iCs w:val="1"/>
          <w:color w:val="auto"/>
        </w:rPr>
        <w:t>Asia-Pacific</w:t>
      </w:r>
      <w:r>
        <w:rPr>
          <w:rFonts w:ascii="Arial" w:cs="Arial" w:eastAsia="Arial" w:hAnsi="Arial"/>
          <w:sz w:val="17"/>
          <w:szCs w:val="17"/>
          <w:color w:val="auto"/>
        </w:rPr>
        <w:t>. Off-highway markets in Asia are shared by energy, mining and construction applications. Our primary competitors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Caterpillar, Danyang Winstar Auto Parts Co., Ltd., Twin Disc and manufacturers of electrified solutions in energy applications; Caterpillar, Xi’an FC Intelligence Transmission Co. Ltd. and Komatsu in mining applications; and Caterpillar, Volvo and ZF in construction applications.</w:t>
      </w:r>
    </w:p>
    <w:p>
      <w:pPr>
        <w:spacing w:after="0" w:line="99" w:lineRule="exact"/>
        <w:rPr>
          <w:sz w:val="20"/>
          <w:szCs w:val="20"/>
          <w:color w:val="auto"/>
        </w:rPr>
      </w:pPr>
    </w:p>
    <w:p>
      <w:pPr>
        <w:ind w:firstLine="894"/>
        <w:spacing w:after="0" w:line="246" w:lineRule="auto"/>
        <w:rPr>
          <w:sz w:val="20"/>
          <w:szCs w:val="20"/>
          <w:color w:val="auto"/>
        </w:rPr>
      </w:pPr>
      <w:r>
        <w:rPr>
          <w:rFonts w:ascii="Arial" w:cs="Arial" w:eastAsia="Arial" w:hAnsi="Arial"/>
          <w:sz w:val="18"/>
          <w:szCs w:val="18"/>
          <w:b w:val="1"/>
          <w:bCs w:val="1"/>
          <w:i w:val="1"/>
          <w:iCs w:val="1"/>
          <w:color w:val="auto"/>
        </w:rPr>
        <w:t xml:space="preserve">Europe, Middle East, Africa. </w:t>
      </w:r>
      <w:r>
        <w:rPr>
          <w:rFonts w:ascii="Arial" w:cs="Arial" w:eastAsia="Arial" w:hAnsi="Arial"/>
          <w:sz w:val="18"/>
          <w:szCs w:val="18"/>
          <w:color w:val="auto"/>
        </w:rPr>
        <w:t>Our off-highway markets in EMEA are mining and construction. Our major off-highway competitors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Caterpillar and Komatsu, both of which are vertically integrated manufacturers of off-highway mining vehicles, including the specific fully automatic transmission used in their mining trucks. A typical construction application is a rigid or articulated dump truck, with competition from Caterpillar, Dana, Volvo and ZF.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w:t>
      </w:r>
    </w:p>
    <w:p>
      <w:pPr>
        <w:spacing w:after="0" w:line="157" w:lineRule="exact"/>
        <w:rPr>
          <w:sz w:val="20"/>
          <w:szCs w:val="20"/>
          <w:color w:val="auto"/>
        </w:rPr>
      </w:pPr>
    </w:p>
    <w:p>
      <w:pPr>
        <w:ind w:right="140" w:firstLine="494"/>
        <w:spacing w:after="0" w:line="243" w:lineRule="auto"/>
        <w:rPr>
          <w:sz w:val="20"/>
          <w:szCs w:val="20"/>
          <w:color w:val="auto"/>
        </w:rPr>
      </w:pPr>
      <w:r>
        <w:rPr>
          <w:rFonts w:ascii="Arial" w:cs="Arial" w:eastAsia="Arial" w:hAnsi="Arial"/>
          <w:sz w:val="18"/>
          <w:szCs w:val="18"/>
          <w:color w:val="auto"/>
        </w:rPr>
        <w:t>We have a long-standing relationship with the U.S. Department of Defense (the “DOD”) dating back to 1946, when we began developing our first-generation tank transmission. Today, we sell substantially all of the propulsion solutions for medium- and heavy-tactical wheeled vehicles used by the U.S. military, including the Joint Light Tactical Vehicle, Light Armored Vehicle, Stryker Armored Vehicle, the Family of Medium Tactical Vehicles, Heavy Expanded Mobility Tactical Trucks, Palletized Loading Systems, Heavy Dump Trucks and Heavy Equipment Transporters. Propulsion solutions for tactical wheeled vehicles are typically sold to OEMs.</w:t>
      </w:r>
    </w:p>
    <w:p>
      <w:pPr>
        <w:spacing w:after="0" w:line="125"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We supply tracked vehicle propulsion solutions to the U.S. Army, including the Abrams M1A2 Main Battle Tank, Joint Assault Bridge, Assault Breacher Vehicles, Mobile Protected Firepower Assault Vehicles and the M113A3 Armored Personnel Carrier family of vehicles. We also sell parts kits to the U.S. Army for Abrams Tank sustainment. See Part I, Item 1A., “Risk Factors” of this Annual Report on Form 10-K for a discussion of risks associated with our contracts with the DOD.</w:t>
      </w:r>
    </w:p>
    <w:p>
      <w:pPr>
        <w:spacing w:after="0" w:line="122" w:lineRule="exact"/>
        <w:rPr>
          <w:sz w:val="20"/>
          <w:szCs w:val="20"/>
          <w:color w:val="auto"/>
        </w:rPr>
      </w:pPr>
    </w:p>
    <w:p>
      <w:pPr>
        <w:ind w:right="200" w:firstLine="494"/>
        <w:spacing w:after="0" w:line="246" w:lineRule="auto"/>
        <w:rPr>
          <w:sz w:val="20"/>
          <w:szCs w:val="20"/>
          <w:color w:val="auto"/>
        </w:rPr>
      </w:pPr>
      <w:r>
        <w:rPr>
          <w:rFonts w:ascii="Arial" w:cs="Arial" w:eastAsia="Arial" w:hAnsi="Arial"/>
          <w:sz w:val="18"/>
          <w:szCs w:val="18"/>
          <w:color w:val="auto"/>
        </w:rPr>
        <w:t>We have defense products in 110 countries around the world. Increasingly, we are supplying vehicle propulsion solutions for international tracked vehicles, such as light tracked personnel carriers, armored fighting vehicles, heavy tracked artillery systems, and Main Battle Tanks. Our defense products are manufactured at our headquarters in Indianapolis and by our licensees internationally for export world-wide.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340" w:firstLine="494"/>
        <w:spacing w:after="0" w:line="252" w:lineRule="auto"/>
        <w:rPr>
          <w:sz w:val="20"/>
          <w:szCs w:val="20"/>
          <w:color w:val="auto"/>
        </w:rPr>
      </w:pPr>
      <w:r>
        <w:rPr>
          <w:rFonts w:ascii="Arial" w:cs="Arial" w:eastAsia="Arial" w:hAnsi="Arial"/>
          <w:sz w:val="18"/>
          <w:szCs w:val="18"/>
          <w:color w:val="auto"/>
        </w:rPr>
        <w:t>Globally, we face competition primarily from Renk AG/Renk America, SAPA S.p.A, ST Kinetics and QinetiQ Group plc for supply of tracked vehicle propulsion solutions. Additionally, we face competition from ZF in certain defense wheeled vehicles using automatic transmissions and from several AMT suppliers.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Parts, Support Equipment and Other</w:t>
      </w:r>
    </w:p>
    <w:p>
      <w:pPr>
        <w:spacing w:after="0" w:line="157"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Our service parts, support equipment and other end market is comprised of: Allison-branded service parts and transmission fluids, aluminum die cast components, extended transmission coverage, remanufactured transmissions, royalties, saleable engineering and support equipment. The aftermarket provides us with a relatively stable source of revenues as the installed base of vehicles and equipment utilizing our solutions continues to grow. The need for replacement parts is driven by normal vehicle and equipment maintenance requirements. Uninterrupted operation is generally critical for end users’ profitability.</w:t>
      </w:r>
    </w:p>
    <w:p>
      <w:pPr>
        <w:spacing w:after="0" w:line="125"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The sale of Allison-branded parts and fluids, remanufactured transmissions and support equipment is fundamental to our brand promise. We have assembled a worldwide network of approximately 1,600 independent distributor and dealer locations to sell, service and support our solutions. As part of our brand strategy, our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solutions into vehicles, and, therefore, sales of support equipment are dependent upon sales of new solutions. The competition for service parts and ReTran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Product Offerings</w:t>
      </w:r>
    </w:p>
    <w:p>
      <w:pPr>
        <w:spacing w:after="0" w:line="155" w:lineRule="exact"/>
        <w:rPr>
          <w:sz w:val="20"/>
          <w:szCs w:val="20"/>
          <w:color w:val="auto"/>
        </w:rPr>
      </w:pPr>
    </w:p>
    <w:p>
      <w:pPr>
        <w:ind w:right="600" w:firstLine="494"/>
        <w:spacing w:after="0" w:line="271" w:lineRule="auto"/>
        <w:rPr>
          <w:sz w:val="20"/>
          <w:szCs w:val="20"/>
          <w:color w:val="auto"/>
        </w:rPr>
      </w:pPr>
      <w:r>
        <w:rPr>
          <w:rFonts w:ascii="Arial" w:cs="Arial" w:eastAsia="Arial" w:hAnsi="Arial"/>
          <w:sz w:val="18"/>
          <w:szCs w:val="18"/>
          <w:color w:val="auto"/>
        </w:rPr>
        <w:t>Allison transmissions and electric propulsion solutions are sold under the Allison Transmission brand name and remanufactured transmissions are sold under the ReTran brand name. The following is a summary of our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5020" cy="35274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5020" cy="3527425"/>
                    </a:xfrm>
                    <a:prstGeom prst="rect">
                      <a:avLst/>
                    </a:prstGeom>
                    <a:noFill/>
                  </pic:spPr>
                </pic:pic>
              </a:graphicData>
            </a:graphic>
          </wp:anchor>
        </w:drawing>
      </w:r>
    </w:p>
    <w:p>
      <w:pPr>
        <w:spacing w:after="0" w:line="98"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On-Highway Products</w:t>
      </w:r>
    </w:p>
    <w:p>
      <w:pPr>
        <w:spacing w:after="0" w:line="42" w:lineRule="exact"/>
        <w:rPr>
          <w:sz w:val="20"/>
          <w:szCs w:val="20"/>
          <w:color w:val="auto"/>
        </w:rPr>
      </w:pPr>
    </w:p>
    <w:tbl>
      <w:tblPr>
        <w:tblLayout w:type="fixed"/>
        <w:tblInd w:w="280" w:type="dxa"/>
        <w:tblCellMar>
          <w:top w:w="0" w:type="dxa"/>
          <w:left w:w="0" w:type="dxa"/>
          <w:bottom w:w="0" w:type="dxa"/>
          <w:right w:w="0" w:type="dxa"/>
        </w:tblCellMar>
      </w:tblPr>
      <w:tr>
        <w:trPr>
          <w:trHeight w:val="217"/>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8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Applications</w:t>
            </w:r>
          </w:p>
        </w:tc>
      </w:tr>
      <w:tr>
        <w:trPr>
          <w:trHeight w:val="190"/>
        </w:trPr>
        <w:tc>
          <w:tcPr>
            <w:tcW w:w="4000" w:type="dxa"/>
            <w:vAlign w:val="bottom"/>
            <w:shd w:val="clear" w:color="auto" w:fill="CFF0FC"/>
          </w:tcPr>
          <w:p>
            <w:pPr>
              <w:jc w:val="center"/>
              <w:spacing w:after="0" w:line="190" w:lineRule="exact"/>
              <w:rPr>
                <w:sz w:val="20"/>
                <w:szCs w:val="20"/>
                <w:color w:val="auto"/>
              </w:rPr>
            </w:pPr>
            <w:r>
              <w:rPr>
                <w:rFonts w:ascii="Arial" w:cs="Arial" w:eastAsia="Arial" w:hAnsi="Arial"/>
                <w:sz w:val="18"/>
                <w:szCs w:val="18"/>
                <w:color w:val="auto"/>
                <w:w w:val="99"/>
              </w:rPr>
              <w:t>1000 Series</w:t>
            </w:r>
          </w:p>
        </w:tc>
        <w:tc>
          <w:tcPr>
            <w:tcW w:w="28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line="190" w:lineRule="exact"/>
              <w:rPr>
                <w:sz w:val="20"/>
                <w:szCs w:val="20"/>
                <w:color w:val="auto"/>
              </w:rPr>
            </w:pPr>
            <w:r>
              <w:rPr>
                <w:rFonts w:ascii="Arial" w:cs="Arial" w:eastAsia="Arial" w:hAnsi="Arial"/>
                <w:sz w:val="18"/>
                <w:szCs w:val="18"/>
                <w:color w:val="auto"/>
              </w:rPr>
              <w:t>Distribution</w:t>
            </w:r>
          </w:p>
        </w:tc>
        <w:tc>
          <w:tcPr>
            <w:tcW w:w="4020" w:type="dxa"/>
            <w:vAlign w:val="bottom"/>
            <w:shd w:val="clear" w:color="auto" w:fill="CFF0FC"/>
          </w:tcPr>
          <w:p>
            <w:pPr>
              <w:ind w:left="820"/>
              <w:spacing w:after="0" w:line="190" w:lineRule="exact"/>
              <w:rPr>
                <w:sz w:val="20"/>
                <w:szCs w:val="20"/>
                <w:color w:val="auto"/>
              </w:rPr>
            </w:pPr>
            <w:r>
              <w:rPr>
                <w:rFonts w:ascii="Arial" w:cs="Arial" w:eastAsia="Arial" w:hAnsi="Arial"/>
                <w:sz w:val="18"/>
                <w:szCs w:val="18"/>
                <w:color w:val="auto"/>
              </w:rPr>
              <w:t>Services</w:t>
            </w:r>
          </w:p>
        </w:tc>
      </w:tr>
      <w:tr>
        <w:trPr>
          <w:trHeight w:val="202"/>
        </w:trPr>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Motorhome</w:t>
            </w:r>
          </w:p>
        </w:tc>
        <w:tc>
          <w:tcPr>
            <w:tcW w:w="4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rPr>
              <w:t>Specialty</w:t>
            </w:r>
          </w:p>
        </w:tc>
      </w:tr>
      <w:tr>
        <w:trPr>
          <w:trHeight w:val="202"/>
        </w:trPr>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Refuse</w:t>
            </w:r>
          </w:p>
        </w:tc>
        <w:tc>
          <w:tcPr>
            <w:tcW w:w="4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rPr>
              <w:t>Wheeled Defense</w:t>
            </w:r>
          </w:p>
        </w:tc>
      </w:tr>
      <w:tr>
        <w:trPr>
          <w:trHeight w:val="235"/>
        </w:trPr>
        <w:tc>
          <w:tcPr>
            <w:tcW w:w="4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School and Shuttle Bus</w:t>
            </w:r>
          </w:p>
        </w:tc>
        <w:tc>
          <w:tcPr>
            <w:tcW w:w="4020" w:type="dxa"/>
            <w:vAlign w:val="bottom"/>
            <w:shd w:val="clear" w:color="auto" w:fill="CFF0FC"/>
          </w:tcPr>
          <w:p>
            <w:pPr>
              <w:spacing w:after="0"/>
              <w:rPr>
                <w:sz w:val="20"/>
                <w:szCs w:val="20"/>
                <w:color w:val="auto"/>
              </w:rPr>
            </w:pPr>
          </w:p>
        </w:tc>
      </w:tr>
      <w:tr>
        <w:trPr>
          <w:trHeight w:val="197"/>
        </w:trPr>
        <w:tc>
          <w:tcPr>
            <w:tcW w:w="4000" w:type="dxa"/>
            <w:vAlign w:val="bottom"/>
          </w:tcPr>
          <w:p>
            <w:pPr>
              <w:jc w:val="center"/>
              <w:spacing w:after="0" w:line="197" w:lineRule="exact"/>
              <w:rPr>
                <w:sz w:val="20"/>
                <w:szCs w:val="20"/>
                <w:color w:val="auto"/>
              </w:rPr>
            </w:pPr>
            <w:r>
              <w:rPr>
                <w:rFonts w:ascii="Arial" w:cs="Arial" w:eastAsia="Arial" w:hAnsi="Arial"/>
                <w:sz w:val="18"/>
                <w:szCs w:val="18"/>
                <w:color w:val="auto"/>
                <w:w w:val="99"/>
              </w:rPr>
              <w:t>2000 Series</w:t>
            </w:r>
          </w:p>
        </w:tc>
        <w:tc>
          <w:tcPr>
            <w:tcW w:w="280" w:type="dxa"/>
            <w:vAlign w:val="bottom"/>
          </w:tcPr>
          <w:p>
            <w:pPr>
              <w:spacing w:after="0"/>
              <w:rPr>
                <w:sz w:val="17"/>
                <w:szCs w:val="17"/>
                <w:color w:val="auto"/>
              </w:rPr>
            </w:pPr>
          </w:p>
        </w:tc>
        <w:tc>
          <w:tcPr>
            <w:tcW w:w="2400" w:type="dxa"/>
            <w:vAlign w:val="bottom"/>
          </w:tcPr>
          <w:p>
            <w:pPr>
              <w:spacing w:after="0" w:line="197" w:lineRule="exact"/>
              <w:rPr>
                <w:sz w:val="20"/>
                <w:szCs w:val="20"/>
                <w:color w:val="auto"/>
              </w:rPr>
            </w:pPr>
            <w:r>
              <w:rPr>
                <w:rFonts w:ascii="Arial" w:cs="Arial" w:eastAsia="Arial" w:hAnsi="Arial"/>
                <w:sz w:val="18"/>
                <w:szCs w:val="18"/>
                <w:color w:val="auto"/>
              </w:rPr>
              <w:t>Distribution</w:t>
            </w:r>
          </w:p>
        </w:tc>
        <w:tc>
          <w:tcPr>
            <w:tcW w:w="4020" w:type="dxa"/>
            <w:vAlign w:val="bottom"/>
          </w:tcPr>
          <w:p>
            <w:pPr>
              <w:ind w:left="820"/>
              <w:spacing w:after="0" w:line="197" w:lineRule="exact"/>
              <w:rPr>
                <w:sz w:val="20"/>
                <w:szCs w:val="20"/>
                <w:color w:val="auto"/>
              </w:rPr>
            </w:pPr>
            <w:r>
              <w:rPr>
                <w:rFonts w:ascii="Arial" w:cs="Arial" w:eastAsia="Arial" w:hAnsi="Arial"/>
                <w:sz w:val="18"/>
                <w:szCs w:val="18"/>
                <w:color w:val="auto"/>
              </w:rPr>
              <w:t>Services</w:t>
            </w:r>
          </w:p>
        </w:tc>
      </w:tr>
      <w:tr>
        <w:trPr>
          <w:trHeight w:val="202"/>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Motorhome</w:t>
            </w:r>
          </w:p>
        </w:tc>
        <w:tc>
          <w:tcPr>
            <w:tcW w:w="4020" w:type="dxa"/>
            <w:vAlign w:val="bottom"/>
          </w:tcPr>
          <w:p>
            <w:pPr>
              <w:ind w:left="820"/>
              <w:spacing w:after="0" w:line="202" w:lineRule="exact"/>
              <w:rPr>
                <w:sz w:val="20"/>
                <w:szCs w:val="20"/>
                <w:color w:val="auto"/>
              </w:rPr>
            </w:pPr>
            <w:r>
              <w:rPr>
                <w:rFonts w:ascii="Arial" w:cs="Arial" w:eastAsia="Arial" w:hAnsi="Arial"/>
                <w:sz w:val="18"/>
                <w:szCs w:val="18"/>
                <w:color w:val="auto"/>
              </w:rPr>
              <w:t>Specialty</w:t>
            </w:r>
          </w:p>
        </w:tc>
      </w:tr>
      <w:tr>
        <w:trPr>
          <w:trHeight w:val="202"/>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Refuse</w:t>
            </w:r>
          </w:p>
        </w:tc>
        <w:tc>
          <w:tcPr>
            <w:tcW w:w="4020" w:type="dxa"/>
            <w:vAlign w:val="bottom"/>
          </w:tcPr>
          <w:p>
            <w:pPr>
              <w:ind w:left="820"/>
              <w:spacing w:after="0" w:line="202" w:lineRule="exact"/>
              <w:rPr>
                <w:sz w:val="20"/>
                <w:szCs w:val="20"/>
                <w:color w:val="auto"/>
              </w:rPr>
            </w:pPr>
            <w:r>
              <w:rPr>
                <w:rFonts w:ascii="Arial" w:cs="Arial" w:eastAsia="Arial" w:hAnsi="Arial"/>
                <w:sz w:val="18"/>
                <w:szCs w:val="18"/>
                <w:color w:val="auto"/>
              </w:rPr>
              <w:t>Wheeled Defense</w:t>
            </w:r>
          </w:p>
        </w:tc>
      </w:tr>
      <w:tr>
        <w:trPr>
          <w:trHeight w:val="235"/>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School and Shuttle Bus</w:t>
            </w:r>
          </w:p>
        </w:tc>
        <w:tc>
          <w:tcPr>
            <w:tcW w:w="4020" w:type="dxa"/>
            <w:vAlign w:val="bottom"/>
          </w:tcPr>
          <w:p>
            <w:pPr>
              <w:spacing w:after="0"/>
              <w:rPr>
                <w:sz w:val="20"/>
                <w:szCs w:val="20"/>
                <w:color w:val="auto"/>
              </w:rPr>
            </w:pPr>
          </w:p>
        </w:tc>
      </w:tr>
      <w:tr>
        <w:trPr>
          <w:trHeight w:val="197"/>
        </w:trPr>
        <w:tc>
          <w:tcPr>
            <w:tcW w:w="4000" w:type="dxa"/>
            <w:vAlign w:val="bottom"/>
            <w:shd w:val="clear" w:color="auto" w:fill="CFF0FC"/>
          </w:tcPr>
          <w:p>
            <w:pPr>
              <w:jc w:val="center"/>
              <w:spacing w:after="0" w:line="197" w:lineRule="exact"/>
              <w:rPr>
                <w:sz w:val="20"/>
                <w:szCs w:val="20"/>
                <w:color w:val="auto"/>
              </w:rPr>
            </w:pPr>
            <w:r>
              <w:rPr>
                <w:rFonts w:ascii="Arial" w:cs="Arial" w:eastAsia="Arial" w:hAnsi="Arial"/>
                <w:sz w:val="18"/>
                <w:szCs w:val="18"/>
                <w:color w:val="auto"/>
                <w:w w:val="99"/>
              </w:rPr>
              <w:t>3000 Series</w:t>
            </w:r>
          </w:p>
        </w:tc>
        <w:tc>
          <w:tcPr>
            <w:tcW w:w="28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Coach and Transit Bus</w:t>
            </w:r>
          </w:p>
        </w:tc>
        <w:tc>
          <w:tcPr>
            <w:tcW w:w="4020" w:type="dxa"/>
            <w:vAlign w:val="bottom"/>
            <w:shd w:val="clear" w:color="auto" w:fill="CFF0FC"/>
          </w:tcPr>
          <w:p>
            <w:pPr>
              <w:ind w:left="820"/>
              <w:spacing w:after="0" w:line="197" w:lineRule="exact"/>
              <w:rPr>
                <w:sz w:val="20"/>
                <w:szCs w:val="20"/>
                <w:color w:val="auto"/>
              </w:rPr>
            </w:pPr>
            <w:r>
              <w:rPr>
                <w:rFonts w:ascii="Arial" w:cs="Arial" w:eastAsia="Arial" w:hAnsi="Arial"/>
                <w:sz w:val="18"/>
                <w:szCs w:val="18"/>
                <w:color w:val="auto"/>
              </w:rPr>
              <w:t>Motorhome</w:t>
            </w:r>
          </w:p>
        </w:tc>
      </w:tr>
      <w:tr>
        <w:trPr>
          <w:trHeight w:val="202"/>
        </w:trPr>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Construction</w:t>
            </w:r>
          </w:p>
        </w:tc>
        <w:tc>
          <w:tcPr>
            <w:tcW w:w="4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rPr>
              <w:t>Refuse</w:t>
            </w:r>
          </w:p>
        </w:tc>
      </w:tr>
      <w:tr>
        <w:trPr>
          <w:trHeight w:val="202"/>
        </w:trPr>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Day Cab Tractors</w:t>
            </w:r>
          </w:p>
        </w:tc>
        <w:tc>
          <w:tcPr>
            <w:tcW w:w="4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rPr>
              <w:t>Services</w:t>
            </w:r>
          </w:p>
        </w:tc>
      </w:tr>
      <w:tr>
        <w:trPr>
          <w:trHeight w:val="202"/>
        </w:trPr>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Distribution</w:t>
            </w:r>
          </w:p>
        </w:tc>
        <w:tc>
          <w:tcPr>
            <w:tcW w:w="4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rPr>
              <w:t>Specialty</w:t>
            </w:r>
          </w:p>
        </w:tc>
      </w:tr>
      <w:tr>
        <w:trPr>
          <w:trHeight w:val="235"/>
        </w:trPr>
        <w:tc>
          <w:tcPr>
            <w:tcW w:w="4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Fire and Emergency</w:t>
            </w:r>
          </w:p>
        </w:tc>
        <w:tc>
          <w:tcPr>
            <w:tcW w:w="40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Wheeled Defense</w:t>
            </w:r>
          </w:p>
        </w:tc>
      </w:tr>
      <w:tr>
        <w:trPr>
          <w:trHeight w:val="197"/>
        </w:trPr>
        <w:tc>
          <w:tcPr>
            <w:tcW w:w="4000" w:type="dxa"/>
            <w:vAlign w:val="bottom"/>
          </w:tcPr>
          <w:p>
            <w:pPr>
              <w:jc w:val="center"/>
              <w:spacing w:after="0" w:line="197" w:lineRule="exact"/>
              <w:rPr>
                <w:sz w:val="20"/>
                <w:szCs w:val="20"/>
                <w:color w:val="auto"/>
              </w:rPr>
            </w:pPr>
            <w:r>
              <w:rPr>
                <w:rFonts w:ascii="Arial" w:cs="Arial" w:eastAsia="Arial" w:hAnsi="Arial"/>
                <w:sz w:val="18"/>
                <w:szCs w:val="18"/>
                <w:color w:val="auto"/>
                <w:w w:val="99"/>
              </w:rPr>
              <w:t>4000 Series</w:t>
            </w:r>
          </w:p>
        </w:tc>
        <w:tc>
          <w:tcPr>
            <w:tcW w:w="280" w:type="dxa"/>
            <w:vAlign w:val="bottom"/>
          </w:tcPr>
          <w:p>
            <w:pPr>
              <w:spacing w:after="0"/>
              <w:rPr>
                <w:sz w:val="17"/>
                <w:szCs w:val="17"/>
                <w:color w:val="auto"/>
              </w:rPr>
            </w:pPr>
          </w:p>
        </w:tc>
        <w:tc>
          <w:tcPr>
            <w:tcW w:w="2400" w:type="dxa"/>
            <w:vAlign w:val="bottom"/>
          </w:tcPr>
          <w:p>
            <w:pPr>
              <w:spacing w:after="0" w:line="197" w:lineRule="exact"/>
              <w:rPr>
                <w:sz w:val="20"/>
                <w:szCs w:val="20"/>
                <w:color w:val="auto"/>
              </w:rPr>
            </w:pPr>
            <w:r>
              <w:rPr>
                <w:rFonts w:ascii="Arial" w:cs="Arial" w:eastAsia="Arial" w:hAnsi="Arial"/>
                <w:sz w:val="18"/>
                <w:szCs w:val="18"/>
                <w:color w:val="auto"/>
              </w:rPr>
              <w:t>Articulated and Wide Body</w:t>
            </w:r>
          </w:p>
        </w:tc>
        <w:tc>
          <w:tcPr>
            <w:tcW w:w="4020" w:type="dxa"/>
            <w:vAlign w:val="bottom"/>
          </w:tcPr>
          <w:p>
            <w:pPr>
              <w:ind w:left="820"/>
              <w:spacing w:after="0" w:line="197" w:lineRule="exact"/>
              <w:rPr>
                <w:sz w:val="20"/>
                <w:szCs w:val="20"/>
                <w:color w:val="auto"/>
              </w:rPr>
            </w:pPr>
            <w:r>
              <w:rPr>
                <w:rFonts w:ascii="Arial" w:cs="Arial" w:eastAsia="Arial" w:hAnsi="Arial"/>
                <w:sz w:val="18"/>
                <w:szCs w:val="18"/>
                <w:color w:val="auto"/>
              </w:rPr>
              <w:t>Fire and Emergency</w:t>
            </w:r>
          </w:p>
        </w:tc>
      </w:tr>
      <w:tr>
        <w:trPr>
          <w:trHeight w:val="202"/>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Pr>
          <w:p>
            <w:pPr>
              <w:ind w:left="260"/>
              <w:spacing w:after="0" w:line="202" w:lineRule="exact"/>
              <w:rPr>
                <w:sz w:val="20"/>
                <w:szCs w:val="20"/>
                <w:color w:val="auto"/>
              </w:rPr>
            </w:pPr>
            <w:r>
              <w:rPr>
                <w:rFonts w:ascii="Arial" w:cs="Arial" w:eastAsia="Arial" w:hAnsi="Arial"/>
                <w:sz w:val="18"/>
                <w:szCs w:val="18"/>
                <w:color w:val="auto"/>
              </w:rPr>
              <w:t>Mining Dump Trucks</w:t>
            </w:r>
          </w:p>
        </w:tc>
        <w:tc>
          <w:tcPr>
            <w:tcW w:w="4020" w:type="dxa"/>
            <w:vAlign w:val="bottom"/>
          </w:tcPr>
          <w:p>
            <w:pPr>
              <w:ind w:left="820"/>
              <w:spacing w:after="0" w:line="202" w:lineRule="exact"/>
              <w:rPr>
                <w:sz w:val="20"/>
                <w:szCs w:val="20"/>
                <w:color w:val="auto"/>
              </w:rPr>
            </w:pPr>
            <w:r>
              <w:rPr>
                <w:rFonts w:ascii="Arial" w:cs="Arial" w:eastAsia="Arial" w:hAnsi="Arial"/>
                <w:sz w:val="18"/>
                <w:szCs w:val="18"/>
                <w:color w:val="auto"/>
              </w:rPr>
              <w:t>Motorhome</w:t>
            </w:r>
          </w:p>
        </w:tc>
      </w:tr>
      <w:tr>
        <w:trPr>
          <w:trHeight w:val="202"/>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Coach and Transit Bus</w:t>
            </w:r>
          </w:p>
        </w:tc>
        <w:tc>
          <w:tcPr>
            <w:tcW w:w="4020" w:type="dxa"/>
            <w:vAlign w:val="bottom"/>
          </w:tcPr>
          <w:p>
            <w:pPr>
              <w:ind w:left="820"/>
              <w:spacing w:after="0" w:line="202" w:lineRule="exact"/>
              <w:rPr>
                <w:sz w:val="20"/>
                <w:szCs w:val="20"/>
                <w:color w:val="auto"/>
              </w:rPr>
            </w:pPr>
            <w:r>
              <w:rPr>
                <w:rFonts w:ascii="Arial" w:cs="Arial" w:eastAsia="Arial" w:hAnsi="Arial"/>
                <w:sz w:val="18"/>
                <w:szCs w:val="18"/>
                <w:color w:val="auto"/>
              </w:rPr>
              <w:t>Refuse</w:t>
            </w:r>
          </w:p>
        </w:tc>
      </w:tr>
      <w:tr>
        <w:trPr>
          <w:trHeight w:val="202"/>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Construction</w:t>
            </w:r>
          </w:p>
        </w:tc>
        <w:tc>
          <w:tcPr>
            <w:tcW w:w="4020" w:type="dxa"/>
            <w:vAlign w:val="bottom"/>
          </w:tcPr>
          <w:p>
            <w:pPr>
              <w:ind w:left="820"/>
              <w:spacing w:after="0" w:line="202" w:lineRule="exact"/>
              <w:rPr>
                <w:sz w:val="20"/>
                <w:szCs w:val="20"/>
                <w:color w:val="auto"/>
              </w:rPr>
            </w:pPr>
            <w:r>
              <w:rPr>
                <w:rFonts w:ascii="Arial" w:cs="Arial" w:eastAsia="Arial" w:hAnsi="Arial"/>
                <w:sz w:val="18"/>
                <w:szCs w:val="18"/>
                <w:color w:val="auto"/>
              </w:rPr>
              <w:t>Specialty</w:t>
            </w:r>
          </w:p>
        </w:tc>
      </w:tr>
      <w:tr>
        <w:trPr>
          <w:trHeight w:val="202"/>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Day Cab Tractors</w:t>
            </w:r>
          </w:p>
        </w:tc>
        <w:tc>
          <w:tcPr>
            <w:tcW w:w="4020" w:type="dxa"/>
            <w:vAlign w:val="bottom"/>
          </w:tcPr>
          <w:p>
            <w:pPr>
              <w:ind w:left="820"/>
              <w:spacing w:after="0" w:line="202" w:lineRule="exact"/>
              <w:rPr>
                <w:sz w:val="20"/>
                <w:szCs w:val="20"/>
                <w:color w:val="auto"/>
              </w:rPr>
            </w:pPr>
            <w:r>
              <w:rPr>
                <w:rFonts w:ascii="Arial" w:cs="Arial" w:eastAsia="Arial" w:hAnsi="Arial"/>
                <w:sz w:val="18"/>
                <w:szCs w:val="18"/>
                <w:color w:val="auto"/>
              </w:rPr>
              <w:t>Wheeled Defense</w:t>
            </w:r>
          </w:p>
        </w:tc>
      </w:tr>
      <w:tr>
        <w:trPr>
          <w:trHeight w:val="235"/>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Distribution</w:t>
            </w:r>
          </w:p>
        </w:tc>
        <w:tc>
          <w:tcPr>
            <w:tcW w:w="4020" w:type="dxa"/>
            <w:vAlign w:val="bottom"/>
          </w:tcPr>
          <w:p>
            <w:pPr>
              <w:spacing w:after="0"/>
              <w:rPr>
                <w:sz w:val="20"/>
                <w:szCs w:val="20"/>
                <w:color w:val="auto"/>
              </w:rPr>
            </w:pPr>
          </w:p>
        </w:tc>
      </w:tr>
      <w:tr>
        <w:trPr>
          <w:trHeight w:val="229"/>
        </w:trPr>
        <w:tc>
          <w:tcPr>
            <w:tcW w:w="4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eGen Flex Electric Hybrid Propulsion Solutions</w:t>
            </w:r>
          </w:p>
        </w:tc>
        <w:tc>
          <w:tcPr>
            <w:tcW w:w="28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Transit and Shuttle Bus</w:t>
            </w:r>
          </w:p>
        </w:tc>
        <w:tc>
          <w:tcPr>
            <w:tcW w:w="4020" w:type="dxa"/>
            <w:vAlign w:val="bottom"/>
            <w:shd w:val="clear" w:color="auto" w:fill="CFF0FC"/>
          </w:tcPr>
          <w:p>
            <w:pPr>
              <w:spacing w:after="0"/>
              <w:rPr>
                <w:sz w:val="19"/>
                <w:szCs w:val="19"/>
                <w:color w:val="auto"/>
              </w:rPr>
            </w:pPr>
          </w:p>
        </w:tc>
      </w:tr>
      <w:tr>
        <w:trPr>
          <w:trHeight w:val="197"/>
        </w:trPr>
        <w:tc>
          <w:tcPr>
            <w:tcW w:w="4000" w:type="dxa"/>
            <w:vAlign w:val="bottom"/>
          </w:tcPr>
          <w:p>
            <w:pPr>
              <w:jc w:val="center"/>
              <w:spacing w:after="0" w:line="197" w:lineRule="exact"/>
              <w:rPr>
                <w:sz w:val="20"/>
                <w:szCs w:val="20"/>
                <w:color w:val="auto"/>
              </w:rPr>
            </w:pPr>
            <w:r>
              <w:rPr>
                <w:rFonts w:ascii="Arial" w:cs="Arial" w:eastAsia="Arial" w:hAnsi="Arial"/>
                <w:sz w:val="18"/>
                <w:szCs w:val="18"/>
                <w:color w:val="auto"/>
                <w:w w:val="99"/>
              </w:rPr>
              <w:t>eGen Power Fully Electric Propulsion Solutions</w:t>
            </w:r>
          </w:p>
        </w:tc>
        <w:tc>
          <w:tcPr>
            <w:tcW w:w="280" w:type="dxa"/>
            <w:vAlign w:val="bottom"/>
          </w:tcPr>
          <w:p>
            <w:pPr>
              <w:spacing w:after="0"/>
              <w:rPr>
                <w:sz w:val="17"/>
                <w:szCs w:val="17"/>
                <w:color w:val="auto"/>
              </w:rPr>
            </w:pPr>
          </w:p>
        </w:tc>
        <w:tc>
          <w:tcPr>
            <w:tcW w:w="2400" w:type="dxa"/>
            <w:vAlign w:val="bottom"/>
          </w:tcPr>
          <w:p>
            <w:pPr>
              <w:spacing w:after="0" w:line="197" w:lineRule="exact"/>
              <w:rPr>
                <w:sz w:val="20"/>
                <w:szCs w:val="20"/>
                <w:color w:val="auto"/>
              </w:rPr>
            </w:pPr>
            <w:r>
              <w:rPr>
                <w:rFonts w:ascii="Arial" w:cs="Arial" w:eastAsia="Arial" w:hAnsi="Arial"/>
                <w:sz w:val="18"/>
                <w:szCs w:val="18"/>
                <w:color w:val="auto"/>
              </w:rPr>
              <w:t>Coach and Transit Bus</w:t>
            </w:r>
          </w:p>
        </w:tc>
        <w:tc>
          <w:tcPr>
            <w:tcW w:w="4020" w:type="dxa"/>
            <w:vAlign w:val="bottom"/>
          </w:tcPr>
          <w:p>
            <w:pPr>
              <w:ind w:left="820"/>
              <w:spacing w:after="0" w:line="197" w:lineRule="exact"/>
              <w:rPr>
                <w:sz w:val="20"/>
                <w:szCs w:val="20"/>
                <w:color w:val="auto"/>
              </w:rPr>
            </w:pPr>
            <w:r>
              <w:rPr>
                <w:rFonts w:ascii="Arial" w:cs="Arial" w:eastAsia="Arial" w:hAnsi="Arial"/>
                <w:sz w:val="18"/>
                <w:szCs w:val="18"/>
                <w:color w:val="auto"/>
              </w:rPr>
              <w:t>Line-Haul Tractors</w:t>
            </w:r>
          </w:p>
        </w:tc>
      </w:tr>
      <w:tr>
        <w:trPr>
          <w:trHeight w:val="202"/>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Day Cab Tractors</w:t>
            </w:r>
          </w:p>
        </w:tc>
        <w:tc>
          <w:tcPr>
            <w:tcW w:w="4020" w:type="dxa"/>
            <w:vAlign w:val="bottom"/>
          </w:tcPr>
          <w:p>
            <w:pPr>
              <w:ind w:left="820"/>
              <w:spacing w:after="0" w:line="202" w:lineRule="exact"/>
              <w:rPr>
                <w:sz w:val="20"/>
                <w:szCs w:val="20"/>
                <w:color w:val="auto"/>
              </w:rPr>
            </w:pPr>
            <w:r>
              <w:rPr>
                <w:rFonts w:ascii="Arial" w:cs="Arial" w:eastAsia="Arial" w:hAnsi="Arial"/>
                <w:sz w:val="18"/>
                <w:szCs w:val="18"/>
                <w:color w:val="auto"/>
              </w:rPr>
              <w:t>Refuse</w:t>
            </w:r>
          </w:p>
        </w:tc>
      </w:tr>
      <w:tr>
        <w:trPr>
          <w:trHeight w:val="202"/>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Distribution</w:t>
            </w:r>
          </w:p>
        </w:tc>
        <w:tc>
          <w:tcPr>
            <w:tcW w:w="4020" w:type="dxa"/>
            <w:vAlign w:val="bottom"/>
          </w:tcPr>
          <w:p>
            <w:pPr>
              <w:ind w:left="820"/>
              <w:spacing w:after="0" w:line="202" w:lineRule="exact"/>
              <w:rPr>
                <w:sz w:val="20"/>
                <w:szCs w:val="20"/>
                <w:color w:val="auto"/>
              </w:rPr>
            </w:pPr>
            <w:r>
              <w:rPr>
                <w:rFonts w:ascii="Arial" w:cs="Arial" w:eastAsia="Arial" w:hAnsi="Arial"/>
                <w:sz w:val="18"/>
                <w:szCs w:val="18"/>
                <w:color w:val="auto"/>
              </w:rPr>
              <w:t>School and Shuttle Bus</w:t>
            </w:r>
          </w:p>
        </w:tc>
      </w:tr>
      <w:tr>
        <w:trPr>
          <w:trHeight w:val="239"/>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Fire and Emergency</w:t>
            </w:r>
          </w:p>
        </w:tc>
        <w:tc>
          <w:tcPr>
            <w:tcW w:w="4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45020" cy="1840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5020" cy="1840865"/>
                    </a:xfrm>
                    <a:prstGeom prst="rect">
                      <a:avLst/>
                    </a:prstGeom>
                    <a:noFill/>
                  </pic:spPr>
                </pic:pic>
              </a:graphicData>
            </a:graphic>
          </wp:anchor>
        </w:drawing>
      </w:r>
    </w:p>
    <w:p>
      <w:pPr>
        <w:spacing w:after="0" w:line="367"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Off-Highway Products</w:t>
      </w:r>
    </w:p>
    <w:p>
      <w:pPr>
        <w:spacing w:after="0" w:line="42" w:lineRule="exact"/>
        <w:rPr>
          <w:sz w:val="20"/>
          <w:szCs w:val="20"/>
          <w:color w:val="auto"/>
        </w:rPr>
      </w:pPr>
    </w:p>
    <w:tbl>
      <w:tblPr>
        <w:tblLayout w:type="fixed"/>
        <w:tblInd w:w="280" w:type="dxa"/>
        <w:tblCellMar>
          <w:top w:w="0" w:type="dxa"/>
          <w:left w:w="0" w:type="dxa"/>
          <w:bottom w:w="0" w:type="dxa"/>
          <w:right w:w="0" w:type="dxa"/>
        </w:tblCellMar>
      </w:tblPr>
      <w:tr>
        <w:trPr>
          <w:trHeight w:val="217"/>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80" w:type="dxa"/>
            <w:vAlign w:val="bottom"/>
          </w:tcPr>
          <w:p>
            <w:pPr>
              <w:spacing w:after="0"/>
              <w:rPr>
                <w:sz w:val="18"/>
                <w:szCs w:val="18"/>
                <w:color w:val="auto"/>
              </w:rPr>
            </w:pPr>
          </w:p>
        </w:tc>
        <w:tc>
          <w:tcPr>
            <w:tcW w:w="642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Applications</w:t>
            </w:r>
          </w:p>
        </w:tc>
      </w:tr>
      <w:tr>
        <w:trPr>
          <w:trHeight w:val="190"/>
        </w:trPr>
        <w:tc>
          <w:tcPr>
            <w:tcW w:w="4000" w:type="dxa"/>
            <w:vAlign w:val="bottom"/>
            <w:shd w:val="clear" w:color="auto" w:fill="CFF0FC"/>
          </w:tcPr>
          <w:p>
            <w:pPr>
              <w:jc w:val="center"/>
              <w:spacing w:after="0" w:line="190" w:lineRule="exact"/>
              <w:rPr>
                <w:sz w:val="20"/>
                <w:szCs w:val="20"/>
                <w:color w:val="auto"/>
              </w:rPr>
            </w:pPr>
            <w:r>
              <w:rPr>
                <w:rFonts w:ascii="Arial" w:cs="Arial" w:eastAsia="Arial" w:hAnsi="Arial"/>
                <w:sz w:val="18"/>
                <w:szCs w:val="18"/>
                <w:color w:val="auto"/>
                <w:w w:val="99"/>
              </w:rPr>
              <w:t>5000 Series</w:t>
            </w:r>
          </w:p>
        </w:tc>
        <w:tc>
          <w:tcPr>
            <w:tcW w:w="280" w:type="dxa"/>
            <w:vAlign w:val="bottom"/>
            <w:shd w:val="clear" w:color="auto" w:fill="CFF0FC"/>
          </w:tcPr>
          <w:p>
            <w:pPr>
              <w:spacing w:after="0"/>
              <w:rPr>
                <w:sz w:val="16"/>
                <w:szCs w:val="16"/>
                <w:color w:val="auto"/>
              </w:rPr>
            </w:pPr>
          </w:p>
        </w:tc>
        <w:tc>
          <w:tcPr>
            <w:tcW w:w="6420" w:type="dxa"/>
            <w:vAlign w:val="bottom"/>
            <w:shd w:val="clear" w:color="auto" w:fill="CFF0FC"/>
          </w:tcPr>
          <w:p>
            <w:pPr>
              <w:spacing w:after="0" w:line="190" w:lineRule="exact"/>
              <w:rPr>
                <w:sz w:val="20"/>
                <w:szCs w:val="20"/>
                <w:color w:val="auto"/>
              </w:rPr>
            </w:pPr>
            <w:r>
              <w:rPr>
                <w:rFonts w:ascii="Arial" w:cs="Arial" w:eastAsia="Arial" w:hAnsi="Arial"/>
                <w:sz w:val="18"/>
                <w:szCs w:val="18"/>
                <w:color w:val="auto"/>
              </w:rPr>
              <w:t>Rigid and Articulated Dump Truck</w:t>
            </w:r>
          </w:p>
        </w:tc>
      </w:tr>
      <w:tr>
        <w:trPr>
          <w:trHeight w:val="202"/>
        </w:trPr>
        <w:tc>
          <w:tcPr>
            <w:tcW w:w="4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Underground Mine Truck</w:t>
            </w:r>
          </w:p>
        </w:tc>
      </w:tr>
      <w:tr>
        <w:trPr>
          <w:trHeight w:val="235"/>
        </w:trPr>
        <w:tc>
          <w:tcPr>
            <w:tcW w:w="4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Well Service Rigs</w:t>
            </w:r>
          </w:p>
        </w:tc>
      </w:tr>
      <w:tr>
        <w:trPr>
          <w:trHeight w:val="197"/>
        </w:trPr>
        <w:tc>
          <w:tcPr>
            <w:tcW w:w="4000" w:type="dxa"/>
            <w:vAlign w:val="bottom"/>
          </w:tcPr>
          <w:p>
            <w:pPr>
              <w:jc w:val="center"/>
              <w:spacing w:after="0" w:line="197" w:lineRule="exact"/>
              <w:rPr>
                <w:sz w:val="20"/>
                <w:szCs w:val="20"/>
                <w:color w:val="auto"/>
              </w:rPr>
            </w:pPr>
            <w:r>
              <w:rPr>
                <w:rFonts w:ascii="Arial" w:cs="Arial" w:eastAsia="Arial" w:hAnsi="Arial"/>
                <w:sz w:val="18"/>
                <w:szCs w:val="18"/>
                <w:color w:val="auto"/>
                <w:w w:val="99"/>
              </w:rPr>
              <w:t>6000 Series</w:t>
            </w:r>
          </w:p>
        </w:tc>
        <w:tc>
          <w:tcPr>
            <w:tcW w:w="280" w:type="dxa"/>
            <w:vAlign w:val="bottom"/>
          </w:tcPr>
          <w:p>
            <w:pPr>
              <w:spacing w:after="0"/>
              <w:rPr>
                <w:sz w:val="17"/>
                <w:szCs w:val="17"/>
                <w:color w:val="auto"/>
              </w:rPr>
            </w:pPr>
          </w:p>
        </w:tc>
        <w:tc>
          <w:tcPr>
            <w:tcW w:w="6420" w:type="dxa"/>
            <w:vAlign w:val="bottom"/>
          </w:tcPr>
          <w:p>
            <w:pPr>
              <w:spacing w:after="0" w:line="197" w:lineRule="exact"/>
              <w:rPr>
                <w:sz w:val="20"/>
                <w:szCs w:val="20"/>
                <w:color w:val="auto"/>
              </w:rPr>
            </w:pPr>
            <w:r>
              <w:rPr>
                <w:rFonts w:ascii="Arial" w:cs="Arial" w:eastAsia="Arial" w:hAnsi="Arial"/>
                <w:sz w:val="18"/>
                <w:szCs w:val="18"/>
                <w:color w:val="auto"/>
              </w:rPr>
              <w:t>Rigid and Articulated Dump Truck</w:t>
            </w:r>
          </w:p>
        </w:tc>
      </w:tr>
      <w:tr>
        <w:trPr>
          <w:trHeight w:val="202"/>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Underground Mine Truck</w:t>
            </w:r>
          </w:p>
        </w:tc>
      </w:tr>
      <w:tr>
        <w:trPr>
          <w:trHeight w:val="235"/>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Well Service Rigs</w:t>
            </w:r>
          </w:p>
        </w:tc>
      </w:tr>
      <w:tr>
        <w:trPr>
          <w:trHeight w:val="197"/>
        </w:trPr>
        <w:tc>
          <w:tcPr>
            <w:tcW w:w="4000" w:type="dxa"/>
            <w:vAlign w:val="bottom"/>
            <w:shd w:val="clear" w:color="auto" w:fill="CFF0FC"/>
          </w:tcPr>
          <w:p>
            <w:pPr>
              <w:jc w:val="center"/>
              <w:spacing w:after="0" w:line="197" w:lineRule="exact"/>
              <w:rPr>
                <w:sz w:val="20"/>
                <w:szCs w:val="20"/>
                <w:color w:val="auto"/>
              </w:rPr>
            </w:pPr>
            <w:r>
              <w:rPr>
                <w:rFonts w:ascii="Arial" w:cs="Arial" w:eastAsia="Arial" w:hAnsi="Arial"/>
                <w:sz w:val="18"/>
                <w:szCs w:val="18"/>
                <w:color w:val="auto"/>
                <w:w w:val="99"/>
              </w:rPr>
              <w:t>8000 Series</w:t>
            </w:r>
          </w:p>
        </w:tc>
        <w:tc>
          <w:tcPr>
            <w:tcW w:w="280" w:type="dxa"/>
            <w:vAlign w:val="bottom"/>
            <w:shd w:val="clear" w:color="auto" w:fill="CFF0FC"/>
          </w:tcPr>
          <w:p>
            <w:pPr>
              <w:spacing w:after="0"/>
              <w:rPr>
                <w:sz w:val="17"/>
                <w:szCs w:val="17"/>
                <w:color w:val="auto"/>
              </w:rPr>
            </w:pPr>
          </w:p>
        </w:tc>
        <w:tc>
          <w:tcPr>
            <w:tcW w:w="642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Hydraulic Fracturing Equipment</w:t>
            </w:r>
          </w:p>
        </w:tc>
      </w:tr>
      <w:tr>
        <w:trPr>
          <w:trHeight w:val="235"/>
        </w:trPr>
        <w:tc>
          <w:tcPr>
            <w:tcW w:w="4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Rigid Dump Trucks</w:t>
            </w:r>
          </w:p>
        </w:tc>
      </w:tr>
      <w:tr>
        <w:trPr>
          <w:trHeight w:val="197"/>
        </w:trPr>
        <w:tc>
          <w:tcPr>
            <w:tcW w:w="4000" w:type="dxa"/>
            <w:vAlign w:val="bottom"/>
          </w:tcPr>
          <w:p>
            <w:pPr>
              <w:jc w:val="center"/>
              <w:spacing w:after="0" w:line="197" w:lineRule="exact"/>
              <w:rPr>
                <w:sz w:val="20"/>
                <w:szCs w:val="20"/>
                <w:color w:val="auto"/>
              </w:rPr>
            </w:pPr>
            <w:r>
              <w:rPr>
                <w:rFonts w:ascii="Arial" w:cs="Arial" w:eastAsia="Arial" w:hAnsi="Arial"/>
                <w:sz w:val="18"/>
                <w:szCs w:val="18"/>
                <w:color w:val="auto"/>
                <w:w w:val="99"/>
              </w:rPr>
              <w:t>9000 Series</w:t>
            </w:r>
          </w:p>
        </w:tc>
        <w:tc>
          <w:tcPr>
            <w:tcW w:w="280" w:type="dxa"/>
            <w:vAlign w:val="bottom"/>
          </w:tcPr>
          <w:p>
            <w:pPr>
              <w:spacing w:after="0"/>
              <w:rPr>
                <w:sz w:val="17"/>
                <w:szCs w:val="17"/>
                <w:color w:val="auto"/>
              </w:rPr>
            </w:pPr>
          </w:p>
        </w:tc>
        <w:tc>
          <w:tcPr>
            <w:tcW w:w="6420" w:type="dxa"/>
            <w:vAlign w:val="bottom"/>
          </w:tcPr>
          <w:p>
            <w:pPr>
              <w:spacing w:after="0" w:line="197" w:lineRule="exact"/>
              <w:rPr>
                <w:sz w:val="20"/>
                <w:szCs w:val="20"/>
                <w:color w:val="auto"/>
              </w:rPr>
            </w:pPr>
            <w:r>
              <w:rPr>
                <w:rFonts w:ascii="Arial" w:cs="Arial" w:eastAsia="Arial" w:hAnsi="Arial"/>
                <w:sz w:val="18"/>
                <w:szCs w:val="18"/>
                <w:color w:val="auto"/>
              </w:rPr>
              <w:t>Hydraulic Fracturing Equipment</w:t>
            </w:r>
          </w:p>
        </w:tc>
      </w:tr>
      <w:tr>
        <w:trPr>
          <w:trHeight w:val="235"/>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Rigid Dump Trucks</w:t>
            </w:r>
          </w:p>
        </w:tc>
      </w:tr>
      <w:tr>
        <w:trPr>
          <w:trHeight w:val="243"/>
        </w:trPr>
        <w:tc>
          <w:tcPr>
            <w:tcW w:w="4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FracTran</w:t>
            </w:r>
          </w:p>
        </w:tc>
        <w:tc>
          <w:tcPr>
            <w:tcW w:w="280" w:type="dxa"/>
            <w:vAlign w:val="bottom"/>
            <w:shd w:val="clear" w:color="auto" w:fill="CFF0FC"/>
          </w:tcPr>
          <w:p>
            <w:pPr>
              <w:spacing w:after="0"/>
              <w:rPr>
                <w:sz w:val="21"/>
                <w:szCs w:val="21"/>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Hydraulic Fracturing Equipment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45020" cy="779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020" cy="779145"/>
                    </a:xfrm>
                    <a:prstGeom prst="rect">
                      <a:avLst/>
                    </a:prstGeom>
                    <a:noFill/>
                  </pic:spPr>
                </pic:pic>
              </a:graphicData>
            </a:graphic>
          </wp:anchor>
        </w:drawing>
      </w:r>
    </w:p>
    <w:p>
      <w:pPr>
        <w:spacing w:after="0" w:line="358"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Defense Products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Pr>
          <w:p>
            <w:pPr>
              <w:spacing w:after="0"/>
              <w:rPr>
                <w:sz w:val="18"/>
                <w:szCs w:val="18"/>
                <w:color w:val="auto"/>
              </w:rPr>
            </w:pPr>
          </w:p>
        </w:tc>
        <w:tc>
          <w:tcPr>
            <w:tcW w:w="400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Product</w:t>
            </w:r>
          </w:p>
        </w:tc>
        <w:tc>
          <w:tcPr>
            <w:tcW w:w="260" w:type="dxa"/>
            <w:vAlign w:val="bottom"/>
          </w:tcPr>
          <w:p>
            <w:pPr>
              <w:spacing w:after="0"/>
              <w:rPr>
                <w:sz w:val="18"/>
                <w:szCs w:val="18"/>
                <w:color w:val="auto"/>
              </w:rPr>
            </w:pPr>
          </w:p>
        </w:tc>
        <w:tc>
          <w:tcPr>
            <w:tcW w:w="644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Applications</w:t>
            </w:r>
          </w:p>
        </w:tc>
        <w:tc>
          <w:tcPr>
            <w:tcW w:w="26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4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X200</w:t>
            </w:r>
          </w:p>
        </w:tc>
        <w:tc>
          <w:tcPr>
            <w:tcW w:w="260" w:type="dxa"/>
            <w:vAlign w:val="bottom"/>
            <w:shd w:val="clear" w:color="auto" w:fill="CFF0FC"/>
          </w:tcPr>
          <w:p>
            <w:pPr>
              <w:spacing w:after="0"/>
              <w:rPr>
                <w:sz w:val="19"/>
                <w:szCs w:val="19"/>
                <w:color w:val="auto"/>
              </w:rPr>
            </w:pPr>
          </w:p>
        </w:tc>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Tracked Vehicles</w:t>
            </w:r>
          </w:p>
        </w:tc>
        <w:tc>
          <w:tcPr>
            <w:tcW w:w="260" w:type="dxa"/>
            <w:vAlign w:val="bottom"/>
            <w:tcBorders>
              <w:right w:val="single" w:sz="8" w:color="auto"/>
            </w:tcBorders>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rPr>
              <w:t>3040MX</w:t>
            </w:r>
          </w:p>
        </w:tc>
        <w:tc>
          <w:tcPr>
            <w:tcW w:w="26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Tracked Vehicles</w:t>
            </w:r>
          </w:p>
        </w:tc>
        <w:tc>
          <w:tcPr>
            <w:tcW w:w="260" w:type="dxa"/>
            <w:vAlign w:val="bottom"/>
            <w:tcBorders>
              <w:right w:val="single" w:sz="8" w:color="auto"/>
            </w:tcBorders>
          </w:tcPr>
          <w:p>
            <w:pPr>
              <w:spacing w:after="0"/>
              <w:rPr>
                <w:sz w:val="19"/>
                <w:szCs w:val="19"/>
                <w:color w:val="auto"/>
              </w:rPr>
            </w:pPr>
          </w:p>
        </w:tc>
      </w:tr>
      <w:tr>
        <w:trPr>
          <w:trHeight w:val="229"/>
        </w:trPr>
        <w:tc>
          <w:tcPr>
            <w:tcW w:w="28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X1100</w:t>
            </w:r>
          </w:p>
        </w:tc>
        <w:tc>
          <w:tcPr>
            <w:tcW w:w="260" w:type="dxa"/>
            <w:vAlign w:val="bottom"/>
            <w:tcBorders>
              <w:bottom w:val="single" w:sz="8" w:color="auto"/>
            </w:tcBorders>
            <w:shd w:val="clear" w:color="auto" w:fill="CFF0FC"/>
          </w:tcPr>
          <w:p>
            <w:pPr>
              <w:spacing w:after="0"/>
              <w:rPr>
                <w:sz w:val="19"/>
                <w:szCs w:val="19"/>
                <w:color w:val="auto"/>
              </w:rPr>
            </w:pPr>
          </w:p>
        </w:tc>
        <w:tc>
          <w:tcPr>
            <w:tcW w:w="64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Tracked Vehicles</w:t>
            </w:r>
          </w:p>
        </w:tc>
        <w:tc>
          <w:tcPr>
            <w:tcW w:w="260" w:type="dxa"/>
            <w:vAlign w:val="bottom"/>
            <w:tcBorders>
              <w:bottom w:val="single" w:sz="8" w:color="auto"/>
              <w:right w:val="single" w:sz="8" w:color="auto"/>
            </w:tcBorders>
          </w:tcPr>
          <w:p>
            <w:pPr>
              <w:spacing w:after="0"/>
              <w:rPr>
                <w:sz w:val="19"/>
                <w:szCs w:val="19"/>
                <w:color w:val="auto"/>
              </w:rPr>
            </w:pPr>
          </w:p>
        </w:tc>
      </w:tr>
      <w:tr>
        <w:trPr>
          <w:trHeight w:val="645"/>
        </w:trPr>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700" w:type="dxa"/>
            <w:vAlign w:val="bottom"/>
            <w:gridSpan w:val="2"/>
          </w:tcPr>
          <w:p>
            <w:pPr>
              <w:jc w:val="right"/>
              <w:ind w:right="517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r>
      <w:tr>
        <w:trPr>
          <w:trHeight w:val="97"/>
        </w:trPr>
        <w:tc>
          <w:tcPr>
            <w:tcW w:w="28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Engineering</w:t>
      </w:r>
    </w:p>
    <w:p>
      <w:pPr>
        <w:spacing w:after="0" w:line="157"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We maintain product development and engineering capability dedicated to the design, development, refinement and support of our fully automatic transmissions and electric hybrid and fully electric 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and reduced emissions, we provide vehicle specification guidelines, propulsion control software and mechanical components to optimize fuel economy while delivering desired vehicle performance.</w:t>
      </w:r>
    </w:p>
    <w:p>
      <w:pPr>
        <w:spacing w:after="0" w:line="128"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Further, we are developing new products and technology to improve the fuel efficiency and fuel economy of our conventional products, including by allowing engines to operate more efficiently and at lower speeds to avoid consuming fuel without compromising performance, and to expand our portfolio of electric hybrid and fully electric propulsion solutions. Some examples of these development efforts in 2022 include the expansion of our eGen portfolio of electric propulsion solutions through the addition of the 130S fully electric axle and the eGen Flex, our next generation electric hybrid system capable of full electric vehicle operation for up to 50% of a bus’s route depending on duty-cycle. Our product development and engineering efforts in 2022 also extended into our off-highway and Defense end-markets through the launch of FracTran, a more efficient and higher-horsepower hydraulic fracturing transmission, and the development of eGen Force, a new cross-drive transmission for tracked applications that enables electric hybrid propulsion and electric only silent maneuverability. In 2022, we also began production of our next generation of electronic controls that are capable of delivering advanced communications, functional safety, cybersecurity and over-the-air programming.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Organization</w:t>
      </w:r>
    </w:p>
    <w:p>
      <w:pPr>
        <w:spacing w:after="0" w:line="157"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Our sales and marketing effort is organized along geographic and customer lines and is comprised of marketing, sales and service professionals, supported by application engineers worldwide. In North America, selling efforts in the on-highway end market are organized by distributor area responsibility, OEM sales and, for our large end users, national accounts. Outside North America, we manage our sales, marketing, service and application engineering professionals through regional areas of responsibility. These regional management teams distribute OEM service and application engineering resources globally. We manage our defense products sales, marketing and service geographically, with North America and Outside North America sales supported by application engineering through professionals based in Indianapolis, Indiana.</w:t>
      </w:r>
    </w:p>
    <w:p>
      <w:pPr>
        <w:spacing w:after="0" w:line="129" w:lineRule="exact"/>
        <w:rPr>
          <w:sz w:val="20"/>
          <w:szCs w:val="20"/>
          <w:color w:val="auto"/>
        </w:rPr>
      </w:pPr>
    </w:p>
    <w:p>
      <w:pPr>
        <w:ind w:right="220" w:firstLine="494"/>
        <w:spacing w:after="0" w:line="246" w:lineRule="auto"/>
        <w:rPr>
          <w:sz w:val="20"/>
          <w:szCs w:val="20"/>
          <w:color w:val="auto"/>
        </w:rPr>
      </w:pPr>
      <w:r>
        <w:rPr>
          <w:rFonts w:ascii="Arial" w:cs="Arial" w:eastAsia="Arial" w:hAnsi="Arial"/>
          <w:sz w:val="18"/>
          <w:szCs w:val="18"/>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our Indianapolis test track and our enhanced customer experience demonstration track at our Hungary facility.</w:t>
      </w:r>
    </w:p>
    <w:p>
      <w:pPr>
        <w:spacing w:after="0" w:line="122" w:lineRule="exact"/>
        <w:rPr>
          <w:sz w:val="20"/>
          <w:szCs w:val="20"/>
          <w:color w:val="auto"/>
        </w:rPr>
      </w:pPr>
    </w:p>
    <w:p>
      <w:pPr>
        <w:ind w:right="380" w:firstLine="494"/>
        <w:spacing w:after="0" w:line="271"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propulsion solutions through:</w:t>
      </w:r>
    </w:p>
    <w:p>
      <w:pPr>
        <w:spacing w:after="0" w:line="99" w:lineRule="exact"/>
        <w:rPr>
          <w:sz w:val="20"/>
          <w:szCs w:val="20"/>
          <w:color w:val="auto"/>
        </w:rPr>
      </w:pPr>
    </w:p>
    <w:p>
      <w:pPr>
        <w:ind w:left="760" w:hanging="191"/>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OEM promotion of our products and incorporation of our propulsion solutions in their commercial vehicle product offerings;</w:t>
      </w:r>
    </w:p>
    <w:p>
      <w:pPr>
        <w:spacing w:after="0" w:line="25" w:lineRule="exact"/>
        <w:rPr>
          <w:rFonts w:ascii="Times New Roman" w:cs="Times New Roman" w:eastAsia="Times New Roman" w:hAnsi="Times New Roman"/>
          <w:sz w:val="18"/>
          <w:szCs w:val="18"/>
          <w:color w:val="auto"/>
        </w:rPr>
      </w:pPr>
    </w:p>
    <w:p>
      <w:pPr>
        <w:ind w:left="760" w:hanging="191"/>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7" w:lineRule="exact"/>
        <w:rPr>
          <w:rFonts w:ascii="Times New Roman" w:cs="Times New Roman" w:eastAsia="Times New Roman" w:hAnsi="Times New Roman"/>
          <w:sz w:val="18"/>
          <w:szCs w:val="18"/>
          <w:color w:val="auto"/>
        </w:rPr>
      </w:pPr>
    </w:p>
    <w:p>
      <w:pPr>
        <w:ind w:left="760" w:hanging="191"/>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network of independent dealers who contact other end users.</w:t>
      </w:r>
    </w:p>
    <w:p>
      <w:pPr>
        <w:spacing w:after="0" w:line="152"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The process is interactive, as Allison representatives, Allison distributors, OEMs and dealers educate customers and respond to the specific applications, requirements and needs of numerous specialty markets.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80" w:firstLine="494"/>
        <w:spacing w:after="0" w:line="243" w:lineRule="auto"/>
        <w:rPr>
          <w:sz w:val="20"/>
          <w:szCs w:val="20"/>
          <w:color w:val="auto"/>
        </w:rPr>
      </w:pPr>
      <w:r>
        <w:rPr>
          <w:rFonts w:ascii="Arial" w:cs="Arial" w:eastAsia="Arial" w:hAnsi="Arial"/>
          <w:sz w:val="18"/>
          <w:szCs w:val="18"/>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group focuses on industry OEMs and collaborative dialogue with OEMs and government leaders to understand program requirements and determine our long-term product development strategy.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57"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six plants. Our high volume on-highway products are produced in multiple global locations (United States, Chennai, India and Szentgotthard, Hungary), while off-highway, electric hybrid propulsion and defense tracked products are produced in Indianapolis and fully electric propulsion solutions are produced in Auburn Hills, Michigan. In addition, our aluminum die cast components are produced in Lewisburg, Tennessee. We also have established customization and parts distribution in the United States, the Netherlands, Brazil, China, Hungary, India and Japan.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Raw Materials</w:t>
      </w:r>
    </w:p>
    <w:p>
      <w:pPr>
        <w:spacing w:after="0" w:line="157"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A significant amount of the part numbers that make up our propulsion solutions are purchased from outside suppliers, and during 2022, we purchased approximately $969 million of direct materials and components from outside suppliers. The largest elements of our direct spending are aluminum and steel castings and forgings that are formed by our suppliers into our larger components and assemblies for use in our propulsion solutions. Our spending on aluminum and steel raw materials directly and indirectly through our purchase of these components constituted approximately 22% of our direct material and component costs in 2022.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quality.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7"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Patents, trademarks,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our proprietary information. We own and have licensing arrangements for a number of U.S. and foreign patents related to our products and business. We do not consider our business to be dependent on any single patent, nor will the expiration of any single patent materially affect our business. Our current patents will expire over various periods and we continue to file new patent applications on newly-developed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7"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Due to ongoing supply chain and labor constraints caused by global economic volatility, the war in Ukraine and the COVID-19 pandemic, demand for our products may not align with the demand we have experienced during typical market conditions.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7" w:lineRule="exact"/>
        <w:rPr>
          <w:sz w:val="20"/>
          <w:szCs w:val="20"/>
          <w:color w:val="auto"/>
        </w:rPr>
      </w:pPr>
    </w:p>
    <w:p>
      <w:pPr>
        <w:ind w:right="380" w:firstLine="494"/>
        <w:spacing w:after="0" w:line="252" w:lineRule="auto"/>
        <w:rPr>
          <w:sz w:val="20"/>
          <w:szCs w:val="20"/>
          <w:color w:val="auto"/>
        </w:rPr>
      </w:pPr>
      <w:r>
        <w:rPr>
          <w:rFonts w:ascii="Arial" w:cs="Arial" w:eastAsia="Arial" w:hAnsi="Arial"/>
          <w:sz w:val="18"/>
          <w:szCs w:val="18"/>
          <w:color w:val="auto"/>
        </w:rPr>
        <w:t>At Allison, we believe in the power of our people, our processes and our products. For more than 105 years, we have built our business on these values: Quality, Customer Focus, Integrity, Innovation, and Teamwork. We use a variety of human capital measures in managing our business, including: workforce demographics; inclusion and diversity; and employee health and safety.</w:t>
      </w:r>
    </w:p>
    <w:p>
      <w:pPr>
        <w:spacing w:after="0" w:line="117"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b w:val="1"/>
          <w:bCs w:val="1"/>
          <w:i w:val="1"/>
          <w:iCs w:val="1"/>
          <w:color w:val="auto"/>
        </w:rPr>
        <w:t>Workforce Demographics</w:t>
      </w:r>
      <w:r>
        <w:rPr>
          <w:rFonts w:ascii="Arial" w:cs="Arial" w:eastAsia="Arial" w:hAnsi="Arial"/>
          <w:sz w:val="18"/>
          <w:szCs w:val="18"/>
          <w:color w:val="auto"/>
        </w:rPr>
        <w:t>. Our people continue to be a critical component in our continued success, the delivery of our values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execution of our growth initiatives. As of December 31, 2022, we had a highly skilled workforce of approximately 3,500 employees, with approximately 89% of those employees in the U.S. Approximately 46% of our U.S. employees are represented by the International Union, United Automobile, Aerospace and Agricultural Implement Workers of America (“UAW”) and are subject to a collective bargaining agreement. In December 2017, we entered into a six-year collective bargaining agreement with UAW Local 933 that expires in November 2023. There have been no strikes or work stoppages due to Allison-specific issues in over 40 years.</w:t>
      </w:r>
    </w:p>
    <w:p>
      <w:pPr>
        <w:spacing w:after="0" w:line="128"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b w:val="1"/>
          <w:bCs w:val="1"/>
          <w:i w:val="1"/>
          <w:iCs w:val="1"/>
          <w:color w:val="auto"/>
        </w:rPr>
        <w:t>Inclusion and Diversity</w:t>
      </w:r>
      <w:r>
        <w:rPr>
          <w:rFonts w:ascii="Arial" w:cs="Arial" w:eastAsia="Arial" w:hAnsi="Arial"/>
          <w:sz w:val="18"/>
          <w:szCs w:val="18"/>
          <w:color w:val="auto"/>
        </w:rPr>
        <w:t>. Allison recognizes the power of different thought, accepts and respects each individual and strives to create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inclusive workplace where everyone can reach their full potential, driving innovation and business results. Our inclusion and diversity efforts in 2022 included the participation by employees in unconscious bias training, continuing our speaker series to facilitate dialogue about inclusion and diversity, continuing to increase our focus on the recruitment of underrepresented groups including by participating in career fairs with Historically Black Colleges and Universities, Hispanic institutions, veterans and people with disabilities and continuing our virtual mentoring program to connect team members from different offices, departments and backgrounds.</w:t>
      </w:r>
    </w:p>
    <w:p>
      <w:pPr>
        <w:spacing w:after="0" w:line="169" w:lineRule="exact"/>
        <w:rPr>
          <w:sz w:val="20"/>
          <w:szCs w:val="20"/>
          <w:color w:val="auto"/>
        </w:rPr>
      </w:pPr>
    </w:p>
    <w:p>
      <w:pPr>
        <w:ind w:right="80" w:firstLine="494"/>
        <w:spacing w:after="0" w:line="265" w:lineRule="auto"/>
        <w:rPr>
          <w:sz w:val="20"/>
          <w:szCs w:val="20"/>
          <w:color w:val="auto"/>
        </w:rPr>
      </w:pPr>
      <w:r>
        <w:rPr>
          <w:rFonts w:ascii="Arial" w:cs="Arial" w:eastAsia="Arial" w:hAnsi="Arial"/>
          <w:sz w:val="17"/>
          <w:szCs w:val="17"/>
          <w:b w:val="1"/>
          <w:bCs w:val="1"/>
          <w:i w:val="1"/>
          <w:iCs w:val="1"/>
          <w:color w:val="auto"/>
        </w:rPr>
        <w:t>Employee Health &amp; Safety</w:t>
      </w:r>
      <w:r>
        <w:rPr>
          <w:rFonts w:ascii="Arial" w:cs="Arial" w:eastAsia="Arial" w:hAnsi="Arial"/>
          <w:sz w:val="17"/>
          <w:szCs w:val="17"/>
          <w:color w:val="auto"/>
        </w:rPr>
        <w:t>. Allison’s overriding priority is to protect the health and safety of each employee. As part of our health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safety programs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employees participate in training focused on this topic and metrics are reviewed regularly, including the number of injury incidents that occur and those incidents that result in lost work days. For 2022, we achieved an overall recordable rate of 2.26, meaning that for every 100 employees, 2.26 employees incurred an injury that resulted in recordable medical treatment and the number of lost work days was 0.87, meaning that for every 100 employees, 0.87 individuals experienced an incident that resulted in days away from work.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57"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We are subject to a variety of federal, state, local and foreign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has taken action to control greenhouse gases from certain stationary and mobile sources. In addition, several states have taken steps, such as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29"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7"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We compete on the basis of product performance, quality, price, distribution capability, service and fuel efficiency, in addition to other factors. We face competition from numerous manufacturers of various types of propulsion solutions for commercial vehicles. Furthermore, we face an increasing amount of competition from vertical integration, as some of our customers are OEMs that manufacture propulsion solutions for their own products. Despite their propulsion solutions manufacturing capabilities, we believe that our existing OEM customers have chosen to purchase certain propulsion solutions from us due to the quality, reliability and strong brand of our propulsion solutions and in order to limit fixed costs, minimize production risks and maintain company focus on commercial vehicle design, production and marketing.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57"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(the “Exchange Act”). These periodic and current reports and all amendments to those reports are available free of charge on the investor relations page of our website at https://ir.allisontransmission.com as soon as reasonably practicable after we electronically file them with, or furnish them to, the SEC. We have included our website address throughout this filing as textual references only. The information contained on, or accessible through, our website is not incorporated into this Annual Report on Form 10-K. The SEC also maintains an Internet site that contains reports, proxy and information statements, and other information regarding issuers that file electronically with the SEC at http://www.sec.gov.</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9" w:lineRule="exact"/>
        <w:rPr>
          <w:sz w:val="20"/>
          <w:szCs w:val="20"/>
          <w:color w:val="auto"/>
        </w:rPr>
      </w:pPr>
    </w:p>
    <w:p>
      <w:pPr>
        <w:ind w:right="220" w:firstLine="562"/>
        <w:spacing w:after="0" w:line="251" w:lineRule="auto"/>
        <w:rPr>
          <w:sz w:val="20"/>
          <w:szCs w:val="20"/>
          <w:color w:val="auto"/>
        </w:rPr>
      </w:pPr>
      <w:r>
        <w:rPr>
          <w:rFonts w:ascii="Arial" w:cs="Arial" w:eastAsia="Arial" w:hAnsi="Arial"/>
          <w:sz w:val="18"/>
          <w:szCs w:val="18"/>
          <w:i w:val="1"/>
          <w:iCs w:val="1"/>
          <w:color w:val="auto"/>
        </w:rPr>
        <w:t>The following is a cautionary discussion of risks, uncertainties and assumptions that we believe are material to our business. In addition to the factors discussed elsewhere in this Annual Report on Form 10-K, the following are the material factors that, individually or in the aggregate, we believe could make our actual results differ materially from those described in any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13"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8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Our business operates in competitive markets. We compete against other existing or new global manufacturers of transmissions and propulsion solutions for commercial vehicles on the basis of product performance, quality, price, distribution capability, service and fuel efficiency in addition to other factors. In addition, we compete with manufacturers developing alternative technologies, including fully electric propulsion solutions, that may or may not require a transmission. A focus on climate change and environmental sustainability, including through regulations enacted and subsidies offered by governmental entities, continues to drive the development and adoption of various alternative technologies, including electric propulsion solutions, in the commercial vehicle industry. If the pace of adoption of electric vehicles proceeds faster than we are anticipating, we may not be in a position to meet customer demand or our competitors may be better positioned to meet customer demand, which may result in a decline in our market share or negatively impact our ability to execute our growth initiatives. Actions by our competitors or accelerated adoption of electric vehicles, in particular if our competitors are able to develop, validate and release new technologies more quickly than we do, could also lead to downward pressure on prices and/or a decline in our market share, either or both of which could adversely affect our results.</w:t>
      </w:r>
    </w:p>
    <w:p>
      <w:pPr>
        <w:spacing w:after="0" w:line="129"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In addition, some of our customers or future customers are OEMs that manufacture or could in the future manufacture transmissions, propulsion solutions or alternate technologies, including electric propulsion solutions, for their own products. Despite their manufacturing capabilities, our existing OEM customers have chosen to purchase certain transmissions and propulsion solutions from us due to end user demand.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or propulsion solution manufacturer, the inability of third-party suppliers to meet specifications and the emergence of low-cost production opportunities in foreign countries. As a result, these OEMs may use products produced internally or by another manufacturer and no longer choose to purchase products from us. A significant reduction in the level of external sourcing by our OEM customers could significantly impact our net sales and cash flows and, accordingly, have a material adverse effect on our business, results of operations and financial condition.</w:t>
      </w:r>
    </w:p>
    <w:p>
      <w:pPr>
        <w:spacing w:after="0" w:line="188"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Increases in cost, disruption of supply or shortage of raw materials or components used in our products could harm our business and profitability.</w:t>
      </w:r>
    </w:p>
    <w:p>
      <w:pPr>
        <w:spacing w:after="0" w:line="85"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The prices for and availability of these raw materials fluctuate depending on market conditions. Volatility in the prices of raw materials such as steel, aluminum and nickel could increase the cost of manufacturing our products. Additionally, our suppliers are also subject to fluctuations in the prices of raw materials and may attempt to pass all or a portion of such increases on to us. In the event they are successful in doing so, our margins would decline. Industry-wide shortages of raw materials have continued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occur in 2022, which led to increased raw material price volatility and cost increases, which we expect to continue in 2023.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as the recovery of these costs from customers generally lags six to twelve months.</w:t>
      </w:r>
    </w:p>
    <w:p>
      <w:pPr>
        <w:spacing w:after="0" w:line="122"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In 2022, approximately 75% of our total spending on components was sourced from approximately 40 suppliers, many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w:t>
      </w:r>
    </w:p>
    <w:p>
      <w:pPr>
        <w:spacing w:after="0" w:line="127"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We have experienced, and expect to continue to experience, delays in the availability and receipt of raw materials and component parts as a result of global economic uncertainty, the war in Ukraine and the COVID-19 pandemic, some of which have materially impacted, and may continue to materially impact, our ability to meet customer demand.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and extreme weather events which may increase in frequency and intensity as a result of climate change, power outages, labor strikes and public health crisis such as pandemics and epidemics or the like could negatively impact our business, results of operations and financial condition. Although we have agreements with many of our customers that we will pass such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or component parts from suppliers is delayed or non-conforming, our operations could be disrupted, we may not be able to meet customer demand, and our profitability and our financial results may be materially impacted.</w:t>
      </w:r>
    </w:p>
    <w:p>
      <w:pPr>
        <w:spacing w:after="0" w:line="190"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Labor cost inflation, employee attraction and retention or labor unrest could have an adverse effect on our business, results of operations and financial condition.</w:t>
      </w:r>
    </w:p>
    <w:p>
      <w:pPr>
        <w:spacing w:after="0" w:line="85"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As of December 31, 2022, approximately 46% of our U.S. employees, representing approximately 41% of our total employees, were represented by the UAW and are subject to a collective bargaining agreement. Our current collective bargaining agreement with UAW Local 933 is effective through November 2023. Any new collective bargaining agreement we negotiate with the UAW to replace the existing collective bargaining agreement upon its expiration may result in increased costs to us, in particular labor costs, which could have an adverse effect on our results of operations. 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jc w:val="both"/>
        <w:ind w:right="420" w:firstLine="494"/>
        <w:spacing w:after="0" w:line="252" w:lineRule="auto"/>
        <w:rPr>
          <w:sz w:val="20"/>
          <w:szCs w:val="20"/>
          <w:color w:val="auto"/>
        </w:rPr>
      </w:pPr>
      <w:r>
        <w:rPr>
          <w:rFonts w:ascii="Arial" w:cs="Arial" w:eastAsia="Arial" w:hAnsi="Arial"/>
          <w:sz w:val="18"/>
          <w:szCs w:val="18"/>
          <w:color w:val="auto"/>
        </w:rPr>
        <w:t>In general, we consider our labor relations with all of our employees to be good. However, in the future we may be subject to labor unrest.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17"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Our success depends on our ability to identify, recruit and retain highly skilled, qualified personnel, and there is currently increased competition for talent. We have experienced labor shortages and wage inflation amid low levels of unemployment and workforce availability. As a result, we may not be able to attract and retain qualified personnel, which may impact our ability to manufacture, design and develop our propulsion solutions and to compete effectively. In addition, we may continue to experience increased labor costs, which may impact our results of operations.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Prolonged inflation could result in higher costs and decreased margins and earnings.</w:t>
      </w:r>
    </w:p>
    <w:p>
      <w:pPr>
        <w:spacing w:after="0" w:line="155" w:lineRule="exact"/>
        <w:rPr>
          <w:sz w:val="20"/>
          <w:szCs w:val="20"/>
          <w:color w:val="auto"/>
        </w:rPr>
      </w:pPr>
    </w:p>
    <w:p>
      <w:pPr>
        <w:ind w:right="320" w:firstLine="494"/>
        <w:spacing w:after="0" w:line="246" w:lineRule="auto"/>
        <w:rPr>
          <w:sz w:val="20"/>
          <w:szCs w:val="20"/>
          <w:color w:val="auto"/>
        </w:rPr>
      </w:pPr>
      <w:r>
        <w:rPr>
          <w:rFonts w:ascii="Arial" w:cs="Arial" w:eastAsia="Arial" w:hAnsi="Arial"/>
          <w:sz w:val="18"/>
          <w:szCs w:val="18"/>
          <w:color w:val="auto"/>
        </w:rPr>
        <w:t>Recent inflationary pressures have resulted in increased raw material, labor, energy, freight and logistics expenses and other costs, which impacted our margins in 2022 and may continue to adversely affect our results of operations. If our costs are subject to continuing significant inflationary pressures, we may not be able to fully offset such higher costs through price increases. Our inability to do so could harm our results of operation.</w:t>
      </w:r>
    </w:p>
    <w:p>
      <w:pPr>
        <w:spacing w:after="0" w:line="178" w:lineRule="exact"/>
        <w:rPr>
          <w:sz w:val="20"/>
          <w:szCs w:val="20"/>
          <w:color w:val="auto"/>
        </w:rPr>
      </w:pPr>
    </w:p>
    <w:p>
      <w:pPr>
        <w:ind w:left="380"/>
        <w:spacing w:after="0" w:line="256" w:lineRule="auto"/>
        <w:rPr>
          <w:sz w:val="20"/>
          <w:szCs w:val="20"/>
          <w:color w:val="auto"/>
        </w:rPr>
      </w:pPr>
      <w:r>
        <w:rPr>
          <w:rFonts w:ascii="Arial" w:cs="Arial" w:eastAsia="Arial" w:hAnsi="Arial"/>
          <w:sz w:val="18"/>
          <w:szCs w:val="18"/>
          <w:b w:val="1"/>
          <w:bCs w:val="1"/>
          <w:i w:val="1"/>
          <w:iCs w:val="1"/>
          <w:color w:val="auto"/>
        </w:rPr>
        <w:t>Geopolitical risks, including the war in Ukraine, may have an adverse effect on our results of operations and financial conditions, including on the availability of raw materials for our products or component parts, our supply chain, our customers and our long-term sales opportunities.</w:t>
      </w:r>
    </w:p>
    <w:p>
      <w:pPr>
        <w:spacing w:after="0" w:line="104"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Political, economic and other conditions in foreign countries and regions, including geopolitical risks such as escalating tensions between China and western countries and the current conflict between Russia and Ukraine, may have an adverse effect on our results of operations and financial condition. As a result of Russia’s invasion of Ukraine and actions by the U.S. and other governments to implement sanctions against Russia, as well as certain businesses, individuals and banks in Russia, we have suspended indefinitely all sales and exports of our products to customers in Russia and Belarus and Russian- and Belarusian-affiliated, owned or controlled entities. These actions did not have a material impact on our net sales in 2022 and are not expected to have a material impact on our net sales in 2023. However, the duration of the war in Ukraine, its impact on the regional and global economy, and the breadth, severity and duration of sanctions imposed by the U.S. and other governments is uncertain. An extended war could impact our ability or those of our suppliers or customers to obtain certain raw materials or component parts and could limit the availability and cost of energy throughout Europe, which could increase our costs, impact our ability to deliver our products or reduce customer demand. In addition, certain of our competitors may continue to sell products in Russia during this time, which may have a negative impact on our long-term sales opportunities in Russia. Since the beginning of the war in Ukraine, we have also experienced, and may continue to experience, an increase in cybersecurity attacks, which, if successful, may harm our business.</w:t>
      </w:r>
    </w:p>
    <w:p>
      <w:pPr>
        <w:spacing w:after="0" w:line="190"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Volatility in and disruption to the global economic environment, including the impact of an economic recession, and changes in the regulatory and business environments in which we operate may have a material adverse effect on our business, results of operations and financial condition.</w:t>
      </w:r>
    </w:p>
    <w:p>
      <w:pPr>
        <w:spacing w:after="0" w:line="104" w:lineRule="exact"/>
        <w:rPr>
          <w:sz w:val="20"/>
          <w:szCs w:val="20"/>
          <w:color w:val="auto"/>
        </w:rPr>
      </w:pPr>
    </w:p>
    <w:p>
      <w:pPr>
        <w:ind w:right="100" w:firstLine="494"/>
        <w:spacing w:after="0" w:line="241" w:lineRule="auto"/>
        <w:rPr>
          <w:sz w:val="20"/>
          <w:szCs w:val="20"/>
          <w:color w:val="auto"/>
        </w:rPr>
      </w:pPr>
      <w:r>
        <w:rPr>
          <w:rFonts w:ascii="Arial" w:cs="Arial" w:eastAsia="Arial" w:hAnsi="Arial"/>
          <w:sz w:val="18"/>
          <w:szCs w:val="18"/>
          <w:color w:val="auto"/>
        </w:rPr>
        <w:t>Increasing inflation, geopolitical risks and supply chain, labor and energy constraints have caused and may continue to cause volatility in and disruption to the global economic environment. Historically, the commercial vehicle industry as a whole has been more adversely affected by volatile economic conditions, such as a recession, than many other industries, as the purchase or replacement of commercial vehicles, which are durable items, can be deferred for many reasons, including reduced spending by end users. Future changes in the regulatory and business environments in which we operate, including increased geopolitical risks, trade protectionism and tariffs, may adversely affect our ability to sell our products or source materials needed to manufacture our products.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85"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Our financial condition and results of operations have been and may continue to be materially adversely affected by pandemics, including the coronavirus pandemic.</w:t>
      </w:r>
    </w:p>
    <w:p>
      <w:pPr>
        <w:spacing w:after="0" w:line="8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The effects of the COVID-19 pandemic on the global economy continued to have an impact on commercial vehicle production schedules, which impacted the sales of our products and our results of operations during 2022. While we continued to experience a recovery in demand for our products during 2022, ongoing supply chain, labor, raw material, energy, freight and logistics constraints have negatively impacted, and may continue to negatively impact, the sales of our products, costs and our results of operations. In addition, future pandemic-related impacts on the global economy, including inflation, may continue to adversely impact our business and results of operations. The extent to which the COVID-19 pandemic may continue to adversely impact our business depends on future developments, which are highly uncertain and unpredictable, including the severity and duration of the outbreak, emerging variants of the virus that may be more contagious than current variants and the actions taken by governments to contain or mitigate its effects, including the availability, pace of distribution, acceptance of and effectiveness of vaccines. Any future financial impact cannot be estimated reasonably at this time, but may materially adversely affect our business, supply chain, sales, results of operations, financial condition and cash flows.</w:t>
      </w:r>
    </w:p>
    <w:p>
      <w:pPr>
        <w:spacing w:after="0" w:line="188"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104"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Some of the markets in which we operate, including energy, mining, construction, distribution and motorhomes, exhibit a high degree of cyclicality. Decisions to purchase our products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commercial construction and global pandemics,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 adverse effect on our results of operations and financial condition.</w:t>
      </w:r>
    </w:p>
    <w:p>
      <w:pPr>
        <w:spacing w:after="0" w:line="104" w:lineRule="exact"/>
        <w:rPr>
          <w:sz w:val="20"/>
          <w:szCs w:val="20"/>
          <w:color w:val="auto"/>
        </w:rPr>
      </w:pPr>
    </w:p>
    <w:p>
      <w:pPr>
        <w:ind w:right="260" w:firstLine="494"/>
        <w:spacing w:after="0" w:line="258" w:lineRule="auto"/>
        <w:rPr>
          <w:sz w:val="20"/>
          <w:szCs w:val="20"/>
          <w:color w:val="auto"/>
        </w:rPr>
      </w:pPr>
      <w:r>
        <w:rPr>
          <w:rFonts w:ascii="Arial" w:cs="Arial" w:eastAsia="Arial" w:hAnsi="Arial"/>
          <w:sz w:val="17"/>
          <w:szCs w:val="17"/>
          <w:color w:val="auto"/>
        </w:rPr>
        <w:t>We have in the past and may in the future derive a significant portion of our net sales from a relatively limited number of OEM customers. For the years ended December 31, 2022, 2021 and 2020, our top five OEM customers accounted for approximately 51%, 52% and 53% of our net sales, respectively. Our top three customers, Daimler AG, Traton SE and PACCAR Inc., accounted for approximately 20%, 10% and 9%, respectively, of our net sales during 2022.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171" w:lineRule="exact"/>
        <w:rPr>
          <w:sz w:val="20"/>
          <w:szCs w:val="20"/>
          <w:color w:val="auto"/>
        </w:rPr>
      </w:pPr>
    </w:p>
    <w:p>
      <w:pPr>
        <w:ind w:left="380" w:right="360"/>
        <w:spacing w:after="0" w:line="278" w:lineRule="auto"/>
        <w:rPr>
          <w:sz w:val="20"/>
          <w:szCs w:val="20"/>
          <w:color w:val="auto"/>
        </w:rPr>
      </w:pPr>
      <w:r>
        <w:rPr>
          <w:rFonts w:ascii="Arial" w:cs="Arial" w:eastAsia="Arial" w:hAnsi="Arial"/>
          <w:sz w:val="18"/>
          <w:szCs w:val="18"/>
          <w:b w:val="1"/>
          <w:bCs w:val="1"/>
          <w:i w:val="1"/>
          <w:iCs w:val="1"/>
          <w:color w:val="auto"/>
        </w:rPr>
        <w:t>We are subject to cybersecurity risks to operational systems, security systems, or infrastructure owned by Allison or third-party vendors or suppliers.</w:t>
      </w:r>
    </w:p>
    <w:p>
      <w:pPr>
        <w:spacing w:after="0" w:line="85" w:lineRule="exact"/>
        <w:rPr>
          <w:sz w:val="20"/>
          <w:szCs w:val="20"/>
          <w:color w:val="auto"/>
        </w:rPr>
      </w:pPr>
    </w:p>
    <w:p>
      <w:pPr>
        <w:ind w:right="80" w:firstLine="494"/>
        <w:spacing w:after="0" w:line="237" w:lineRule="auto"/>
        <w:rPr>
          <w:sz w:val="20"/>
          <w:szCs w:val="20"/>
          <w:color w:val="auto"/>
        </w:rPr>
      </w:pPr>
      <w:r>
        <w:rPr>
          <w:rFonts w:ascii="Arial" w:cs="Arial" w:eastAsia="Arial" w:hAnsi="Arial"/>
          <w:sz w:val="18"/>
          <w:szCs w:val="18"/>
          <w:color w:val="auto"/>
        </w:rPr>
        <w:t>We are at risk for interruptions, outages, and breaches of: (i) operational systems, including business, financial, accounting, product development, data processing, or manufacturing processes, owned by us or our third-party vendors or suppliers; (ii) facility security systems, owned by us or our third-party vendors or suppliers; and/or (iii) vehicle propulsion control modules or other in-product technology, owned by us or our third-party vendors or suppliers. Such cyber incidents could materially disrupt operational systems; result in loss of intellectual property, trade secrets or other proprietary or competitively sensitive information; compromise personally identifiable information of employees, customers, suppliers, or others; jeopardize the security of our facilities; and/or affect the performance of vehicle propulsion control modules or other in-product technology. A cyber incident could be caused by malicious third parties using sophisticated, targeted methods to circumvent firewalls, encryption, and other security defenses, including hacking, fraud, trickery, or other forms of deception. The techniques used by third parties change frequently and may be difficult to detect for long periods of time. A significant cyber incident could impact production capability, harm our reputation and/or subject us to regulatory actions or litigation, including those as result of global privacy and security regulations, any of which could materially affect our business, results of operations and financial condition. While we utilize a number of measures to prevent, detect and mitigate these threats, including employee education, monitoring of networks and systems, and maintenance of backup and protective systems, there is no guarantee such efforts will be successful in preventing a cyber incident.</w:t>
      </w:r>
    </w:p>
    <w:p>
      <w:pPr>
        <w:spacing w:after="0" w:line="188"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Our sales to the Defense end market are to government entities and contractors for the U.S. and foreign governments, and the loss of a significant number of our contracts, or budgetary declines or future reductions or changes in spending by the U.S. or foreign governments could have a material adverse effect on our results of operations and financial condition.</w:t>
      </w:r>
    </w:p>
    <w:p>
      <w:pPr>
        <w:spacing w:after="0" w:line="104"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Our net sales to the Defense end market are derived from contracts (revenue arrangements) with agencies of, and prime system contractors for, the U.S. government and foreign governments. If a significant number of our Defense contracts and subcontracts are simultaneously delayed or cancelled for budgetary, performance or other reasons, it would have a material adverse effect on our results of operations and financial condition. Approximately 5%, or $146 million, of our net sales for the year ended December 31, 2022 were from our Defense end market.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Our future financial results may be adversely affected by:</w:t>
      </w:r>
    </w:p>
    <w:p>
      <w:pPr>
        <w:spacing w:after="0" w:line="85"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declines in, or uncertainty regarding, U.S. or foreign government defense budgets;</w:t>
      </w:r>
    </w:p>
    <w:p>
      <w:pPr>
        <w:spacing w:after="0" w:line="115" w:lineRule="exact"/>
        <w:rPr>
          <w:rFonts w:ascii="Times New Roman" w:cs="Times New Roman" w:eastAsia="Times New Roman" w:hAnsi="Times New Roman"/>
          <w:sz w:val="18"/>
          <w:szCs w:val="18"/>
          <w:color w:val="auto"/>
        </w:rPr>
      </w:pPr>
    </w:p>
    <w:p>
      <w:pPr>
        <w:ind w:left="1020" w:right="400" w:hanging="504"/>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curtailment of the U.S. government’s use of technology or other services and product providers, including curtailment due to government budget reductions, future government shutdowns and related fiscal matters;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geopolitical developments, including economic sanctions, that affect demand for our products and services;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technological developments that impact purchasing decisions or our competitive position;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regulatory requirements for defense contractors.</w:t>
      </w:r>
    </w:p>
    <w:p>
      <w:pPr>
        <w:spacing w:after="0" w:line="226" w:lineRule="exact"/>
        <w:rPr>
          <w:sz w:val="20"/>
          <w:szCs w:val="20"/>
          <w:color w:val="auto"/>
        </w:rPr>
      </w:pPr>
    </w:p>
    <w:p>
      <w:pPr>
        <w:ind w:left="380" w:firstLine="74"/>
        <w:spacing w:after="0" w:line="278" w:lineRule="auto"/>
        <w:rPr>
          <w:sz w:val="20"/>
          <w:szCs w:val="20"/>
          <w:color w:val="auto"/>
        </w:rPr>
      </w:pPr>
      <w:r>
        <w:rPr>
          <w:rFonts w:ascii="Arial" w:cs="Arial" w:eastAsia="Arial" w:hAnsi="Arial"/>
          <w:sz w:val="18"/>
          <w:szCs w:val="18"/>
          <w:b w:val="1"/>
          <w:bCs w:val="1"/>
          <w:i w:val="1"/>
          <w:iCs w:val="1"/>
          <w:color w:val="auto"/>
        </w:rPr>
        <w:t>Our brand and reputation are dependent on the continued participation and level of service of our numerous independent distributors and dealers.</w:t>
      </w:r>
    </w:p>
    <w:p>
      <w:pPr>
        <w:spacing w:after="0" w:line="85"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We work with a network of approximately 1,600 independent distributors and dealers that provide post-sale service, service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 the event of a catastrophic loss of our key manufacturing facility, our business would be adversely affected.</w:t>
      </w:r>
    </w:p>
    <w:p>
      <w:pPr>
        <w:spacing w:after="0" w:line="155"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extreme weather events, which may increase in frequency and intensity as a result of climate change, public health crises, such as pandemics and epidemics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for our fully electric propulsion solutions in Auburn Hills, Michigan, for our transmissions in both Szentgotthard, Hungary and Chennai, India and for our aluminum die cast components in Lewisburg, Tennessee.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213"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success depends on research and development efforts, and we may not be successful in developing or introducing new products and technologies, including electric propulsion solutions, and responding to customer needs.</w:t>
      </w:r>
    </w:p>
    <w:p>
      <w:pPr>
        <w:spacing w:after="0" w:line="85" w:lineRule="exact"/>
        <w:rPr>
          <w:sz w:val="20"/>
          <w:szCs w:val="20"/>
          <w:color w:val="auto"/>
        </w:rPr>
      </w:pPr>
    </w:p>
    <w:p>
      <w:pPr>
        <w:ind w:right="140" w:firstLine="494"/>
        <w:spacing w:after="0" w:line="241" w:lineRule="auto"/>
        <w:rPr>
          <w:sz w:val="20"/>
          <w:szCs w:val="20"/>
          <w:color w:val="auto"/>
        </w:rPr>
      </w:pPr>
      <w:r>
        <w:rPr>
          <w:rFonts w:ascii="Arial" w:cs="Arial" w:eastAsia="Arial" w:hAnsi="Arial"/>
          <w:sz w:val="18"/>
          <w:szCs w:val="18"/>
          <w:color w:val="auto"/>
        </w:rPr>
        <w:t>Our success depends on our ability to develop or introduce new products and technologies and improve the efficiency and performance of our current products, and we invest significant resources in research and development in order to do so. We currently have enhancements to our existing products and technologies and new products and technologies under development, including electric hybrid and fully electric propulsion solutions, for planned introduction into certain end markets. The development of new products and technologies is difficult, time-consuming and costly and the timetable for commercial release is uncertain. Not all of our new product launches have been successful, and we may not be successful in the future in introducing other new products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responding to customer needs. In addition, it often takes significant time, in some cases multiple fleet buy cycles, before customers gain experience with new products and technologies and those new products and technologies become widely-accepted by the market, if at all. Given the early stages of development of some of these new products and technologies, there can be no guarantee of future market acceptance and investment returns with respect to these products. In addition, the increased adoption of electric propulsion solutions could result in lower demand for our fully automatic transmissions and, over time, the demand for related service parts and support equipment, which would impact our margins. If we do not adequately anticipate the changing needs of our customers by keeping pace with improvements and changes in vehicle propulsion technology and developing and introducing new and effective products and technologies on a timely basis, or if the products and technologies we develop do not become market-leading, our competitive position and prospects could be harmed. If our competitors are able to respond to changing market demands and adopt new technologies more quickly than we do, demand for our products could decline, our competitive position could be harmed, our future research and development activities may be constrained due to intellectual property rights of others, licenses for technologies that would enable us to keep pace with our competitors may not be available on commercially reasonable terms if at all and we may not be able to recoup a return on our development investments. Moreover, changing customer demands as well as evolving regulatory,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the rate of adoption of new technologies, including electric vehicles for the medium- and heavy-duty commercial market, occurs at a pace that is faster than we are anticipating, we may not have products available to meet that accelerated timeframe. If we experience significant delays or increased costs in the production, launch or acceptance of our products and technologies, our net sales and results of operations may be materially adversely affected.</w:t>
      </w:r>
    </w:p>
    <w:p>
      <w:pPr>
        <w:spacing w:after="0" w:line="194"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 automatic transmissions in commercial vehicles outside North America does not increase.</w:t>
      </w:r>
    </w:p>
    <w:p>
      <w:pPr>
        <w:spacing w:after="0" w:line="85"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However, manual transmissions remain the market leader outside North America, and there can be no assurance that adoption of automatic transmissions will increase. Factors potentially impacting adoption of automatic transmissions outside of North America include the large existing installed base of manual transmissions, customer preferences for manual transmissions, commercial vehicle OEM vertical integration into manual transmission and AMT manufacturing, increased competition from AMTs, electric propulsion solutions, and other alternative transmission and propulsion solution technologies and failure to further develop the Allison brand. If the rate of adoption of fully automatic transmissions does not increase as we have anticipated, our long-term growth prospects and results of operations may be impaired.</w:t>
      </w:r>
    </w:p>
    <w:p>
      <w:pPr>
        <w:spacing w:after="0" w:line="183"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85" w:lineRule="exact"/>
        <w:rPr>
          <w:sz w:val="20"/>
          <w:szCs w:val="20"/>
          <w:color w:val="auto"/>
        </w:rPr>
      </w:pPr>
    </w:p>
    <w:p>
      <w:pPr>
        <w:ind w:right="120" w:firstLine="494"/>
        <w:spacing w:after="0" w:line="243"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Outside-North America net sales represented approximately 26% of our net sales for 2022. Most of our operations are in the U.S., but we also have manufacturing and customization facilities in India and Hungary with a services agreement with Stellantis NV and customization capability in Brazil, the Netherlands, China and Japan. Further, we intend to continue to pursue growth opportunities for our business in a variety of business environments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outside the U.S., which could exacerbate the risks set forth below. Our international operations are subject to, without limitation, the following risks:</w:t>
      </w:r>
    </w:p>
    <w:p>
      <w:pPr>
        <w:spacing w:after="0" w:line="45"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115" w:lineRule="exact"/>
        <w:rPr>
          <w:rFonts w:ascii="Times New Roman" w:cs="Times New Roman" w:eastAsia="Times New Roman" w:hAnsi="Times New Roman"/>
          <w:sz w:val="18"/>
          <w:szCs w:val="18"/>
          <w:color w:val="auto"/>
        </w:rPr>
      </w:pPr>
    </w:p>
    <w:p>
      <w:pPr>
        <w:ind w:left="1020" w:right="280" w:hanging="504"/>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controls, sanctions, import and export restrictions and tariffs, including restrictions promulgated by the Office of Foreign Assets Control of the U.S. Department of the Treasury, and other trade protection regulations and measures;</w:t>
      </w:r>
    </w:p>
    <w:p>
      <w:pPr>
        <w:spacing w:after="0" w:line="61" w:lineRule="exact"/>
        <w:rPr>
          <w:rFonts w:ascii="Times New Roman" w:cs="Times New Roman" w:eastAsia="Times New Roman" w:hAnsi="Times New Roman"/>
          <w:sz w:val="18"/>
          <w:szCs w:val="18"/>
          <w:color w:val="auto"/>
        </w:rPr>
      </w:pPr>
    </w:p>
    <w:p>
      <w:pPr>
        <w:ind w:left="1020" w:right="28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risks, including increased trade protectionism and risks of loss due to civil disturbances, acts of terrorism, acts of war, guerilla activities and insurrection;</w:t>
      </w:r>
    </w:p>
    <w:p>
      <w:pPr>
        <w:spacing w:after="0" w:line="45" w:lineRule="exact"/>
        <w:rPr>
          <w:rFonts w:ascii="Times New Roman" w:cs="Times New Roman" w:eastAsia="Times New Roman" w:hAnsi="Times New Roman"/>
          <w:sz w:val="18"/>
          <w:szCs w:val="18"/>
          <w:color w:val="auto"/>
        </w:rPr>
      </w:pPr>
    </w:p>
    <w:p>
      <w:pPr>
        <w:ind w:left="1020" w:right="52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unstable economic, financial and market conditions and increased expenses as a result of inflation, higher energy costs or higher interest rates;</w:t>
      </w:r>
    </w:p>
    <w:p>
      <w:pPr>
        <w:spacing w:after="0" w:line="45" w:lineRule="exact"/>
        <w:rPr>
          <w:rFonts w:ascii="Times New Roman" w:cs="Times New Roman" w:eastAsia="Times New Roman" w:hAnsi="Times New Roman"/>
          <w:sz w:val="18"/>
          <w:szCs w:val="18"/>
          <w:color w:val="auto"/>
        </w:rPr>
      </w:pPr>
    </w:p>
    <w:p>
      <w:pPr>
        <w:ind w:left="1020" w:right="8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in staffing and managing international operations and the application of foreign labor regulations;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local product preferences and product requirements;</w:t>
      </w:r>
    </w:p>
    <w:p>
      <w:pPr>
        <w:spacing w:after="0" w:line="115" w:lineRule="exact"/>
        <w:rPr>
          <w:rFonts w:ascii="Times New Roman" w:cs="Times New Roman" w:eastAsia="Times New Roman" w:hAnsi="Times New Roman"/>
          <w:sz w:val="18"/>
          <w:szCs w:val="18"/>
          <w:color w:val="auto"/>
        </w:rPr>
      </w:pPr>
    </w:p>
    <w:p>
      <w:pPr>
        <w:ind w:left="1020" w:right="26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currency exchange rates to the extent that our assets or liabilities are denominated in a currency other than the functional currency of the country where we operate;</w:t>
      </w:r>
    </w:p>
    <w:p>
      <w:pPr>
        <w:spacing w:after="0" w:line="45" w:lineRule="exact"/>
        <w:rPr>
          <w:rFonts w:ascii="Times New Roman" w:cs="Times New Roman" w:eastAsia="Times New Roman" w:hAnsi="Times New Roman"/>
          <w:sz w:val="18"/>
          <w:szCs w:val="18"/>
          <w:color w:val="auto"/>
        </w:rPr>
      </w:pPr>
    </w:p>
    <w:p>
      <w:pPr>
        <w:ind w:left="1020" w:right="20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45" w:lineRule="exact"/>
        <w:rPr>
          <w:rFonts w:ascii="Times New Roman" w:cs="Times New Roman" w:eastAsia="Times New Roman" w:hAnsi="Times New Roman"/>
          <w:sz w:val="18"/>
          <w:szCs w:val="18"/>
          <w:color w:val="auto"/>
        </w:rPr>
      </w:pPr>
    </w:p>
    <w:p>
      <w:pPr>
        <w:ind w:left="1020" w:right="340" w:hanging="504"/>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00" w:lineRule="exact"/>
        <w:rPr>
          <w:sz w:val="20"/>
          <w:szCs w:val="20"/>
          <w:color w:val="auto"/>
        </w:rPr>
      </w:pPr>
    </w:p>
    <w:p>
      <w:pPr>
        <w:ind w:right="480" w:firstLine="494"/>
        <w:spacing w:after="0" w:line="271"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155"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We may not be able to identify or consummate acquisitions or partnerships or achieve expected benefits from or effectively integrate acquisitions or partnerships, which could harm our growth.</w:t>
      </w:r>
    </w:p>
    <w:p>
      <w:pPr>
        <w:spacing w:after="0" w:line="85"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From time to time, we evaluate selective acquisitions, partnerships and strategic investments. Potential and completed acquisitions and partnerships involve many risks that could have an adverse effect on our business, financial condition or results of operations, including:</w:t>
      </w:r>
    </w:p>
    <w:p>
      <w:pPr>
        <w:spacing w:after="0" w:line="45" w:lineRule="exact"/>
        <w:rPr>
          <w:sz w:val="20"/>
          <w:szCs w:val="20"/>
          <w:color w:val="auto"/>
        </w:rPr>
      </w:pPr>
    </w:p>
    <w:p>
      <w:pPr>
        <w:ind w:left="1020" w:hanging="504"/>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suitable acquisition or partnership candidates, prevail against competing potential acquirers or partners and negotiate and consummate acquisitions or partnerships on terms attractive to us;</w:t>
      </w:r>
    </w:p>
    <w:p>
      <w:pPr>
        <w:spacing w:after="0" w:line="45" w:lineRule="exact"/>
        <w:rPr>
          <w:rFonts w:ascii="Times New Roman" w:cs="Times New Roman" w:eastAsia="Times New Roman" w:hAnsi="Times New Roman"/>
          <w:sz w:val="18"/>
          <w:szCs w:val="18"/>
          <w:color w:val="auto"/>
        </w:rPr>
      </w:pPr>
    </w:p>
    <w:p>
      <w:pPr>
        <w:jc w:val="both"/>
        <w:ind w:left="1020" w:hanging="504"/>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integrating personnel and sales forces, operations, manufacturing, logistics, research and development, information technology, communications, purchasing, accounting, marketing, administration and other systems and processes and otherwise assimilating the operations of the acquired company;</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resources, including diverting management’s attention from our current operations;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risks of entering new geographic or product markets in which we have limited or no direct prior experience;</w:t>
      </w:r>
    </w:p>
    <w:p>
      <w:pPr>
        <w:spacing w:after="0" w:line="115" w:lineRule="exact"/>
        <w:rPr>
          <w:rFonts w:ascii="Times New Roman" w:cs="Times New Roman" w:eastAsia="Times New Roman" w:hAnsi="Times New Roman"/>
          <w:sz w:val="18"/>
          <w:szCs w:val="18"/>
          <w:color w:val="auto"/>
        </w:rPr>
      </w:pPr>
    </w:p>
    <w:p>
      <w:pPr>
        <w:ind w:left="1020" w:right="20" w:hanging="504"/>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customers, employees or suppliers of the acquired company or adverse effects on our existing business relationships with our suppliers and customers;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incurrence of indebtedness to fund the acquisition or partnerships;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acquired business or partnership not achieving anticipated revenues, earnings, cash flow or market share;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excess capacity;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achieve the expected synergies or cost savings;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need for additional investments post-investment or post-acquisition that could be greater than anticipated;</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U.S. and foreign competition laws and regulations on our ability to make certain acquisitions, to enter into certain partnerships or to make certain strategic investments;</w:t>
      </w:r>
    </w:p>
    <w:p>
      <w:pPr>
        <w:spacing w:after="0" w:line="45" w:lineRule="exact"/>
        <w:rPr>
          <w:rFonts w:ascii="Times New Roman" w:cs="Times New Roman" w:eastAsia="Times New Roman" w:hAnsi="Times New Roman"/>
          <w:sz w:val="18"/>
          <w:szCs w:val="18"/>
          <w:color w:val="auto"/>
        </w:rPr>
      </w:pPr>
    </w:p>
    <w:p>
      <w:pPr>
        <w:ind w:left="1020" w:right="20" w:hanging="504"/>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acquisition or partnership;</w:t>
      </w:r>
    </w:p>
    <w:p>
      <w:pPr>
        <w:spacing w:after="0" w:line="45" w:lineRule="exact"/>
        <w:rPr>
          <w:rFonts w:ascii="Times New Roman" w:cs="Times New Roman" w:eastAsia="Times New Roman" w:hAnsi="Times New Roman"/>
          <w:sz w:val="18"/>
          <w:szCs w:val="18"/>
          <w:color w:val="auto"/>
        </w:rPr>
      </w:pPr>
    </w:p>
    <w:p>
      <w:pPr>
        <w:ind w:left="1020" w:right="20" w:hanging="504"/>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incorrect estimates made in accounting for acquisitions, incurrence of non-recurring charges and write-off of significant amounts of goodwill that could adversely affect our financial results; and</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dilution of earnings.</w:t>
      </w:r>
    </w:p>
    <w:p>
      <w:pPr>
        <w:spacing w:after="0" w:line="170"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We may also face liability with respect to acquired businesses for violations of environmental or other laws occurring prior to the date of our acquisition, and some or all of these liabilities may not be covered by environmental or other insurance secured to mitigate the risk or by indemnification from the sellers from which we acquired these businesses. We could also incur significant costs, including, but not limited to, remediation costs, natural resources damages, civil or criminal fines and sanctions and third-party claims, as a result of past or future violations of, or liabilities associated with, environmental or other laws.</w:t>
      </w:r>
    </w:p>
    <w:p>
      <w:pPr>
        <w:spacing w:after="0" w:line="125"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We cannot offer any assurance that we will be able to consummate any future acquisitions, strategic investments, partnerships or other business combinations. If we are unable to identify suitable acquisition candidates or to consummate and successfully integrate our recent and any future acquisitions, our business and results of operations may be adversely affected as a result.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13"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104"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similar product defects may occur in the future. See "Note 10. Product Warranty Liabilities” of Notes to Consolidated Financial Statements included in Part II, Item 8. of this Annual Report on Form 10-K for additional details regarding these warranty issues.</w:t>
      </w:r>
    </w:p>
    <w:p>
      <w:pPr>
        <w:spacing w:after="0" w:line="132"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Furthermore, our business depends on the strong brand reputation we believe we have developed. In addition to the risk of defective products, we also face significant risks in our efforts to penetrate new markets, where we have limited brand recognition. We also rely on our reputation with end users of our products to specify our products when purchasing new vehicles from our OEM customers. In the event we are not able to maintain or enhance our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117"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Additionally, we license the “Allison Transmission” name and certain related trademarks to third parties. If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73"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85" w:lineRule="exact"/>
        <w:rPr>
          <w:sz w:val="20"/>
          <w:szCs w:val="20"/>
          <w:color w:val="auto"/>
        </w:rPr>
      </w:pPr>
    </w:p>
    <w:p>
      <w:pPr>
        <w:ind w:right="60" w:firstLine="494"/>
        <w:spacing w:after="0" w:line="238" w:lineRule="auto"/>
        <w:rPr>
          <w:sz w:val="20"/>
          <w:szCs w:val="20"/>
          <w:color w:val="auto"/>
        </w:rPr>
      </w:pPr>
      <w:r>
        <w:rPr>
          <w:rFonts w:ascii="Arial" w:cs="Arial" w:eastAsia="Arial" w:hAnsi="Arial"/>
          <w:sz w:val="18"/>
          <w:szCs w:val="18"/>
          <w:color w:val="auto"/>
        </w:rPr>
        <w:t>Protecting our intellectual property rights is critical to our ability to compete and succeed as a company. General Motors Company (“GM”) has granted us an irrevocable, perpetual, royalty-free, worldwide license under a large number of U.S. and foreign patents and patent applications, as well as certain unpatented technology and know-how, to design, develop, manufacture, use and sell fully automatic transmissions and electric hybrid propulsion solutions for use in certain vocational vehicles, defense vehicles and off-road products. For the bulk of the intellectual property licensed to us, our license is exclusive with respect to the design, development, manufacture, use and sale of fully automatic transmissions and electric hybrid propulsion solutions in vocational vehicles above certain weight rating thresholds, certain defense vehicles and certain off-road products. It is non-exclusive with respect to certain other products that are within the scope of the licensed patents or to which the licensed technology can be applied. GM continues to own such patents and technology, and GM has the right, in the first instance, to control the maintenance, enforcement and defense of such patents and the prosecution of the licensed patent applications. In addition, our ability to sublicense our rights is limited.</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rely on unpatented technology, which exposes us to certain risks.</w:t>
      </w:r>
    </w:p>
    <w:p>
      <w:pPr>
        <w:spacing w:after="0" w:line="155" w:lineRule="exact"/>
        <w:rPr>
          <w:sz w:val="20"/>
          <w:szCs w:val="20"/>
          <w:color w:val="auto"/>
        </w:rPr>
      </w:pPr>
    </w:p>
    <w:p>
      <w:pPr>
        <w:ind w:right="240" w:firstLine="494"/>
        <w:spacing w:after="0" w:line="239" w:lineRule="auto"/>
        <w:rPr>
          <w:sz w:val="20"/>
          <w:szCs w:val="20"/>
          <w:color w:val="auto"/>
        </w:rPr>
      </w:pPr>
      <w:r>
        <w:rPr>
          <w:rFonts w:ascii="Arial" w:cs="Arial" w:eastAsia="Arial" w:hAnsi="Arial"/>
          <w:sz w:val="18"/>
          <w:szCs w:val="18"/>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Although we believe the loss or expiration of any single patent would not have a material effect on our business, results of operations or financial position, there can be no assurance that any one, or more, of the patents or any other intellectual property owned by or licensed to us will not be challenged, invalidated or circumvented by third parties. In fact, a number of the patents licensed to us are set to expire in the next few years. When a patent expires, the inventions it discloses can be used freely by others. Thus, the competitive advantage that we gain from the patents licensed to us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Environmental, health and safety laws and regulations may impose significant compliance costs and liabilities on us.</w:t>
      </w:r>
    </w:p>
    <w:p>
      <w:pPr>
        <w:spacing w:after="0" w:line="155"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Our manufacturing operations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regulatory bodies are increasingly adopting regulations that target limiting greenhouse gases and combatting climate change, which may impact our ability to sell our current products or require us to develop new products or technologies. If these environmental, health and safety laws and regulations that impact our operations or products become more stringent or expand to include a larger portion of our products or our customer’s products in the future, we could incur additional costs in order to ensure that our business and products comply with such regulations. In addition, we may not be successful in developing products or technologies that comply with, or the vehicle or customer OEMs to which we sell our products may choose not to comply with, such laws and regulations, which could impact our ability to sell our products in certain locations, negatively impact our business and result in a loss of market share. Furthermore, if our products that are already placed in service are found to be non-compliant with certain laws, regulations and certifications, we may incur additional costs and fines. We cannot assure that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39" w:lineRule="exact"/>
        <w:rPr>
          <w:sz w:val="20"/>
          <w:szCs w:val="20"/>
          <w:color w:val="auto"/>
        </w:rPr>
      </w:pPr>
    </w:p>
    <w:p>
      <w:pPr>
        <w:ind w:right="280" w:firstLine="494"/>
        <w:spacing w:after="0" w:line="241" w:lineRule="auto"/>
        <w:rPr>
          <w:sz w:val="20"/>
          <w:szCs w:val="20"/>
          <w:color w:val="auto"/>
        </w:rPr>
      </w:pPr>
      <w:r>
        <w:rPr>
          <w:rFonts w:ascii="Arial" w:cs="Arial" w:eastAsia="Arial" w:hAnsi="Arial"/>
          <w:sz w:val="18"/>
          <w:szCs w:val="18"/>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w:t>
      </w:r>
    </w:p>
    <w:p>
      <w:pPr>
        <w:spacing w:after="0" w:line="128"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There can be no assurances that future environmental remediation obligations will not have a material adverse effect on our results of operations and financial condition. In addition, we occasionally evaluate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U.S. government contracting risks.</w:t>
      </w:r>
    </w:p>
    <w:p>
      <w:pPr>
        <w:spacing w:after="0" w:line="155"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jc w:val="both"/>
        <w:ind w:right="280"/>
        <w:spacing w:after="0" w:line="252" w:lineRule="auto"/>
        <w:rPr>
          <w:sz w:val="20"/>
          <w:szCs w:val="20"/>
          <w:color w:val="auto"/>
        </w:rPr>
      </w:pPr>
      <w:r>
        <w:rPr>
          <w:rFonts w:ascii="Arial" w:cs="Arial" w:eastAsia="Arial" w:hAnsi="Arial"/>
          <w:sz w:val="18"/>
          <w:szCs w:val="18"/>
          <w:color w:val="auto"/>
        </w:rPr>
        <w:t>prosecutions, whistleblower lawsuits and other enforcement actions. The laws and regulations to which we are subject include, but are not limited to, Export Administration Regulations, the Federal Acquisition Regulation, International Traffic in Arms Regulations and regulations from the Bureau of Alcohol, Tobacco, Firearms and Explosives and the FCPA.</w:t>
      </w:r>
    </w:p>
    <w:p>
      <w:pPr>
        <w:spacing w:after="0" w:line="117"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 The result of, or expiration of the statute of limitations for, such audits could have an impact on reported liabilities, net income and cash flow from operations.</w:t>
      </w:r>
    </w:p>
    <w:p>
      <w:pPr>
        <w:spacing w:after="0" w:line="187"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104" w:lineRule="exact"/>
        <w:rPr>
          <w:sz w:val="20"/>
          <w:szCs w:val="20"/>
          <w:color w:val="auto"/>
        </w:rPr>
      </w:pPr>
    </w:p>
    <w:p>
      <w:pPr>
        <w:ind w:right="300" w:firstLine="494"/>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and certain provisions of the Delaware General Corporation Law contain provisions that could discourage, delay or prevent a change in control of our company or changes in our management that the stockholders of our company may deem advantageous. These provisions:</w:t>
      </w:r>
    </w:p>
    <w:p>
      <w:pPr>
        <w:spacing w:after="0" w:line="63" w:lineRule="exact"/>
        <w:rPr>
          <w:sz w:val="20"/>
          <w:szCs w:val="20"/>
          <w:color w:val="auto"/>
        </w:rPr>
      </w:pPr>
    </w:p>
    <w:p>
      <w:pPr>
        <w:ind w:left="1020" w:right="780" w:hanging="504"/>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prohibit our stockholders from calling a special meeting of stockholders;</w:t>
      </w:r>
    </w:p>
    <w:p>
      <w:pPr>
        <w:spacing w:after="0" w:line="115" w:lineRule="exact"/>
        <w:rPr>
          <w:rFonts w:ascii="Times New Roman" w:cs="Times New Roman" w:eastAsia="Times New Roman" w:hAnsi="Times New Roman"/>
          <w:sz w:val="18"/>
          <w:szCs w:val="18"/>
          <w:color w:val="auto"/>
        </w:rPr>
      </w:pPr>
    </w:p>
    <w:p>
      <w:pPr>
        <w:ind w:left="1020" w:right="1060" w:hanging="504"/>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115" w:lineRule="exact"/>
        <w:rPr>
          <w:rFonts w:ascii="Times New Roman" w:cs="Times New Roman" w:eastAsia="Times New Roman" w:hAnsi="Times New Roman"/>
          <w:sz w:val="18"/>
          <w:szCs w:val="18"/>
          <w:color w:val="auto"/>
        </w:rPr>
      </w:pPr>
    </w:p>
    <w:p>
      <w:pPr>
        <w:ind w:left="1020" w:right="40" w:hanging="504"/>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 and</w:t>
      </w:r>
    </w:p>
    <w:p>
      <w:pPr>
        <w:spacing w:after="0" w:line="4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w:t>
      </w:r>
    </w:p>
    <w:p>
      <w:pPr>
        <w:spacing w:after="0" w:line="100" w:lineRule="exact"/>
        <w:rPr>
          <w:sz w:val="20"/>
          <w:szCs w:val="20"/>
          <w:color w:val="auto"/>
        </w:rPr>
      </w:pPr>
    </w:p>
    <w:p>
      <w:pPr>
        <w:jc w:val="both"/>
        <w:ind w:right="220" w:firstLine="494"/>
        <w:spacing w:after="0" w:line="252"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that our stockholders may believe to be in their best interests. These provisions could also discourage proxy contests and make it more difficult for our stockholders to elect directors of their choosing and cause us to take corporate actions other than those they desire.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Financial Risks</w:t>
      </w:r>
    </w:p>
    <w:p>
      <w:pPr>
        <w:spacing w:after="0" w:line="213"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indebtedness could adversely affect our financial health, restrict our activities and affect our ability to meet our obligations.</w:t>
      </w:r>
    </w:p>
    <w:p>
      <w:pPr>
        <w:spacing w:after="0" w:line="85"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 xml:space="preserve">As of December 31, 2022, we had total indebtedness of $2,525 million, and we would have been able to borrow an additional $644 million, net of $6 million of outstanding letters of credit, under Allison Transmission Inc.’s (“ATI”), our wholly-owned subsidiary, revolving credit facility with commitments in the amount </w:t>
      </w:r>
      <w:r>
        <w:rPr>
          <w:rFonts w:ascii="Arial" w:cs="Arial" w:eastAsia="Arial" w:hAnsi="Arial"/>
          <w:sz w:val="18"/>
          <w:szCs w:val="18"/>
          <w:color w:val="212529"/>
        </w:rPr>
        <w:t>of $650 million due September 2025</w:t>
      </w:r>
      <w:r>
        <w:rPr>
          <w:rFonts w:ascii="Arial" w:cs="Arial" w:eastAsia="Arial" w:hAnsi="Arial"/>
          <w:sz w:val="18"/>
          <w:szCs w:val="18"/>
          <w:color w:val="auto"/>
        </w:rPr>
        <w:t xml:space="preserve"> (“Revolving Credit Facility”). As of December 31, 2022, we had no outstanding borrowings against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 xml:space="preserve">the Revolving Credit Facility. At December 31, 2022, $625 million of our total indebtedness was associated with ATI’s </w:t>
      </w:r>
      <w:r>
        <w:rPr>
          <w:rFonts w:ascii="Arial" w:cs="Arial" w:eastAsia="Arial" w:hAnsi="Arial"/>
          <w:sz w:val="18"/>
          <w:szCs w:val="18"/>
          <w:color w:val="212529"/>
        </w:rPr>
        <w:t>term loan facility due</w:t>
      </w:r>
      <w:r>
        <w:rPr>
          <w:rFonts w:ascii="Arial" w:cs="Arial" w:eastAsia="Arial" w:hAnsi="Arial"/>
          <w:sz w:val="18"/>
          <w:szCs w:val="18"/>
          <w:color w:val="auto"/>
        </w:rPr>
        <w:t xml:space="preserve"> </w:t>
      </w:r>
      <w:r>
        <w:rPr>
          <w:rFonts w:ascii="Arial" w:cs="Arial" w:eastAsia="Arial" w:hAnsi="Arial"/>
          <w:sz w:val="18"/>
          <w:szCs w:val="18"/>
          <w:color w:val="212529"/>
        </w:rPr>
        <w:t>March 2026 (“Term Loan”</w:t>
      </w:r>
      <w:r>
        <w:rPr>
          <w:rFonts w:ascii="Arial" w:cs="Arial" w:eastAsia="Arial" w:hAnsi="Arial"/>
          <w:sz w:val="18"/>
          <w:szCs w:val="18"/>
          <w:color w:val="000000"/>
        </w:rPr>
        <w:t>, and together with the Revolving Credit Facility, the “Senior Secured Credit Facility”), $400 million of our total</w:t>
      </w:r>
      <w:r>
        <w:rPr>
          <w:rFonts w:ascii="Arial" w:cs="Arial" w:eastAsia="Arial" w:hAnsi="Arial"/>
          <w:sz w:val="18"/>
          <w:szCs w:val="18"/>
          <w:color w:val="212529"/>
        </w:rPr>
        <w:t xml:space="preserve"> </w:t>
      </w:r>
      <w:r>
        <w:rPr>
          <w:rFonts w:ascii="Arial" w:cs="Arial" w:eastAsia="Arial" w:hAnsi="Arial"/>
          <w:sz w:val="18"/>
          <w:szCs w:val="18"/>
          <w:color w:val="000000"/>
        </w:rPr>
        <w:t>indebtedness was associated with ATI’s 4.75% Senior Notes due October 2027 (“4.75% Senior Notes”), $500 million of our total indebtedness was associated with ATI’s 5.875% Senior Notes due June 2029 (“5.875% Senior Notes”) and $1,000 million of our total indebtedness was associated with ATI’s 3.75% Senior Notes due January 2031 (“3.75% Senior Notes”, and together with the 4.75% Senior Notes and 5.875% Senior Notes, the “Senior Notes”). For a complete description of the terms of the Senior Secured Credit Facility and the Senior Notes, please see "Note 8. Debt” in Part II, Item 8., of this Annual Report on Form 10-K .</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indebtedness could have important consequences. For example, it could:</w:t>
      </w:r>
    </w:p>
    <w:p>
      <w:pPr>
        <w:spacing w:after="0" w:line="157"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15" w:lineRule="exact"/>
        <w:rPr>
          <w:rFonts w:ascii="Times New Roman" w:cs="Times New Roman" w:eastAsia="Times New Roman" w:hAnsi="Times New Roman"/>
          <w:sz w:val="18"/>
          <w:szCs w:val="18"/>
          <w:color w:val="auto"/>
        </w:rPr>
      </w:pPr>
    </w:p>
    <w:p>
      <w:pPr>
        <w:ind w:left="1020" w:right="140" w:hanging="504"/>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61" w:lineRule="exact"/>
        <w:rPr>
          <w:rFonts w:ascii="Times New Roman" w:cs="Times New Roman" w:eastAsia="Times New Roman" w:hAnsi="Times New Roman"/>
          <w:sz w:val="18"/>
          <w:szCs w:val="18"/>
          <w:color w:val="auto"/>
        </w:rPr>
      </w:pPr>
    </w:p>
    <w:p>
      <w:pPr>
        <w:ind w:left="1020" w:right="160" w:hanging="504"/>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115" w:lineRule="exact"/>
        <w:rPr>
          <w:rFonts w:ascii="Times New Roman" w:cs="Times New Roman" w:eastAsia="Times New Roman" w:hAnsi="Times New Roman"/>
          <w:sz w:val="18"/>
          <w:szCs w:val="18"/>
          <w:color w:val="auto"/>
        </w:rPr>
      </w:pPr>
    </w:p>
    <w:p>
      <w:pPr>
        <w:ind w:left="1020" w:right="220" w:hanging="504"/>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expose us to the risk of increased interest rates as borrowings under the Senior Secured Credit Facility are subject to variable rates of interest;</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borrow additional funds.</w:t>
      </w:r>
    </w:p>
    <w:p>
      <w:pPr>
        <w:spacing w:after="0" w:line="170"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In addition, the Revolving Credit Facility contains a maximum total senior secured leverage ratio. The Senior Secured Credit Facility and the indentures governing the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178"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and our ability to generate cash depends on many factors beyond our control.</w:t>
      </w:r>
    </w:p>
    <w:p>
      <w:pPr>
        <w:spacing w:after="0" w:line="85"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17" w:lineRule="exact"/>
        <w:rPr>
          <w:sz w:val="20"/>
          <w:szCs w:val="20"/>
          <w:color w:val="auto"/>
        </w:rPr>
      </w:pPr>
    </w:p>
    <w:p>
      <w:pPr>
        <w:ind w:right="80" w:firstLine="494"/>
        <w:spacing w:after="0" w:line="258" w:lineRule="auto"/>
        <w:rPr>
          <w:sz w:val="20"/>
          <w:szCs w:val="20"/>
          <w:color w:val="auto"/>
        </w:rPr>
      </w:pPr>
      <w:r>
        <w:rPr>
          <w:rFonts w:ascii="Arial" w:cs="Arial" w:eastAsia="Arial" w:hAnsi="Arial"/>
          <w:sz w:val="17"/>
          <w:szCs w:val="17"/>
          <w:color w:val="auto"/>
        </w:rPr>
        <w:t>We cannot ensure that our business will generate sufficient cash flow from operations or that future borrowings will be available to us under the Revolving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85" w:lineRule="exact"/>
        <w:rPr>
          <w:sz w:val="20"/>
          <w:szCs w:val="20"/>
          <w:color w:val="auto"/>
        </w:rPr>
      </w:pPr>
    </w:p>
    <w:p>
      <w:pPr>
        <w:ind w:right="140" w:firstLine="494"/>
        <w:spacing w:after="0" w:line="266" w:lineRule="auto"/>
        <w:rPr>
          <w:sz w:val="20"/>
          <w:szCs w:val="20"/>
          <w:color w:val="auto"/>
        </w:rPr>
      </w:pPr>
      <w:r>
        <w:rPr>
          <w:rFonts w:ascii="Arial" w:cs="Arial" w:eastAsia="Arial" w:hAnsi="Arial"/>
          <w:sz w:val="17"/>
          <w:szCs w:val="17"/>
          <w:color w:val="auto"/>
        </w:rPr>
        <w:t>We and our subsidiaries may be able to incur additional indebtedness in the future because the terms of our indebtedness do not fully prohibit us or our subsidiaries from doing so. Subject to covenant compliance and certain conditions, our indebtedness permits additional borrowing, including total borrowing up to $644 million under the Revolving Credit Facility, net of $ 6 million in letters of credit. If new debt is added to our current debt levels and our subsidiaries’ current debt levels, the related risks that we and they now face could intensify.</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pension and other post-retirement benefits funding obligations could increase as a result of a variety of factors.</w:t>
      </w:r>
    </w:p>
    <w:p>
      <w:pPr>
        <w:spacing w:after="0" w:line="155"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 that income or expense for defined benefit pension plans be calculated at the annual measurement date, or more frequently if certain events occur,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2022 defined benefit pension plans obligation of approximately $ 17 million. Likewise, a one percentage point decrease in the effective interest rate for determining defined benefit pension plans contributions would result in an increase in the minimum required contributions for 2023 of approximately $2 million. Similarly, a one percentage point decrease in the assumed discount rate would result in an increase in the December 31, 2022 OPEB obligation of approximately $8 million. As of December 31, 2022, the unfunded status of our defined benefit pension plans was $3 million and the unfunded status of our OPEB plan was $73 million.</w:t>
      </w:r>
    </w:p>
    <w:p>
      <w:pPr>
        <w:spacing w:after="0" w:line="195"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An impairment in the carrying value of goodwill, other intangible assets or long-lived assets could negatively affect our consolidated results of operations and net worth.</w:t>
      </w:r>
    </w:p>
    <w:p>
      <w:pPr>
        <w:spacing w:after="0" w:line="85"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unsuccessful development of product and unexpected significant declines in operating results may result in charges for goodwill and other asset impairments. See "Note 2. Summary of Significant Accounting Policies” and "Note 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Goodwill and Other Intangible Assets” of Notes to Consolidated Financial Statements included in Part II, Item 8. of this Annual Report on Form 10-K for additional details.</w:t>
      </w:r>
    </w:p>
    <w:p>
      <w:pPr>
        <w:spacing w:after="0" w:line="99"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a significant change in the projected future cash flows generated by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 and could have a material adverse effect on the results of our operations. See "Note 2. Summary of Significant Accounting Policies” and "Note 5. Property, Plant and Equipment” of Notes to Consolidated Financial Statements included in Part II, Item 8. of this Annual Report on Form 10-K for additional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57"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Our world headquarters, which we own, is located at One Allison Way, Indianapolis, Indiana 46222. As of December 31, 2022, we have 19 manufacturing and certain other facilities in eight countries. The following table sets forth certain information regarding our significant facilities.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202"/>
              <w:spacing w:after="0"/>
              <w:rPr>
                <w:sz w:val="20"/>
                <w:szCs w:val="20"/>
                <w:color w:val="auto"/>
              </w:rPr>
            </w:pPr>
            <w:r>
              <w:rPr>
                <w:rFonts w:ascii="Arial" w:cs="Arial" w:eastAsia="Arial" w:hAnsi="Arial"/>
                <w:sz w:val="14"/>
                <w:szCs w:val="14"/>
                <w:b w:val="1"/>
                <w:bCs w:val="1"/>
                <w:color w:val="auto"/>
              </w:rPr>
              <w:t>Approximate</w:t>
            </w:r>
          </w:p>
        </w:tc>
        <w:tc>
          <w:tcPr>
            <w:tcW w:w="1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Arial" w:cs="Arial" w:eastAsia="Arial" w:hAnsi="Arial"/>
                <w:sz w:val="14"/>
                <w:szCs w:val="14"/>
                <w:b w:val="1"/>
                <w:bCs w:val="1"/>
                <w:color w:val="auto"/>
              </w:rPr>
              <w:t>Owned /</w:t>
            </w:r>
          </w:p>
        </w:tc>
        <w:tc>
          <w:tcPr>
            <w:tcW w:w="18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85"/>
        </w:trPr>
        <w:tc>
          <w:tcPr>
            <w:tcW w:w="31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Plant</w:t>
            </w:r>
          </w:p>
        </w:tc>
        <w:tc>
          <w:tcPr>
            <w:tcW w:w="200" w:type="dxa"/>
            <w:vAlign w:val="bottom"/>
          </w:tcPr>
          <w:p>
            <w:pPr>
              <w:spacing w:after="0"/>
              <w:rPr>
                <w:sz w:val="16"/>
                <w:szCs w:val="16"/>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6"/>
                <w:szCs w:val="16"/>
                <w:color w:val="auto"/>
              </w:rPr>
            </w:pPr>
          </w:p>
        </w:tc>
        <w:tc>
          <w:tcPr>
            <w:tcW w:w="13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Size (ft2)</w:t>
            </w:r>
          </w:p>
        </w:tc>
        <w:tc>
          <w:tcPr>
            <w:tcW w:w="180" w:type="dxa"/>
            <w:vAlign w:val="bottom"/>
          </w:tcPr>
          <w:p>
            <w:pPr>
              <w:spacing w:after="0"/>
              <w:rPr>
                <w:sz w:val="16"/>
                <w:szCs w:val="16"/>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Leased</w:t>
            </w:r>
          </w:p>
        </w:tc>
        <w:tc>
          <w:tcPr>
            <w:tcW w:w="180" w:type="dxa"/>
            <w:vAlign w:val="bottom"/>
          </w:tcPr>
          <w:p>
            <w:pPr>
              <w:spacing w:after="0"/>
              <w:rPr>
                <w:sz w:val="16"/>
                <w:szCs w:val="16"/>
                <w:color w:val="auto"/>
              </w:rPr>
            </w:pPr>
          </w:p>
        </w:tc>
        <w:tc>
          <w:tcPr>
            <w:tcW w:w="30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Plant #3</w:t>
            </w:r>
          </w:p>
        </w:tc>
        <w:tc>
          <w:tcPr>
            <w:tcW w:w="20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927,000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19"/>
                <w:szCs w:val="19"/>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Engineering, Operational Support</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Plant #4</w:t>
            </w:r>
          </w:p>
        </w:tc>
        <w:tc>
          <w:tcPr>
            <w:tcW w:w="20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Indianapolis</w:t>
            </w:r>
          </w:p>
        </w:tc>
        <w:tc>
          <w:tcPr>
            <w:tcW w:w="1460" w:type="dxa"/>
            <w:vAlign w:val="bottom"/>
            <w:gridSpan w:val="2"/>
          </w:tcPr>
          <w:p>
            <w:pPr>
              <w:jc w:val="right"/>
              <w:ind w:right="42"/>
              <w:spacing w:after="0"/>
              <w:rPr>
                <w:sz w:val="20"/>
                <w:szCs w:val="20"/>
                <w:color w:val="auto"/>
              </w:rPr>
            </w:pPr>
            <w:r>
              <w:rPr>
                <w:rFonts w:ascii="Arial" w:cs="Arial" w:eastAsia="Arial" w:hAnsi="Arial"/>
                <w:sz w:val="18"/>
                <w:szCs w:val="18"/>
                <w:color w:val="auto"/>
              </w:rPr>
              <w:t>425,900</w:t>
            </w:r>
          </w:p>
        </w:tc>
        <w:tc>
          <w:tcPr>
            <w:tcW w:w="18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Own</w:t>
            </w:r>
          </w:p>
        </w:tc>
        <w:tc>
          <w:tcPr>
            <w:tcW w:w="1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Plant #6</w:t>
            </w:r>
          </w:p>
        </w:tc>
        <w:tc>
          <w:tcPr>
            <w:tcW w:w="20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6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431,500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19"/>
                <w:szCs w:val="19"/>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Plant #12</w:t>
            </w:r>
          </w:p>
        </w:tc>
        <w:tc>
          <w:tcPr>
            <w:tcW w:w="20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Indianapolis</w:t>
            </w:r>
          </w:p>
        </w:tc>
        <w:tc>
          <w:tcPr>
            <w:tcW w:w="1460" w:type="dxa"/>
            <w:vAlign w:val="bottom"/>
            <w:gridSpan w:val="2"/>
          </w:tcPr>
          <w:p>
            <w:pPr>
              <w:jc w:val="right"/>
              <w:ind w:right="42"/>
              <w:spacing w:after="0"/>
              <w:rPr>
                <w:sz w:val="20"/>
                <w:szCs w:val="20"/>
                <w:color w:val="auto"/>
              </w:rPr>
            </w:pPr>
            <w:r>
              <w:rPr>
                <w:rFonts w:ascii="Arial" w:cs="Arial" w:eastAsia="Arial" w:hAnsi="Arial"/>
                <w:sz w:val="18"/>
                <w:szCs w:val="18"/>
                <w:color w:val="auto"/>
              </w:rPr>
              <w:t>534,900</w:t>
            </w:r>
          </w:p>
        </w:tc>
        <w:tc>
          <w:tcPr>
            <w:tcW w:w="18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Own</w:t>
            </w:r>
          </w:p>
        </w:tc>
        <w:tc>
          <w:tcPr>
            <w:tcW w:w="1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Plant #14 and #15</w:t>
            </w:r>
          </w:p>
        </w:tc>
        <w:tc>
          <w:tcPr>
            <w:tcW w:w="20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6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481,100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19"/>
                <w:szCs w:val="19"/>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Plant #16</w:t>
            </w:r>
          </w:p>
        </w:tc>
        <w:tc>
          <w:tcPr>
            <w:tcW w:w="20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Indianapolis</w:t>
            </w:r>
          </w:p>
        </w:tc>
        <w:tc>
          <w:tcPr>
            <w:tcW w:w="1460" w:type="dxa"/>
            <w:vAlign w:val="bottom"/>
            <w:gridSpan w:val="2"/>
          </w:tcPr>
          <w:p>
            <w:pPr>
              <w:jc w:val="right"/>
              <w:ind w:right="42"/>
              <w:spacing w:after="0"/>
              <w:rPr>
                <w:sz w:val="20"/>
                <w:szCs w:val="20"/>
                <w:color w:val="auto"/>
              </w:rPr>
            </w:pPr>
            <w:r>
              <w:rPr>
                <w:rFonts w:ascii="Arial" w:cs="Arial" w:eastAsia="Arial" w:hAnsi="Arial"/>
                <w:sz w:val="18"/>
                <w:szCs w:val="18"/>
                <w:color w:val="auto"/>
              </w:rPr>
              <w:t>391,700</w:t>
            </w:r>
          </w:p>
        </w:tc>
        <w:tc>
          <w:tcPr>
            <w:tcW w:w="18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Own</w:t>
            </w:r>
          </w:p>
        </w:tc>
        <w:tc>
          <w:tcPr>
            <w:tcW w:w="1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Plant #17</w:t>
            </w:r>
          </w:p>
        </w:tc>
        <w:tc>
          <w:tcPr>
            <w:tcW w:w="20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6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389,000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19"/>
                <w:szCs w:val="19"/>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Parts Distribution Center</w:t>
            </w:r>
          </w:p>
        </w:tc>
      </w:tr>
      <w:tr>
        <w:trPr>
          <w:trHeight w:val="197"/>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Pr>
          <w:p>
            <w:pPr>
              <w:ind w:left="20"/>
              <w:spacing w:after="0" w:line="197" w:lineRule="exact"/>
              <w:rPr>
                <w:sz w:val="20"/>
                <w:szCs w:val="20"/>
                <w:color w:val="auto"/>
              </w:rPr>
            </w:pPr>
            <w:r>
              <w:rPr>
                <w:rFonts w:ascii="Arial" w:cs="Arial" w:eastAsia="Arial" w:hAnsi="Arial"/>
                <w:sz w:val="18"/>
                <w:szCs w:val="18"/>
                <w:color w:val="auto"/>
              </w:rPr>
              <w:t>Engineering, Research and</w:t>
            </w:r>
          </w:p>
        </w:tc>
      </w:tr>
      <w:tr>
        <w:trPr>
          <w:trHeight w:val="235"/>
        </w:trPr>
        <w:tc>
          <w:tcPr>
            <w:tcW w:w="3140" w:type="dxa"/>
            <w:vAlign w:val="bottom"/>
          </w:tcPr>
          <w:p>
            <w:pPr>
              <w:ind w:left="20"/>
              <w:spacing w:after="0"/>
              <w:rPr>
                <w:sz w:val="20"/>
                <w:szCs w:val="20"/>
                <w:color w:val="auto"/>
              </w:rPr>
            </w:pPr>
            <w:r>
              <w:rPr>
                <w:rFonts w:ascii="Arial" w:cs="Arial" w:eastAsia="Arial" w:hAnsi="Arial"/>
                <w:sz w:val="18"/>
                <w:szCs w:val="18"/>
                <w:color w:val="auto"/>
              </w:rPr>
              <w:t>Innovation Center</w:t>
            </w:r>
          </w:p>
        </w:tc>
        <w:tc>
          <w:tcPr>
            <w:tcW w:w="200" w:type="dxa"/>
            <w:vAlign w:val="bottom"/>
          </w:tcPr>
          <w:p>
            <w:pPr>
              <w:spacing w:after="0"/>
              <w:rPr>
                <w:sz w:val="20"/>
                <w:szCs w:val="20"/>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Indianapolis</w:t>
            </w:r>
          </w:p>
        </w:tc>
        <w:tc>
          <w:tcPr>
            <w:tcW w:w="1460" w:type="dxa"/>
            <w:vAlign w:val="bottom"/>
            <w:gridSpan w:val="2"/>
          </w:tcPr>
          <w:p>
            <w:pPr>
              <w:jc w:val="right"/>
              <w:ind w:right="42"/>
              <w:spacing w:after="0"/>
              <w:rPr>
                <w:sz w:val="20"/>
                <w:szCs w:val="20"/>
                <w:color w:val="auto"/>
              </w:rPr>
            </w:pPr>
            <w:r>
              <w:rPr>
                <w:rFonts w:ascii="Arial" w:cs="Arial" w:eastAsia="Arial" w:hAnsi="Arial"/>
                <w:sz w:val="18"/>
                <w:szCs w:val="18"/>
                <w:color w:val="auto"/>
              </w:rPr>
              <w:t>96,000</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Own</w:t>
            </w:r>
          </w:p>
        </w:tc>
        <w:tc>
          <w:tcPr>
            <w:tcW w:w="18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Development</w:t>
            </w:r>
          </w:p>
        </w:tc>
      </w:tr>
      <w:tr>
        <w:trPr>
          <w:trHeight w:val="197"/>
        </w:trPr>
        <w:tc>
          <w:tcPr>
            <w:tcW w:w="31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Vehicle Electrification + Environmental</w:t>
            </w: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60" w:type="dxa"/>
            <w:vAlign w:val="bottom"/>
            <w:shd w:val="clear" w:color="auto" w:fill="CFF0FC"/>
          </w:tcPr>
          <w:p>
            <w:pPr>
              <w:spacing w:after="0"/>
              <w:rPr>
                <w:sz w:val="17"/>
                <w:szCs w:val="17"/>
                <w:color w:val="auto"/>
              </w:rPr>
            </w:pPr>
          </w:p>
        </w:tc>
      </w:tr>
      <w:tr>
        <w:trPr>
          <w:trHeight w:val="235"/>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Test (VE+ET) Center</w:t>
            </w:r>
          </w:p>
        </w:tc>
        <w:tc>
          <w:tcPr>
            <w:tcW w:w="200" w:type="dxa"/>
            <w:vAlign w:val="bottom"/>
            <w:shd w:val="clear" w:color="auto" w:fill="CFF0FC"/>
          </w:tcPr>
          <w:p>
            <w:pPr>
              <w:spacing w:after="0"/>
              <w:rPr>
                <w:sz w:val="20"/>
                <w:szCs w:val="20"/>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Indianapolis</w:t>
            </w:r>
          </w:p>
        </w:tc>
        <w:tc>
          <w:tcPr>
            <w:tcW w:w="146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66,000</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20"/>
                <w:szCs w:val="20"/>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r>
      <w:tr>
        <w:trPr>
          <w:trHeight w:val="197"/>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ind w:left="20"/>
              <w:spacing w:after="0" w:line="197" w:lineRule="exact"/>
              <w:rPr>
                <w:sz w:val="20"/>
                <w:szCs w:val="20"/>
                <w:color w:val="auto"/>
              </w:rPr>
            </w:pPr>
            <w:r>
              <w:rPr>
                <w:rFonts w:ascii="Arial" w:cs="Arial" w:eastAsia="Arial" w:hAnsi="Arial"/>
                <w:sz w:val="18"/>
                <w:szCs w:val="18"/>
                <w:color w:val="auto"/>
              </w:rPr>
              <w:t>Auburn Hills, Michigan,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Pr>
          <w:p>
            <w:pPr>
              <w:ind w:left="20"/>
              <w:spacing w:after="0" w:line="197" w:lineRule="exact"/>
              <w:rPr>
                <w:sz w:val="20"/>
                <w:szCs w:val="20"/>
                <w:color w:val="auto"/>
              </w:rPr>
            </w:pPr>
            <w:r>
              <w:rPr>
                <w:rFonts w:ascii="Arial" w:cs="Arial" w:eastAsia="Arial" w:hAnsi="Arial"/>
                <w:sz w:val="18"/>
                <w:szCs w:val="18"/>
                <w:color w:val="auto"/>
              </w:rPr>
              <w:t>Engineering, Operational Support,</w:t>
            </w:r>
          </w:p>
        </w:tc>
      </w:tr>
      <w:tr>
        <w:trPr>
          <w:trHeight w:val="235"/>
        </w:trPr>
        <w:tc>
          <w:tcPr>
            <w:tcW w:w="3140" w:type="dxa"/>
            <w:vAlign w:val="bottom"/>
          </w:tcPr>
          <w:p>
            <w:pPr>
              <w:ind w:left="20"/>
              <w:spacing w:after="0"/>
              <w:rPr>
                <w:sz w:val="20"/>
                <w:szCs w:val="20"/>
                <w:color w:val="auto"/>
              </w:rPr>
            </w:pPr>
            <w:r>
              <w:rPr>
                <w:rFonts w:ascii="Arial" w:cs="Arial" w:eastAsia="Arial" w:hAnsi="Arial"/>
                <w:sz w:val="18"/>
                <w:szCs w:val="18"/>
                <w:color w:val="auto"/>
              </w:rPr>
              <w:t>Auburn Hills</w:t>
            </w:r>
          </w:p>
        </w:tc>
        <w:tc>
          <w:tcPr>
            <w:tcW w:w="200" w:type="dxa"/>
            <w:vAlign w:val="bottom"/>
          </w:tcPr>
          <w:p>
            <w:pPr>
              <w:spacing w:after="0"/>
              <w:rPr>
                <w:sz w:val="20"/>
                <w:szCs w:val="20"/>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USA</w:t>
            </w:r>
          </w:p>
        </w:tc>
        <w:tc>
          <w:tcPr>
            <w:tcW w:w="1460" w:type="dxa"/>
            <w:vAlign w:val="bottom"/>
            <w:gridSpan w:val="2"/>
          </w:tcPr>
          <w:p>
            <w:pPr>
              <w:jc w:val="right"/>
              <w:ind w:right="42"/>
              <w:spacing w:after="0"/>
              <w:rPr>
                <w:sz w:val="20"/>
                <w:szCs w:val="20"/>
                <w:color w:val="auto"/>
              </w:rPr>
            </w:pPr>
            <w:r>
              <w:rPr>
                <w:rFonts w:ascii="Arial" w:cs="Arial" w:eastAsia="Arial" w:hAnsi="Arial"/>
                <w:sz w:val="18"/>
                <w:szCs w:val="18"/>
                <w:color w:val="auto"/>
              </w:rPr>
              <w:t>110,400</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Lease</w:t>
            </w:r>
          </w:p>
        </w:tc>
        <w:tc>
          <w:tcPr>
            <w:tcW w:w="18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197"/>
        </w:trPr>
        <w:tc>
          <w:tcPr>
            <w:tcW w:w="3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Lewisburg, Tennessee,</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60" w:type="dxa"/>
            <w:vAlign w:val="bottom"/>
            <w:shd w:val="clear" w:color="auto" w:fill="CFF0FC"/>
          </w:tcPr>
          <w:p>
            <w:pPr>
              <w:spacing w:after="0"/>
              <w:rPr>
                <w:sz w:val="17"/>
                <w:szCs w:val="17"/>
                <w:color w:val="auto"/>
              </w:rPr>
            </w:pPr>
          </w:p>
        </w:tc>
      </w:tr>
      <w:tr>
        <w:trPr>
          <w:trHeight w:val="235"/>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Walker Die Casting</w:t>
            </w:r>
          </w:p>
        </w:tc>
        <w:tc>
          <w:tcPr>
            <w:tcW w:w="200" w:type="dxa"/>
            <w:vAlign w:val="bottom"/>
            <w:shd w:val="clear" w:color="auto" w:fill="CFF0FC"/>
          </w:tcPr>
          <w:p>
            <w:pPr>
              <w:spacing w:after="0"/>
              <w:rPr>
                <w:sz w:val="20"/>
                <w:szCs w:val="20"/>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USA</w:t>
            </w:r>
          </w:p>
        </w:tc>
        <w:tc>
          <w:tcPr>
            <w:tcW w:w="146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774,100</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20"/>
                <w:szCs w:val="20"/>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Chennai</w:t>
            </w:r>
          </w:p>
        </w:tc>
        <w:tc>
          <w:tcPr>
            <w:tcW w:w="20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India</w:t>
            </w:r>
          </w:p>
        </w:tc>
        <w:tc>
          <w:tcPr>
            <w:tcW w:w="1460" w:type="dxa"/>
            <w:vAlign w:val="bottom"/>
            <w:gridSpan w:val="2"/>
          </w:tcPr>
          <w:p>
            <w:pPr>
              <w:jc w:val="right"/>
              <w:ind w:right="42"/>
              <w:spacing w:after="0"/>
              <w:rPr>
                <w:sz w:val="20"/>
                <w:szCs w:val="20"/>
                <w:color w:val="auto"/>
              </w:rPr>
            </w:pPr>
            <w:r>
              <w:rPr>
                <w:rFonts w:ascii="Arial" w:cs="Arial" w:eastAsia="Arial" w:hAnsi="Arial"/>
                <w:sz w:val="18"/>
                <w:szCs w:val="18"/>
                <w:color w:val="auto"/>
              </w:rPr>
              <w:t>331,700</w:t>
            </w:r>
          </w:p>
        </w:tc>
        <w:tc>
          <w:tcPr>
            <w:tcW w:w="18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Own</w:t>
            </w:r>
          </w:p>
        </w:tc>
        <w:tc>
          <w:tcPr>
            <w:tcW w:w="1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Manufacturing</w:t>
            </w: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Szentgotthard</w:t>
            </w:r>
          </w:p>
        </w:tc>
        <w:tc>
          <w:tcPr>
            <w:tcW w:w="20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Hungary</w:t>
            </w:r>
          </w:p>
        </w:tc>
        <w:tc>
          <w:tcPr>
            <w:tcW w:w="146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149,000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Own</w:t>
            </w:r>
          </w:p>
        </w:tc>
        <w:tc>
          <w:tcPr>
            <w:tcW w:w="180" w:type="dxa"/>
            <w:vAlign w:val="bottom"/>
            <w:shd w:val="clear" w:color="auto" w:fill="CFF0FC"/>
          </w:tcPr>
          <w:p>
            <w:pPr>
              <w:spacing w:after="0"/>
              <w:rPr>
                <w:sz w:val="19"/>
                <w:szCs w:val="19"/>
                <w:color w:val="auto"/>
              </w:rPr>
            </w:pP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 &amp; Customization</w:t>
            </w:r>
          </w:p>
        </w:tc>
      </w:tr>
    </w:tbl>
    <w:p>
      <w:pPr>
        <w:spacing w:after="0" w:line="170"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7" w:lineRule="exact"/>
        <w:rPr>
          <w:sz w:val="20"/>
          <w:szCs w:val="20"/>
          <w:color w:val="auto"/>
        </w:rPr>
      </w:pPr>
    </w:p>
    <w:p>
      <w:pPr>
        <w:ind w:right="80" w:firstLine="494"/>
        <w:spacing w:after="0" w:line="261" w:lineRule="auto"/>
        <w:rPr>
          <w:sz w:val="20"/>
          <w:szCs w:val="20"/>
          <w:color w:val="auto"/>
        </w:rPr>
      </w:pPr>
      <w:r>
        <w:rPr>
          <w:rFonts w:ascii="Arial" w:cs="Arial" w:eastAsia="Arial" w:hAnsi="Arial"/>
          <w:sz w:val="17"/>
          <w:szCs w:val="17"/>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 See also "Note 18. Commitments and Contingencies” in Part II, Item 8., of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right="1020"/>
        <w:spacing w:after="0" w:line="42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00"/>
        <w:spacing w:after="0"/>
        <w:rPr>
          <w:sz w:val="20"/>
          <w:szCs w:val="20"/>
          <w:color w:val="auto"/>
        </w:rPr>
      </w:pPr>
      <w:r>
        <w:rPr>
          <w:rFonts w:ascii="Arial" w:cs="Arial" w:eastAsia="Arial" w:hAnsi="Arial"/>
          <w:sz w:val="18"/>
          <w:szCs w:val="18"/>
          <w:color w:val="auto"/>
        </w:rPr>
        <w:t>Our common stock is listed on the NYSE under the symbol “ALSN.”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57" w:lineRule="exact"/>
        <w:rPr>
          <w:sz w:val="20"/>
          <w:szCs w:val="20"/>
          <w:color w:val="auto"/>
        </w:rPr>
      </w:pPr>
    </w:p>
    <w:p>
      <w:pPr>
        <w:ind w:right="320" w:firstLine="494"/>
        <w:spacing w:after="0" w:line="252" w:lineRule="auto"/>
        <w:rPr>
          <w:sz w:val="20"/>
          <w:szCs w:val="20"/>
          <w:color w:val="auto"/>
        </w:rPr>
      </w:pPr>
      <w:r>
        <w:rPr>
          <w:rFonts w:ascii="Arial" w:cs="Arial" w:eastAsia="Arial" w:hAnsi="Arial"/>
          <w:sz w:val="18"/>
          <w:szCs w:val="18"/>
          <w:color w:val="auto"/>
        </w:rPr>
        <w:t>As of February 1, 2023, there were approximately 92,975 stockholders of record of our common stock, which includes the actual number of holders registered on the books of the Company and holders of shares in “street name” or persons, partnerships, associations, corporations or other entities identified in security position listings maintained by depositories.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57" w:lineRule="exact"/>
        <w:rPr>
          <w:sz w:val="20"/>
          <w:szCs w:val="20"/>
          <w:color w:val="auto"/>
        </w:rPr>
      </w:pPr>
    </w:p>
    <w:p>
      <w:pPr>
        <w:ind w:right="280" w:firstLine="494"/>
        <w:spacing w:after="0" w:line="271" w:lineRule="auto"/>
        <w:rPr>
          <w:sz w:val="20"/>
          <w:szCs w:val="20"/>
          <w:color w:val="auto"/>
        </w:rPr>
      </w:pPr>
      <w:r>
        <w:rPr>
          <w:rFonts w:ascii="Arial" w:cs="Arial" w:eastAsia="Arial" w:hAnsi="Arial"/>
          <w:sz w:val="18"/>
          <w:szCs w:val="18"/>
          <w:color w:val="auto"/>
        </w:rPr>
        <w:t>During the period covered by this Annual Report on Form 10-K, we did not offer or sell any equity securities that were not registered under the Securities Act of 1933, as amended (the “Securities 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7" w:lineRule="exact"/>
        <w:rPr>
          <w:sz w:val="20"/>
          <w:szCs w:val="20"/>
          <w:color w:val="auto"/>
        </w:rPr>
      </w:pPr>
    </w:p>
    <w:p>
      <w:pPr>
        <w:jc w:val="both"/>
        <w:ind w:right="20" w:firstLine="494"/>
        <w:spacing w:after="0" w:line="243" w:lineRule="auto"/>
        <w:rPr>
          <w:sz w:val="20"/>
          <w:szCs w:val="20"/>
          <w:color w:val="auto"/>
        </w:rPr>
      </w:pPr>
      <w:r>
        <w:rPr>
          <w:rFonts w:ascii="Arial" w:cs="Arial" w:eastAsia="Arial" w:hAnsi="Arial"/>
          <w:sz w:val="18"/>
          <w:szCs w:val="18"/>
          <w:color w:val="auto"/>
        </w:rPr>
        <w:t>The Company's current stock repurchase program (the "Repurchase Program") was authorized by the Board of Directors in 2016, with increases approved by the Board of Directors on each of November 8, 2017, July 30, 2018, May 9, 2019 and February 24, 2022, which in the aggregate authorized total repurchases of up to $4,000 million in shares of our common stock.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related to our repurchase of our common stock on a monthly basis in the three months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center"/>
              <w:ind w:right="24"/>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center"/>
              <w:ind w:right="24"/>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ind w:right="221"/>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center"/>
              <w:ind w:right="24"/>
              <w:spacing w:after="0"/>
              <w:rPr>
                <w:sz w:val="20"/>
                <w:szCs w:val="20"/>
                <w:color w:val="auto"/>
              </w:rPr>
            </w:pPr>
            <w:r>
              <w:rPr>
                <w:rFonts w:ascii="Arial" w:cs="Arial" w:eastAsia="Arial" w:hAnsi="Arial"/>
                <w:sz w:val="14"/>
                <w:szCs w:val="14"/>
                <w:b w:val="1"/>
                <w:bCs w:val="1"/>
                <w:color w:val="auto"/>
              </w:rPr>
              <w:t>as Part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ind w:right="221"/>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4260" w:type="dxa"/>
            <w:vAlign w:val="bottom"/>
          </w:tcPr>
          <w:p>
            <w:pPr>
              <w:spacing w:after="0"/>
              <w:rPr>
                <w:sz w:val="14"/>
                <w:szCs w:val="14"/>
                <w:color w:val="auto"/>
              </w:rPr>
            </w:pPr>
          </w:p>
        </w:tc>
        <w:tc>
          <w:tcPr>
            <w:tcW w:w="1540" w:type="dxa"/>
            <w:vAlign w:val="bottom"/>
          </w:tcPr>
          <w:p>
            <w:pPr>
              <w:jc w:val="center"/>
              <w:ind w:right="58"/>
              <w:spacing w:after="0"/>
              <w:rPr>
                <w:sz w:val="20"/>
                <w:szCs w:val="20"/>
                <w:color w:val="auto"/>
              </w:rPr>
            </w:pPr>
            <w:r>
              <w:rPr>
                <w:rFonts w:ascii="Arial" w:cs="Arial" w:eastAsia="Arial" w:hAnsi="Arial"/>
                <w:sz w:val="14"/>
                <w:szCs w:val="14"/>
                <w:b w:val="1"/>
                <w:bCs w:val="1"/>
                <w:color w:val="auto"/>
              </w:rPr>
              <w:t>Total Number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center"/>
              <w:ind w:right="24"/>
              <w:spacing w:after="0"/>
              <w:rPr>
                <w:sz w:val="20"/>
                <w:szCs w:val="20"/>
                <w:color w:val="auto"/>
              </w:rPr>
            </w:pPr>
            <w:r>
              <w:rPr>
                <w:rFonts w:ascii="Arial" w:cs="Arial" w:eastAsia="Arial" w:hAnsi="Arial"/>
                <w:sz w:val="14"/>
                <w:szCs w:val="14"/>
                <w:b w:val="1"/>
                <w:bCs w:val="1"/>
                <w:color w:val="auto"/>
              </w:rPr>
              <w:t>Publicly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ind w:right="201"/>
              <w:spacing w:after="0"/>
              <w:rPr>
                <w:sz w:val="20"/>
                <w:szCs w:val="20"/>
                <w:color w:val="auto"/>
              </w:rPr>
            </w:pPr>
            <w:r>
              <w:rPr>
                <w:rFonts w:ascii="Arial" w:cs="Arial" w:eastAsia="Arial" w:hAnsi="Arial"/>
                <w:sz w:val="14"/>
                <w:szCs w:val="14"/>
                <w:b w:val="1"/>
                <w:bCs w:val="1"/>
                <w:color w:val="auto"/>
              </w:rPr>
              <w:t>Shares that May</w:t>
            </w:r>
          </w:p>
        </w:tc>
      </w:tr>
      <w:tr>
        <w:trPr>
          <w:trHeight w:val="144"/>
        </w:trPr>
        <w:tc>
          <w:tcPr>
            <w:tcW w:w="4260" w:type="dxa"/>
            <w:vAlign w:val="bottom"/>
          </w:tcPr>
          <w:p>
            <w:pPr>
              <w:spacing w:after="0"/>
              <w:rPr>
                <w:sz w:val="12"/>
                <w:szCs w:val="12"/>
                <w:color w:val="auto"/>
              </w:rPr>
            </w:pPr>
          </w:p>
        </w:tc>
        <w:tc>
          <w:tcPr>
            <w:tcW w:w="1540" w:type="dxa"/>
            <w:vAlign w:val="bottom"/>
          </w:tcPr>
          <w:p>
            <w:pPr>
              <w:jc w:val="center"/>
              <w:ind w:right="38"/>
              <w:spacing w:after="0" w:line="144" w:lineRule="exact"/>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right"/>
              <w:ind w:right="236"/>
              <w:spacing w:after="0" w:line="144" w:lineRule="exact"/>
              <w:rPr>
                <w:sz w:val="20"/>
                <w:szCs w:val="20"/>
                <w:color w:val="auto"/>
              </w:rPr>
            </w:pPr>
            <w:r>
              <w:rPr>
                <w:rFonts w:ascii="Arial" w:cs="Arial" w:eastAsia="Arial" w:hAnsi="Arial"/>
                <w:sz w:val="14"/>
                <w:szCs w:val="14"/>
                <w:b w:val="1"/>
                <w:bCs w:val="1"/>
                <w:color w:val="auto"/>
              </w:rPr>
              <w:t>Average Price</w:t>
            </w:r>
          </w:p>
        </w:tc>
        <w:tc>
          <w:tcPr>
            <w:tcW w:w="80" w:type="dxa"/>
            <w:vAlign w:val="bottom"/>
          </w:tcPr>
          <w:p>
            <w:pPr>
              <w:spacing w:after="0"/>
              <w:rPr>
                <w:sz w:val="12"/>
                <w:szCs w:val="12"/>
                <w:color w:val="auto"/>
              </w:rPr>
            </w:pPr>
          </w:p>
        </w:tc>
        <w:tc>
          <w:tcPr>
            <w:tcW w:w="1720" w:type="dxa"/>
            <w:vAlign w:val="bottom"/>
          </w:tcPr>
          <w:p>
            <w:pPr>
              <w:jc w:val="center"/>
              <w:ind w:right="24"/>
              <w:spacing w:after="0" w:line="144" w:lineRule="exact"/>
              <w:rPr>
                <w:sz w:val="20"/>
                <w:szCs w:val="20"/>
                <w:color w:val="auto"/>
              </w:rPr>
            </w:pPr>
            <w:r>
              <w:rPr>
                <w:rFonts w:ascii="Arial" w:cs="Arial" w:eastAsia="Arial" w:hAnsi="Arial"/>
                <w:sz w:val="14"/>
                <w:szCs w:val="14"/>
                <w:b w:val="1"/>
                <w:bCs w:val="1"/>
                <w:color w:val="auto"/>
              </w:rPr>
              <w:t>Announced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center"/>
              <w:ind w:right="221"/>
              <w:spacing w:after="0" w:line="144" w:lineRule="exact"/>
              <w:rPr>
                <w:sz w:val="20"/>
                <w:szCs w:val="20"/>
                <w:color w:val="auto"/>
              </w:rPr>
            </w:pPr>
            <w:r>
              <w:rPr>
                <w:rFonts w:ascii="Arial" w:cs="Arial" w:eastAsia="Arial" w:hAnsi="Arial"/>
                <w:sz w:val="14"/>
                <w:szCs w:val="14"/>
                <w:b w:val="1"/>
                <w:bCs w:val="1"/>
                <w:color w:val="auto"/>
              </w:rPr>
              <w:t>Yet Be Purchased</w:t>
            </w:r>
          </w:p>
        </w:tc>
      </w:tr>
      <w:tr>
        <w:trPr>
          <w:trHeight w:val="202"/>
        </w:trPr>
        <w:tc>
          <w:tcPr>
            <w:tcW w:w="4260" w:type="dxa"/>
            <w:vAlign w:val="bottom"/>
          </w:tcPr>
          <w:p>
            <w:pPr>
              <w:spacing w:after="0"/>
              <w:rPr>
                <w:sz w:val="17"/>
                <w:szCs w:val="17"/>
                <w:color w:val="auto"/>
              </w:rPr>
            </w:pPr>
          </w:p>
        </w:tc>
        <w:tc>
          <w:tcPr>
            <w:tcW w:w="15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Paid per Share</w:t>
            </w:r>
          </w:p>
        </w:tc>
        <w:tc>
          <w:tcPr>
            <w:tcW w:w="80" w:type="dxa"/>
            <w:vAlign w:val="bottom"/>
          </w:tcPr>
          <w:p>
            <w:pPr>
              <w:spacing w:after="0"/>
              <w:rPr>
                <w:sz w:val="17"/>
                <w:szCs w:val="17"/>
                <w:color w:val="auto"/>
              </w:rPr>
            </w:pPr>
          </w:p>
        </w:tc>
        <w:tc>
          <w:tcPr>
            <w:tcW w:w="1720" w:type="dxa"/>
            <w:vAlign w:val="bottom"/>
            <w:tcBorders>
              <w:bottom w:val="single" w:sz="8" w:color="auto"/>
            </w:tcBorders>
          </w:tcPr>
          <w:p>
            <w:pPr>
              <w:jc w:val="center"/>
              <w:ind w:right="24"/>
              <w:spacing w:after="0" w:line="203" w:lineRule="exact"/>
              <w:rPr>
                <w:sz w:val="20"/>
                <w:szCs w:val="20"/>
                <w:color w:val="auto"/>
              </w:rPr>
            </w:pPr>
            <w:r>
              <w:rPr>
                <w:rFonts w:ascii="Arial" w:cs="Arial" w:eastAsia="Arial" w:hAnsi="Arial"/>
                <w:sz w:val="14"/>
                <w:szCs w:val="14"/>
                <w:b w:val="1"/>
                <w:bCs w:val="1"/>
                <w:color w:val="auto"/>
                <w:w w:val="96"/>
              </w:rPr>
              <w:t>Programs</w:t>
            </w:r>
            <w:r>
              <w:rPr>
                <w:rFonts w:ascii="Arial" w:cs="Arial" w:eastAsia="Arial" w:hAnsi="Arial"/>
                <w:sz w:val="19"/>
                <w:szCs w:val="19"/>
                <w:b w:val="1"/>
                <w:bCs w:val="1"/>
                <w:color w:val="auto"/>
                <w:w w:val="96"/>
                <w:vertAlign w:val="superscript"/>
              </w:rPr>
              <w:t>(1)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221"/>
              <w:spacing w:after="0" w:line="203" w:lineRule="exact"/>
              <w:rPr>
                <w:sz w:val="20"/>
                <w:szCs w:val="20"/>
                <w:color w:val="auto"/>
              </w:rPr>
            </w:pPr>
            <w:r>
              <w:rPr>
                <w:rFonts w:ascii="Arial" w:cs="Arial" w:eastAsia="Arial" w:hAnsi="Arial"/>
                <w:sz w:val="14"/>
                <w:szCs w:val="14"/>
                <w:b w:val="1"/>
                <w:bCs w:val="1"/>
                <w:color w:val="auto"/>
                <w:w w:val="99"/>
              </w:rPr>
              <w:t>Under Programs</w:t>
            </w:r>
            <w:r>
              <w:rPr>
                <w:rFonts w:ascii="Arial" w:cs="Arial" w:eastAsia="Arial" w:hAnsi="Arial"/>
                <w:sz w:val="19"/>
                <w:szCs w:val="19"/>
                <w:b w:val="1"/>
                <w:bCs w:val="1"/>
                <w:color w:val="auto"/>
                <w:w w:val="99"/>
                <w:vertAlign w:val="superscript"/>
              </w:rPr>
              <w:t>(1)</w:t>
            </w:r>
          </w:p>
        </w:tc>
      </w:tr>
      <w:tr>
        <w:trPr>
          <w:trHeight w:val="223"/>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October 1 – October 31, 2022</w:t>
            </w:r>
          </w:p>
        </w:tc>
        <w:tc>
          <w:tcPr>
            <w:tcW w:w="15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1,492,094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36.16</w:t>
            </w:r>
          </w:p>
        </w:tc>
        <w:tc>
          <w:tcPr>
            <w:tcW w:w="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1,492,094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1,035,298,103</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November 1 – November 30, 2022</w:t>
            </w:r>
          </w:p>
        </w:tc>
        <w:tc>
          <w:tcPr>
            <w:tcW w:w="1540" w:type="dxa"/>
            <w:vAlign w:val="bottom"/>
          </w:tcPr>
          <w:p>
            <w:pPr>
              <w:jc w:val="right"/>
              <w:ind w:right="58"/>
              <w:spacing w:after="0"/>
              <w:rPr>
                <w:sz w:val="20"/>
                <w:szCs w:val="20"/>
                <w:color w:val="auto"/>
              </w:rPr>
            </w:pPr>
            <w:r>
              <w:rPr>
                <w:rFonts w:ascii="Arial" w:cs="Arial" w:eastAsia="Arial" w:hAnsi="Arial"/>
                <w:sz w:val="18"/>
                <w:szCs w:val="18"/>
                <w:color w:val="auto"/>
              </w:rPr>
              <w:t>4,100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40.94</w:t>
            </w:r>
          </w:p>
        </w:tc>
        <w:tc>
          <w:tcPr>
            <w:tcW w:w="1800" w:type="dxa"/>
            <w:vAlign w:val="bottom"/>
            <w:gridSpan w:val="2"/>
          </w:tcPr>
          <w:p>
            <w:pPr>
              <w:jc w:val="right"/>
              <w:ind w:right="44"/>
              <w:spacing w:after="0"/>
              <w:rPr>
                <w:sz w:val="20"/>
                <w:szCs w:val="20"/>
                <w:color w:val="auto"/>
              </w:rPr>
            </w:pPr>
            <w:r>
              <w:rPr>
                <w:rFonts w:ascii="Arial" w:cs="Arial" w:eastAsia="Arial" w:hAnsi="Arial"/>
                <w:sz w:val="18"/>
                <w:szCs w:val="18"/>
                <w:color w:val="auto"/>
              </w:rPr>
              <w:t>4,100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1"/>
              <w:spacing w:after="0"/>
              <w:rPr>
                <w:sz w:val="20"/>
                <w:szCs w:val="20"/>
                <w:color w:val="auto"/>
              </w:rPr>
            </w:pPr>
            <w:r>
              <w:rPr>
                <w:rFonts w:ascii="Arial" w:cs="Arial" w:eastAsia="Arial" w:hAnsi="Arial"/>
                <w:sz w:val="18"/>
                <w:szCs w:val="18"/>
                <w:color w:val="auto"/>
              </w:rPr>
              <w:t>1,035,130,253</w:t>
            </w:r>
          </w:p>
        </w:tc>
      </w:tr>
      <w:tr>
        <w:trPr>
          <w:trHeight w:val="269"/>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December 1 – December 31, 2022</w:t>
            </w:r>
          </w:p>
        </w:tc>
        <w:tc>
          <w:tcPr>
            <w:tcW w:w="154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3"/>
                <w:szCs w:val="23"/>
                <w:color w:val="auto"/>
              </w:rPr>
            </w:pPr>
          </w:p>
        </w:tc>
        <w:tc>
          <w:tcPr>
            <w:tcW w:w="17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1,035,130,253</w:t>
            </w:r>
          </w:p>
        </w:tc>
      </w:tr>
      <w:tr>
        <w:trPr>
          <w:trHeight w:val="210"/>
        </w:trPr>
        <w:tc>
          <w:tcPr>
            <w:tcW w:w="4260" w:type="dxa"/>
            <w:vAlign w:val="bottom"/>
          </w:tcPr>
          <w:p>
            <w:pPr>
              <w:ind w:left="280"/>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ind w:right="58"/>
              <w:spacing w:after="0"/>
              <w:rPr>
                <w:sz w:val="20"/>
                <w:szCs w:val="20"/>
                <w:color w:val="auto"/>
              </w:rPr>
            </w:pPr>
            <w:r>
              <w:rPr>
                <w:rFonts w:ascii="Arial" w:cs="Arial" w:eastAsia="Arial" w:hAnsi="Arial"/>
                <w:sz w:val="18"/>
                <w:szCs w:val="18"/>
                <w:color w:val="auto"/>
              </w:rPr>
              <w:t>1,496,194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36.17</w:t>
            </w:r>
          </w:p>
        </w:tc>
        <w:tc>
          <w:tcPr>
            <w:tcW w:w="1800" w:type="dxa"/>
            <w:vAlign w:val="bottom"/>
            <w:gridSpan w:val="2"/>
          </w:tcPr>
          <w:p>
            <w:pPr>
              <w:jc w:val="right"/>
              <w:ind w:right="44"/>
              <w:spacing w:after="0"/>
              <w:rPr>
                <w:sz w:val="20"/>
                <w:szCs w:val="20"/>
                <w:color w:val="auto"/>
              </w:rPr>
            </w:pPr>
            <w:r>
              <w:rPr>
                <w:rFonts w:ascii="Arial" w:cs="Arial" w:eastAsia="Arial" w:hAnsi="Arial"/>
                <w:sz w:val="18"/>
                <w:szCs w:val="18"/>
                <w:color w:val="auto"/>
              </w:rPr>
              <w:t>1,496,194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-196215</wp:posOffset>
            </wp:positionV>
            <wp:extent cx="226060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60600" cy="196850"/>
                    </a:xfrm>
                    <a:prstGeom prst="rect">
                      <a:avLst/>
                    </a:prstGeom>
                    <a:noFill/>
                  </pic:spPr>
                </pic:pic>
              </a:graphicData>
            </a:graphic>
          </wp:anchor>
        </w:drawing>
      </w:r>
    </w:p>
    <w:p>
      <w:pPr>
        <w:spacing w:after="0" w:line="113"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These values reflect repurchases made under the Repurchase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157"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For information regarding the securities authorized for issuance under our equity compensation plans, see Part III, Item 12. of this Annual Report on Form 10-K.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57"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22" w:lineRule="exact"/>
        <w:rPr>
          <w:sz w:val="20"/>
          <w:szCs w:val="20"/>
          <w:color w:val="auto"/>
        </w:rPr>
      </w:pPr>
    </w:p>
    <w:p>
      <w:pPr>
        <w:ind w:right="380" w:firstLine="494"/>
        <w:spacing w:after="0" w:line="246"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Donaldson Company, Inc., Graco Inc., Roper Technologies, Inc., Gentex Corporation, Rockwell Automation, Inc. and Sensata Technologies Holding PLC. The graph assumes $100 was invested on December 31, 2017 in our common stock and each of the indices and that all dividends, if any, are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179"/>
              <w:spacing w:after="0"/>
              <w:rPr>
                <w:sz w:val="20"/>
                <w:szCs w:val="20"/>
                <w:color w:val="auto"/>
              </w:rPr>
            </w:pPr>
            <w:r>
              <w:rPr>
                <w:rFonts w:ascii="Arial" w:cs="Arial" w:eastAsia="Arial" w:hAnsi="Arial"/>
                <w:sz w:val="14"/>
                <w:szCs w:val="14"/>
                <w:b w:val="1"/>
                <w:bCs w:val="1"/>
                <w:color w:val="auto"/>
                <w:w w:val="97"/>
              </w:rPr>
              <w:t>As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7"/>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r>
      <w:tr>
        <w:trPr>
          <w:trHeight w:val="162"/>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17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2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2022</w:t>
            </w:r>
          </w:p>
        </w:tc>
      </w:tr>
      <w:tr>
        <w:trPr>
          <w:trHeight w:val="190"/>
        </w:trPr>
        <w:tc>
          <w:tcPr>
            <w:tcW w:w="256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Allison Transmission</w:t>
            </w: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235"/>
        </w:trPr>
        <w:tc>
          <w:tcPr>
            <w:tcW w:w="2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Holdings, Inc.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103.34</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115.22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104.75</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90.00</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105.16</w:t>
            </w: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1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95.62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125.72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148.85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191.58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b w:val="1"/>
                <w:bCs w:val="1"/>
                <w:color w:val="auto"/>
              </w:rPr>
              <w:t>156.88</w:t>
            </w:r>
          </w:p>
        </w:tc>
      </w:tr>
      <w:tr>
        <w:trPr>
          <w:trHeight w:val="229"/>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Peer Group</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91.57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122.08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147.25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177.25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145.98</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59" w:lineRule="exact"/>
        <w:rPr>
          <w:sz w:val="20"/>
          <w:szCs w:val="20"/>
          <w:color w:val="auto"/>
        </w:rPr>
      </w:pPr>
    </w:p>
    <w:p>
      <w:pPr>
        <w:ind w:right="80" w:firstLine="494"/>
        <w:spacing w:after="0" w:line="241" w:lineRule="auto"/>
        <w:rPr>
          <w:sz w:val="20"/>
          <w:szCs w:val="20"/>
          <w:color w:val="auto"/>
        </w:rPr>
      </w:pPr>
      <w:r>
        <w:rPr>
          <w:rFonts w:ascii="Arial" w:cs="Arial" w:eastAsia="Arial" w:hAnsi="Arial"/>
          <w:sz w:val="18"/>
          <w:szCs w:val="18"/>
          <w:i w:val="1"/>
          <w:iCs w:val="1"/>
          <w:color w:val="auto"/>
        </w:rPr>
        <w:t>The following discussion contains forward-looking statements regarding industry trends, our expectations regarding our future performance, liquidity and capital resources and other non-historical statements that involve risks and uncertainties. Our actual results may differ materially from those discussed in or implied by the forward-looking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w:t>
      </w:r>
    </w:p>
    <w:p>
      <w:pPr>
        <w:spacing w:after="0" w:line="126" w:lineRule="exact"/>
        <w:rPr>
          <w:sz w:val="20"/>
          <w:szCs w:val="20"/>
          <w:color w:val="auto"/>
        </w:rPr>
      </w:pPr>
    </w:p>
    <w:p>
      <w:pPr>
        <w:ind w:right="160" w:firstLine="494"/>
        <w:spacing w:after="0" w:line="246" w:lineRule="auto"/>
        <w:rPr>
          <w:sz w:val="20"/>
          <w:szCs w:val="20"/>
          <w:color w:val="auto"/>
        </w:rPr>
      </w:pPr>
      <w:r>
        <w:rPr>
          <w:rFonts w:ascii="Arial" w:cs="Arial" w:eastAsia="Arial" w:hAnsi="Arial"/>
          <w:sz w:val="18"/>
          <w:szCs w:val="18"/>
          <w:color w:val="auto"/>
        </w:rPr>
        <w:t>This section of this Annual Report on Form 10-K generally discusses 2022 and 2021 items and year-over-year comparisons between 2022 and 2021. A detailed discussion of 2020 items and year-over-year comparisons between 2021 and 2020 that are not included in this Annual Report on Form 10-K can be found in “Management’s Discussion and Analysis of Financial Condition and Results of Operations” in Part II, Item 7. of our Annual Report on Form 10-K for the year ended December 31, 2021, as filed with the SEC on February 17,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7" w:lineRule="exact"/>
        <w:rPr>
          <w:sz w:val="20"/>
          <w:szCs w:val="20"/>
          <w:color w:val="auto"/>
        </w:rPr>
      </w:pPr>
    </w:p>
    <w:p>
      <w:pPr>
        <w:ind w:right="300" w:firstLine="494"/>
        <w:spacing w:after="0" w:line="252" w:lineRule="auto"/>
        <w:rPr>
          <w:sz w:val="20"/>
          <w:szCs w:val="20"/>
          <w:color w:val="auto"/>
        </w:rPr>
      </w:pPr>
      <w:r>
        <w:rPr>
          <w:rFonts w:ascii="Arial" w:cs="Arial" w:eastAsia="Arial" w:hAnsi="Arial"/>
          <w:sz w:val="18"/>
          <w:szCs w:val="18"/>
          <w:color w:val="auto"/>
        </w:rPr>
        <w:t>We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117" w:lineRule="exact"/>
        <w:rPr>
          <w:sz w:val="20"/>
          <w:szCs w:val="20"/>
          <w:color w:val="auto"/>
        </w:rPr>
      </w:pPr>
    </w:p>
    <w:p>
      <w:pPr>
        <w:ind w:right="400" w:firstLine="494"/>
        <w:spacing w:after="0" w:line="252" w:lineRule="auto"/>
        <w:rPr>
          <w:sz w:val="20"/>
          <w:szCs w:val="20"/>
          <w:color w:val="auto"/>
        </w:rPr>
      </w:pPr>
      <w:r>
        <w:rPr>
          <w:rFonts w:ascii="Arial" w:cs="Arial" w:eastAsia="Arial" w:hAnsi="Arial"/>
          <w:sz w:val="18"/>
          <w:szCs w:val="18"/>
          <w:color w:val="auto"/>
        </w:rPr>
        <w:t>We have approximately 3,500 employees. Although approximately 74% of revenues were generated in North America in 2022, we have a global presence by serving customers in Asia, Europe, South America and Africa. We serve customers through an independent network of approximately 1,600 independent distributor and dealer locations worldwide.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57"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Global markets continue to experience supply chain, labor, energy and raw material constraints as a result of global economic volatility, the war in Ukraine and the COVID-19 pandemic, that impacted our business in 2022 and continue to impact our business performance. As a result, during 2022 we experienced raw material and component part price inflation, increased freight and logistics costs, increased labor costs, production constraints due to labor shortages and increased foreign exchange volatility. In addition, our net sales for 2022 were negatively impacted as a result of our customers’ inability to secure components from the broader commercial vehicle supply base which resulted in reduced commercial vehicle build schedules and the inability of the commercial vehicle market to produce sufficient quantities to meet demand. We expect that commercial vehicle build schedules will continue to be negatively impacted by the availability of components in 2023.</w:t>
      </w:r>
    </w:p>
    <w:p>
      <w:pPr>
        <w:spacing w:after="0" w:line="131" w:lineRule="exact"/>
        <w:rPr>
          <w:sz w:val="20"/>
          <w:szCs w:val="20"/>
          <w:color w:val="auto"/>
        </w:rPr>
      </w:pPr>
    </w:p>
    <w:p>
      <w:pPr>
        <w:ind w:right="100" w:firstLine="494"/>
        <w:spacing w:after="0" w:line="271"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In 2023, we expect higher net sales driven by price increases on certain products and the continued execution of growth initiatives.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Full Year 2022 and 2021 Net Sales by End Market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 Market</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 Variance</w:t>
            </w:r>
          </w:p>
        </w:tc>
        <w:tc>
          <w:tcPr>
            <w:tcW w:w="100" w:type="dxa"/>
            <w:vAlign w:val="bottom"/>
          </w:tcPr>
          <w:p>
            <w:pPr>
              <w:spacing w:after="0"/>
              <w:rPr>
                <w:sz w:val="16"/>
                <w:szCs w:val="16"/>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North America On-Highway</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54"/>
              <w:spacing w:after="0"/>
              <w:rPr>
                <w:sz w:val="20"/>
                <w:szCs w:val="20"/>
                <w:color w:val="auto"/>
              </w:rPr>
            </w:pPr>
            <w:r>
              <w:rPr>
                <w:rFonts w:ascii="Arial" w:cs="Arial" w:eastAsia="Arial" w:hAnsi="Arial"/>
                <w:sz w:val="18"/>
                <w:szCs w:val="18"/>
                <w:b w:val="1"/>
                <w:bCs w:val="1"/>
                <w:color w:val="auto"/>
              </w:rPr>
              <w:t>1,359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48 %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Defense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b w:val="1"/>
                <w:bCs w:val="1"/>
                <w:color w:val="auto"/>
              </w:rPr>
              <w:t>146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b w:val="1"/>
                <w:bCs w:val="1"/>
                <w:color w:val="auto"/>
              </w:rPr>
              <w:t>463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381</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22 %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Outside North America Off-Highway</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83</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53 %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588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517</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14 %</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2,769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2,402</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15 %</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3" w:lineRule="exact"/>
        <w:rPr>
          <w:sz w:val="20"/>
          <w:szCs w:val="20"/>
          <w:color w:val="auto"/>
        </w:rPr>
      </w:pPr>
    </w:p>
    <w:p>
      <w:pPr>
        <w:ind w:right="400" w:firstLine="494"/>
        <w:spacing w:after="0" w:line="271" w:lineRule="auto"/>
        <w:rPr>
          <w:sz w:val="20"/>
          <w:szCs w:val="20"/>
          <w:color w:val="auto"/>
        </w:rPr>
      </w:pPr>
      <w:r>
        <w:rPr>
          <w:rFonts w:ascii="Arial" w:cs="Arial" w:eastAsia="Arial" w:hAnsi="Arial"/>
          <w:sz w:val="18"/>
          <w:szCs w:val="18"/>
          <w:color w:val="auto"/>
        </w:rPr>
        <w:t>North America On-Highway end market net sales were up 15% for the year ended December 31, 2022 compared to the year ended December 31, 2021, principally driven by strength in customer demand for last mile delivery, regional haul and vocational trucks.</w:t>
      </w:r>
    </w:p>
    <w:p>
      <w:pPr>
        <w:spacing w:after="0" w:line="99" w:lineRule="exact"/>
        <w:rPr>
          <w:sz w:val="20"/>
          <w:szCs w:val="20"/>
          <w:color w:val="auto"/>
        </w:rPr>
      </w:pPr>
    </w:p>
    <w:p>
      <w:pPr>
        <w:ind w:right="160" w:firstLine="494"/>
        <w:spacing w:after="0" w:line="252" w:lineRule="auto"/>
        <w:rPr>
          <w:sz w:val="20"/>
          <w:szCs w:val="20"/>
          <w:color w:val="auto"/>
        </w:rPr>
      </w:pPr>
      <w:r>
        <w:rPr>
          <w:rFonts w:ascii="Arial" w:cs="Arial" w:eastAsia="Arial" w:hAnsi="Arial"/>
          <w:sz w:val="18"/>
          <w:szCs w:val="18"/>
          <w:color w:val="auto"/>
        </w:rPr>
        <w:t>Global Off-Highway end market net sales were up 51% for the year ended December 31, 2022 compared to the year ended December 31, 2021, principally driven by demand for hydraulic fracturing applications in the energy sector as well as higher demand in the mining and construction sectors.</w:t>
      </w:r>
    </w:p>
    <w:p>
      <w:pPr>
        <w:spacing w:after="0" w:line="117" w:lineRule="exact"/>
        <w:rPr>
          <w:sz w:val="20"/>
          <w:szCs w:val="20"/>
          <w:color w:val="auto"/>
        </w:rPr>
      </w:pPr>
    </w:p>
    <w:p>
      <w:pPr>
        <w:ind w:right="500" w:firstLine="494"/>
        <w:spacing w:after="0" w:line="252" w:lineRule="auto"/>
        <w:rPr>
          <w:sz w:val="20"/>
          <w:szCs w:val="20"/>
          <w:color w:val="auto"/>
        </w:rPr>
      </w:pPr>
      <w:r>
        <w:rPr>
          <w:rFonts w:ascii="Arial" w:cs="Arial" w:eastAsia="Arial" w:hAnsi="Arial"/>
          <w:sz w:val="18"/>
          <w:szCs w:val="18"/>
          <w:color w:val="auto"/>
        </w:rPr>
        <w:t>Defense end market net sales were down 22% for the year ended December 31, 2022 compared to the year ended December 31, 2021, principally driven by lower usage of defense vehicles during the COVID-19 pandemic leading to lower demand for Tracked and Wheeled vehicle applications.</w:t>
      </w:r>
    </w:p>
    <w:p>
      <w:pPr>
        <w:spacing w:after="0" w:line="117" w:lineRule="exact"/>
        <w:rPr>
          <w:sz w:val="20"/>
          <w:szCs w:val="20"/>
          <w:color w:val="auto"/>
        </w:rPr>
      </w:pPr>
    </w:p>
    <w:p>
      <w:pPr>
        <w:jc w:val="both"/>
        <w:ind w:right="280" w:firstLine="494"/>
        <w:spacing w:after="0" w:line="301" w:lineRule="auto"/>
        <w:rPr>
          <w:sz w:val="20"/>
          <w:szCs w:val="20"/>
          <w:color w:val="auto"/>
        </w:rPr>
      </w:pPr>
      <w:r>
        <w:rPr>
          <w:rFonts w:ascii="Arial" w:cs="Arial" w:eastAsia="Arial" w:hAnsi="Arial"/>
          <w:sz w:val="17"/>
          <w:szCs w:val="17"/>
          <w:color w:val="auto"/>
        </w:rPr>
        <w:t>Outside North America On-Highway end market net sales were up 22% for the year ended December 31, 2022 compared to the year ended December 31, 2021, principally driven by the continued execution of our growth initiatives in EMEA, Asia-Pacific and South America.</w:t>
      </w:r>
    </w:p>
    <w:p>
      <w:pPr>
        <w:spacing w:after="0" w:line="76" w:lineRule="exact"/>
        <w:rPr>
          <w:sz w:val="20"/>
          <w:szCs w:val="20"/>
          <w:color w:val="auto"/>
        </w:rPr>
      </w:pPr>
    </w:p>
    <w:p>
      <w:pPr>
        <w:jc w:val="both"/>
        <w:ind w:right="220" w:firstLine="494"/>
        <w:spacing w:after="0" w:line="252" w:lineRule="auto"/>
        <w:rPr>
          <w:sz w:val="20"/>
          <w:szCs w:val="20"/>
          <w:color w:val="auto"/>
        </w:rPr>
      </w:pPr>
      <w:r>
        <w:rPr>
          <w:rFonts w:ascii="Arial" w:cs="Arial" w:eastAsia="Arial" w:hAnsi="Arial"/>
          <w:sz w:val="18"/>
          <w:szCs w:val="18"/>
          <w:color w:val="auto"/>
        </w:rPr>
        <w:t>Service Parts, Support Equipment and Other end market net sales were up 14% for the year ended December 31, 2022 compared to the year ended December 31, 2021, principally driven by higher demand for global service parts and support equipment and price increases on certain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55" w:lineRule="exact"/>
        <w:rPr>
          <w:sz w:val="20"/>
          <w:szCs w:val="20"/>
          <w:color w:val="auto"/>
        </w:rPr>
      </w:pPr>
    </w:p>
    <w:p>
      <w:pPr>
        <w:ind w:right="200" w:firstLine="494"/>
        <w:spacing w:after="0" w:line="261" w:lineRule="auto"/>
        <w:rPr>
          <w:sz w:val="20"/>
          <w:szCs w:val="20"/>
          <w:color w:val="auto"/>
        </w:rPr>
      </w:pPr>
      <w:r>
        <w:rPr>
          <w:rFonts w:ascii="Arial" w:cs="Arial" w:eastAsia="Arial" w:hAnsi="Arial"/>
          <w:sz w:val="17"/>
          <w:szCs w:val="17"/>
          <w:color w:val="auto"/>
        </w:rPr>
        <w:t>We generate our net sales primarily from the sale of vehicle propulsion solutions, service and component parts, support equipment, defense kits, engineering services, royalties and extended transmission coverage to a wide array of OEMs, distributors and the U.S. government. Sales are recorded in accordance with the terms of the contract,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55"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year ended December 31, 2022, direct material costs were approximately 66%, overhead costs were approximately 27% and direct labor costs were approximately 7% of total cost of sales. We are subject to changes in our cost of sales caused by movements in underlying commodity prices. We seek to hedge against this risk by using LTAs. See Part II, Item 7A., “Quantitative and Qualitative Disclosures about Market Risk—Commodity Price Risk” included in this Annual Report on Form 10-K.</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5" w:lineRule="exact"/>
        <w:rPr>
          <w:sz w:val="20"/>
          <w:szCs w:val="20"/>
          <w:color w:val="auto"/>
        </w:rPr>
      </w:pPr>
    </w:p>
    <w:p>
      <w:pPr>
        <w:ind w:right="620" w:firstLine="494"/>
        <w:spacing w:after="0" w:line="252"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55"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5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ATI's term loan facility due March 2026 (“Term Loan”). Adjusted EBITDA as a percent of net sales is calculated as Adjusted EBITDA divided by net sales.</w:t>
      </w:r>
    </w:p>
    <w:p>
      <w:pPr>
        <w:spacing w:after="0" w:line="132"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excluding non-recurring restructuring charges, after additions of long-lived assets.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(unaudited, in millions)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22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(GAAP)</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531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plus: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118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9"/>
                <w:szCs w:val="19"/>
                <w:color w:val="auto"/>
              </w:rPr>
            </w:pPr>
          </w:p>
        </w:tc>
      </w:tr>
      <w:tr>
        <w:trPr>
          <w:trHeight w:val="229"/>
        </w:trPr>
        <w:tc>
          <w:tcPr>
            <w:tcW w:w="65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114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r>
      <w:tr>
        <w:trPr>
          <w:trHeight w:val="229"/>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109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r>
      <w:tr>
        <w:trPr>
          <w:trHeight w:val="229"/>
        </w:trPr>
        <w:tc>
          <w:tcPr>
            <w:tcW w:w="652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r>
      <w:tr>
        <w:trPr>
          <w:trHeight w:val="229"/>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(gain) on marketable securities (a)</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520" w:type="dxa"/>
            <w:vAlign w:val="bottom"/>
          </w:tcPr>
          <w:p>
            <w:pPr>
              <w:ind w:left="280"/>
              <w:spacing w:after="0"/>
              <w:rPr>
                <w:sz w:val="20"/>
                <w:szCs w:val="20"/>
                <w:color w:val="auto"/>
              </w:rPr>
            </w:pPr>
            <w:r>
              <w:rPr>
                <w:rFonts w:ascii="Arial" w:cs="Arial" w:eastAsia="Arial" w:hAnsi="Arial"/>
                <w:sz w:val="18"/>
                <w:szCs w:val="18"/>
                <w:color w:val="auto"/>
              </w:rPr>
              <w:t>Stock-based compensation expense (b)</w:t>
            </w:r>
          </w:p>
        </w:tc>
        <w:tc>
          <w:tcPr>
            <w:tcW w:w="32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r>
      <w:tr>
        <w:trPr>
          <w:trHeight w:val="229"/>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on foreign exchange (c)</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29"/>
        </w:trPr>
        <w:tc>
          <w:tcPr>
            <w:tcW w:w="6520" w:type="dxa"/>
            <w:vAlign w:val="bottom"/>
          </w:tcPr>
          <w:p>
            <w:pPr>
              <w:ind w:left="280"/>
              <w:spacing w:after="0"/>
              <w:rPr>
                <w:sz w:val="20"/>
                <w:szCs w:val="20"/>
                <w:color w:val="auto"/>
              </w:rPr>
            </w:pPr>
            <w:r>
              <w:rPr>
                <w:rFonts w:ascii="Arial" w:cs="Arial" w:eastAsia="Arial" w:hAnsi="Arial"/>
                <w:sz w:val="18"/>
                <w:szCs w:val="18"/>
                <w:color w:val="auto"/>
              </w:rPr>
              <w:t>Technology-related investment gain (d)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Acquisition-related earnouts (e)</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29"/>
        </w:trPr>
        <w:tc>
          <w:tcPr>
            <w:tcW w:w="6520" w:type="dxa"/>
            <w:vAlign w:val="bottom"/>
          </w:tcPr>
          <w:p>
            <w:pPr>
              <w:ind w:left="280"/>
              <w:spacing w:after="0"/>
              <w:rPr>
                <w:sz w:val="20"/>
                <w:szCs w:val="20"/>
                <w:color w:val="auto"/>
              </w:rPr>
            </w:pPr>
            <w:r>
              <w:rPr>
                <w:rFonts w:ascii="Arial" w:cs="Arial" w:eastAsia="Arial" w:hAnsi="Arial"/>
                <w:sz w:val="18"/>
                <w:szCs w:val="18"/>
                <w:color w:val="auto"/>
              </w:rPr>
              <w:t>Pension curtailment (f)</w:t>
            </w:r>
          </w:p>
        </w:tc>
        <w:tc>
          <w:tcPr>
            <w:tcW w:w="32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UAW Local 933 retirement incentive (g)</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29"/>
        </w:trPr>
        <w:tc>
          <w:tcPr>
            <w:tcW w:w="6520" w:type="dxa"/>
            <w:vAlign w:val="bottom"/>
          </w:tcPr>
          <w:p>
            <w:pPr>
              <w:ind w:left="280"/>
              <w:spacing w:after="0"/>
              <w:rPr>
                <w:sz w:val="20"/>
                <w:szCs w:val="20"/>
                <w:color w:val="auto"/>
              </w:rPr>
            </w:pPr>
            <w:r>
              <w:rPr>
                <w:rFonts w:ascii="Arial" w:cs="Arial" w:eastAsia="Arial" w:hAnsi="Arial"/>
                <w:sz w:val="18"/>
                <w:szCs w:val="18"/>
                <w:color w:val="auto"/>
              </w:rPr>
              <w:t>Restructuring charges (h)</w:t>
            </w:r>
          </w:p>
        </w:tc>
        <w:tc>
          <w:tcPr>
            <w:tcW w:w="3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29"/>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Expenses related to long-term debt refinancing (i)</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961</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732</w:t>
            </w:r>
          </w:p>
        </w:tc>
        <w:tc>
          <w:tcPr>
            <w:tcW w:w="6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 (GAAP)</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2,769</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2,402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2,081</w:t>
            </w:r>
          </w:p>
        </w:tc>
        <w:tc>
          <w:tcPr>
            <w:tcW w:w="60" w:type="dxa"/>
            <w:vAlign w:val="bottom"/>
          </w:tcPr>
          <w:p>
            <w:pPr>
              <w:spacing w:after="0"/>
              <w:rPr>
                <w:sz w:val="18"/>
                <w:szCs w:val="18"/>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Net income as a percent of net sales (GAAP)</w:t>
            </w:r>
          </w:p>
        </w:tc>
        <w:tc>
          <w:tcPr>
            <w:tcW w:w="3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19.2 %</w:t>
            </w: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18.4 %</w:t>
            </w:r>
          </w:p>
        </w:tc>
        <w:tc>
          <w:tcPr>
            <w:tcW w:w="3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3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34.7 %</w:t>
            </w: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35.1 %</w:t>
            </w:r>
          </w:p>
        </w:tc>
        <w:tc>
          <w:tcPr>
            <w:tcW w:w="3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35.2 %</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657</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561</w:t>
            </w:r>
          </w:p>
        </w:tc>
        <w:tc>
          <w:tcPr>
            <w:tcW w:w="60" w:type="dxa"/>
            <w:vAlign w:val="bottom"/>
          </w:tcPr>
          <w:p>
            <w:pPr>
              <w:spacing w:after="0"/>
              <w:rPr>
                <w:sz w:val="19"/>
                <w:szCs w:val="19"/>
                <w:color w:val="auto"/>
              </w:rPr>
            </w:pPr>
          </w:p>
        </w:tc>
      </w:tr>
      <w:tr>
        <w:trPr>
          <w:trHeight w:val="229"/>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(Deductions) or additions to reconcile to Adjusted free cash flow:</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Additions of long-lived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(167 )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(115 )</w:t>
            </w:r>
          </w:p>
        </w:tc>
        <w:tc>
          <w:tcPr>
            <w:tcW w:w="60" w:type="dxa"/>
            <w:vAlign w:val="bottom"/>
          </w:tcPr>
          <w:p>
            <w:pPr>
              <w:spacing w:after="0"/>
              <w:rPr>
                <w:sz w:val="19"/>
                <w:szCs w:val="19"/>
                <w:color w:val="auto"/>
              </w:rPr>
            </w:pPr>
          </w:p>
        </w:tc>
      </w:tr>
      <w:tr>
        <w:trPr>
          <w:trHeight w:val="229"/>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charges (h)</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490</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0" w:lineRule="exact"/>
        <w:rPr>
          <w:sz w:val="20"/>
          <w:szCs w:val="20"/>
          <w:color w:val="auto"/>
        </w:rPr>
      </w:pPr>
    </w:p>
    <w:p>
      <w:pPr>
        <w:ind w:left="660" w:right="620" w:hanging="652"/>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income, net) related to an investment in the common stock of Jing-Jin Electric Technologies Co. Ltd.</w:t>
      </w:r>
    </w:p>
    <w:p>
      <w:pPr>
        <w:spacing w:after="0" w:line="1" w:lineRule="exact"/>
        <w:rPr>
          <w:rFonts w:ascii="Arial" w:cs="Arial" w:eastAsia="Arial" w:hAnsi="Arial"/>
          <w:sz w:val="18"/>
          <w:szCs w:val="18"/>
          <w:color w:val="auto"/>
        </w:rPr>
      </w:pPr>
    </w:p>
    <w:p>
      <w:pPr>
        <w:ind w:left="660" w:right="220" w:hanging="652"/>
        <w:spacing w:after="0" w:line="23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ind w:left="660" w:right="160" w:hanging="652"/>
        <w:spacing w:after="0" w:line="24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losses (recorded in Other (expense) income, net) on intercompany financing transactions related to investments in plant assets for our India facility.</w:t>
      </w:r>
    </w:p>
    <w:p>
      <w:pPr>
        <w:ind w:left="660" w:right="360" w:hanging="652"/>
        <w:spacing w:after="0" w:line="24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gains (recorded in Other (expense) income, net) related to investments in co-development agreements to expand our position in propulsion solution technologies.</w:t>
      </w:r>
    </w:p>
    <w:p>
      <w:pPr>
        <w:spacing w:after="0" w:line="1" w:lineRule="exact"/>
        <w:rPr>
          <w:rFonts w:ascii="Arial" w:cs="Arial" w:eastAsia="Arial" w:hAnsi="Arial"/>
          <w:sz w:val="18"/>
          <w:szCs w:val="18"/>
          <w:color w:val="auto"/>
        </w:rPr>
      </w:pPr>
    </w:p>
    <w:p>
      <w:pPr>
        <w:ind w:left="660" w:right="260" w:hanging="652"/>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and Engineering — research and development) for earnouts related to our acquisition of Vantage Power Limited.</w:t>
      </w:r>
    </w:p>
    <w:p>
      <w:pPr>
        <w:ind w:left="660" w:right="100" w:hanging="652"/>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 curtailment loss (recorded in Selling, general and administrative) for our European subsidiary's defined benefit pension plan.</w:t>
      </w:r>
    </w:p>
    <w:p>
      <w:pPr>
        <w:ind w:left="660" w:right="320" w:hanging="652"/>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(adjustments) charges (recorded in Cost of sales) related to a 2018 to 2021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spacing w:after="0" w:line="1" w:lineRule="exact"/>
        <w:rPr>
          <w:rFonts w:ascii="Arial" w:cs="Arial" w:eastAsia="Arial" w:hAnsi="Arial"/>
          <w:sz w:val="18"/>
          <w:szCs w:val="18"/>
          <w:color w:val="auto"/>
        </w:rPr>
      </w:pPr>
    </w:p>
    <w:p>
      <w:pPr>
        <w:jc w:val="both"/>
        <w:ind w:left="660" w:right="680" w:hanging="652"/>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restructuring and pension plan settlement charges (recorded in Cost of sales, Selling, general and administrative, Engineering — research and development, and Other (expense) income, net) related to voluntary and involuntary separation programs for both hourly and salaried employees in 2020.</w:t>
      </w:r>
    </w:p>
    <w:p>
      <w:pPr>
        <w:spacing w:after="0" w:line="1" w:lineRule="exact"/>
        <w:rPr>
          <w:rFonts w:ascii="Arial" w:cs="Arial" w:eastAsia="Arial" w:hAnsi="Arial"/>
          <w:sz w:val="18"/>
          <w:szCs w:val="18"/>
          <w:color w:val="auto"/>
        </w:rPr>
      </w:pPr>
    </w:p>
    <w:p>
      <w:pPr>
        <w:ind w:left="660" w:right="4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expenses (recorded in Other (expense) income, net) related to the redemption of ATI’s 5.0% Senior Notes due 2024 (“5.0% Senior Notes”) in the fourth quarter of 2020.</w:t>
      </w: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7" w:lineRule="exact"/>
        <w:rPr>
          <w:sz w:val="20"/>
          <w:szCs w:val="20"/>
          <w:color w:val="auto"/>
        </w:rPr>
      </w:pPr>
    </w:p>
    <w:p>
      <w:pPr>
        <w:ind w:right="300" w:firstLine="494"/>
        <w:spacing w:after="0" w:line="252" w:lineRule="auto"/>
        <w:rPr>
          <w:sz w:val="20"/>
          <w:szCs w:val="20"/>
          <w:color w:val="auto"/>
        </w:rPr>
      </w:pPr>
      <w:r>
        <w:rPr>
          <w:rFonts w:ascii="Arial" w:cs="Arial" w:eastAsia="Arial" w:hAnsi="Arial"/>
          <w:sz w:val="18"/>
          <w:szCs w:val="18"/>
          <w:color w:val="auto"/>
        </w:rPr>
        <w:t>The following table sets forth certain financial information for the years ended December 31, 2022 and 2021. The following table and discussion should be read in conjunction with the information contained in our consolidated financial statements and the notes thereto included in Part II, Item 8. of this Annual Report on Form 10-K.</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years ended December 31,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gridSpan w:val="2"/>
          </w:tcPr>
          <w:p>
            <w:pPr>
              <w:jc w:val="right"/>
              <w:ind w:right="554"/>
              <w:spacing w:after="0" w:line="15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gridSpan w:val="2"/>
          </w:tcPr>
          <w:p>
            <w:pPr>
              <w:jc w:val="right"/>
              <w:ind w:right="552"/>
              <w:spacing w:after="0" w:line="15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r>
      <w:tr>
        <w:trPr>
          <w:trHeight w:val="185"/>
        </w:trPr>
        <w:tc>
          <w:tcPr>
            <w:tcW w:w="57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of net sales</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of net sales</w:t>
            </w:r>
          </w:p>
        </w:tc>
        <w:tc>
          <w:tcPr>
            <w:tcW w:w="60" w:type="dxa"/>
            <w:vAlign w:val="bottom"/>
          </w:tcPr>
          <w:p>
            <w:pPr>
              <w:spacing w:after="0"/>
              <w:rPr>
                <w:sz w:val="16"/>
                <w:szCs w:val="16"/>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2,769</w:t>
            </w:r>
          </w:p>
        </w:tc>
        <w:tc>
          <w:tcPr>
            <w:tcW w:w="120" w:type="dxa"/>
            <w:vAlign w:val="bottom"/>
          </w:tcPr>
          <w:p>
            <w:pPr>
              <w:spacing w:after="0"/>
              <w:rPr>
                <w:sz w:val="19"/>
                <w:szCs w:val="19"/>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100 % </w:t>
            </w: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1,472</w:t>
            </w:r>
          </w:p>
        </w:tc>
        <w:tc>
          <w:tcPr>
            <w:tcW w:w="1440" w:type="dxa"/>
            <w:vAlign w:val="bottom"/>
            <w:gridSpan w:val="2"/>
          </w:tcPr>
          <w:p>
            <w:pPr>
              <w:jc w:val="right"/>
              <w:ind w:right="34"/>
              <w:spacing w:after="0"/>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1,257</w:t>
            </w:r>
          </w:p>
        </w:tc>
        <w:tc>
          <w:tcPr>
            <w:tcW w:w="1400" w:type="dxa"/>
            <w:vAlign w:val="bottom"/>
            <w:gridSpan w:val="2"/>
          </w:tcPr>
          <w:p>
            <w:pPr>
              <w:jc w:val="right"/>
              <w:ind w:right="32"/>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1,297</w:t>
            </w:r>
          </w:p>
        </w:tc>
        <w:tc>
          <w:tcPr>
            <w:tcW w:w="120" w:type="dxa"/>
            <w:vAlign w:val="bottom"/>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328</w:t>
            </w:r>
          </w:p>
        </w:tc>
        <w:tc>
          <w:tcPr>
            <w:tcW w:w="144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305</w:t>
            </w:r>
          </w:p>
        </w:tc>
        <w:tc>
          <w:tcPr>
            <w:tcW w:w="140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r>
      <w:tr>
        <w:trPr>
          <w:trHeight w:val="229"/>
        </w:trPr>
        <w:tc>
          <w:tcPr>
            <w:tcW w:w="578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185</w:t>
            </w:r>
          </w:p>
        </w:tc>
        <w:tc>
          <w:tcPr>
            <w:tcW w:w="1440" w:type="dxa"/>
            <w:vAlign w:val="bottom"/>
            <w:gridSpan w:val="2"/>
          </w:tcPr>
          <w:p>
            <w:pPr>
              <w:jc w:val="right"/>
              <w:ind w:right="34"/>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400" w:type="dxa"/>
            <w:vAlign w:val="bottom"/>
            <w:gridSpan w:val="2"/>
          </w:tcPr>
          <w:p>
            <w:pPr>
              <w:jc w:val="right"/>
              <w:ind w:right="32"/>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23"/>
        </w:trPr>
        <w:tc>
          <w:tcPr>
            <w:tcW w:w="5780" w:type="dxa"/>
            <w:vAlign w:val="bottom"/>
            <w:tcBorders>
              <w:top w:val="single" w:sz="8" w:color="CFF0FC"/>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784</w:t>
            </w:r>
          </w:p>
        </w:tc>
        <w:tc>
          <w:tcPr>
            <w:tcW w:w="12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2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78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(118 )</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9"/>
                <w:szCs w:val="19"/>
                <w:color w:val="auto"/>
              </w:rPr>
            </w:pPr>
          </w:p>
        </w:tc>
      </w:tr>
      <w:tr>
        <w:trPr>
          <w:trHeight w:val="229"/>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(21 )</w:t>
            </w: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23"/>
        </w:trPr>
        <w:tc>
          <w:tcPr>
            <w:tcW w:w="5780" w:type="dxa"/>
            <w:vAlign w:val="bottom"/>
          </w:tcPr>
          <w:p>
            <w:pPr>
              <w:ind w:left="520"/>
              <w:spacing w:after="0"/>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(139 )</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645</w:t>
            </w:r>
          </w:p>
        </w:tc>
        <w:tc>
          <w:tcPr>
            <w:tcW w:w="120" w:type="dxa"/>
            <w:vAlign w:val="bottom"/>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(114 )</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60" w:type="dxa"/>
            <w:vAlign w:val="bottom"/>
          </w:tcPr>
          <w:p>
            <w:pPr>
              <w:spacing w:after="0"/>
              <w:rPr>
                <w:sz w:val="19"/>
                <w:szCs w:val="19"/>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531</w:t>
            </w:r>
          </w:p>
        </w:tc>
        <w:tc>
          <w:tcPr>
            <w:tcW w:w="120" w:type="dxa"/>
            <w:vAlign w:val="bottom"/>
          </w:tcPr>
          <w:p>
            <w:pPr>
              <w:spacing w:after="0"/>
              <w:rPr>
                <w:sz w:val="19"/>
                <w:szCs w:val="19"/>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19 % </w:t>
            </w: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-2259965</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132320" cy="3206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2067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-633095</wp:posOffset>
            </wp:positionV>
            <wp:extent cx="76835"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-633095</wp:posOffset>
            </wp:positionV>
            <wp:extent cx="85725"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-633095</wp:posOffset>
            </wp:positionV>
            <wp:extent cx="6858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55"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Net sales for the year ended December 31, 2022 were $ 2,769 million compared to $2,402 million for the year ended December 31, 2021, an increase of 15%. The increase was principally driven by a $182 million, or 15%, increase in net sales in the North America On-Highway end market principally driven by strength in customer demand for last mile delivery, regional haul and vocational trucks, an $82 million, or 22%, increase in net sales in the Outside North America On-Highway end market principally driven by the continued execution of our growth initiatives in EMEA, Asia-Pacific and South America, a $72 million, or 51%, increase in net sales in the Global Off-Highway end market principally driven by demand for hydraulic fracturing applications in the energy sector as well as higher demand in the mining and construction sectors and a $71 million, or 14%, increase in net sales in the Service Parts, Support Equipment and Other end market principally driven by higher demand for global service parts and support equipment and price increases on certain products, partially offset by a $40 million, or 22%, decrease in net sales in the Defense end market principally driven by lower usage of defense vehicles during the COVID-19 pandemic leading to lower demand for Tracked and Wheeled vehicle applications.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55" w:lineRule="exact"/>
        <w:rPr>
          <w:sz w:val="20"/>
          <w:szCs w:val="20"/>
          <w:color w:val="auto"/>
        </w:rPr>
      </w:pPr>
    </w:p>
    <w:p>
      <w:pPr>
        <w:jc w:val="both"/>
        <w:ind w:right="200" w:firstLine="494"/>
        <w:spacing w:after="0" w:line="252" w:lineRule="auto"/>
        <w:rPr>
          <w:sz w:val="20"/>
          <w:szCs w:val="20"/>
          <w:color w:val="auto"/>
        </w:rPr>
      </w:pPr>
      <w:r>
        <w:rPr>
          <w:rFonts w:ascii="Arial" w:cs="Arial" w:eastAsia="Arial" w:hAnsi="Arial"/>
          <w:sz w:val="18"/>
          <w:szCs w:val="18"/>
          <w:color w:val="auto"/>
        </w:rPr>
        <w:t>Cost of sales for the year ended December 31, 2022 was $ 1,472 million compared to $1,257 million for the year ended December 31, 2021, an increase of 17%. The increase was principally driven by increased direct material and manufacturing expense commensurate with increased net sales and higher direct material costs.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55" w:lineRule="exact"/>
        <w:rPr>
          <w:sz w:val="20"/>
          <w:szCs w:val="20"/>
          <w:color w:val="auto"/>
        </w:rPr>
      </w:pPr>
    </w:p>
    <w:p>
      <w:pPr>
        <w:ind w:right="160" w:firstLine="494"/>
        <w:spacing w:after="0" w:line="241" w:lineRule="auto"/>
        <w:rPr>
          <w:sz w:val="20"/>
          <w:szCs w:val="20"/>
          <w:color w:val="auto"/>
        </w:rPr>
      </w:pPr>
      <w:r>
        <w:rPr>
          <w:rFonts w:ascii="Arial" w:cs="Arial" w:eastAsia="Arial" w:hAnsi="Arial"/>
          <w:sz w:val="18"/>
          <w:szCs w:val="18"/>
          <w:color w:val="auto"/>
        </w:rPr>
        <w:t>Gross profit for the year ended December 31, 2022 was $1,297 million compared to $1,145 million for the year ended December 31, 2021, an increase of 13%. The increase was principally driven by $170 million related to increased net sales and $119 million of price increases on certain products, partially offset by $96 million of higher direct material costs and $38 million of higher manufacturing expense commensurate with increased net sales. Gross profit as a percent of net sales for the year ended December 31, 2022 decreased 90 basis points compared to the same period in 2021 principally driven by increased cost of goods sold, partially offset by price increases on certain products.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5"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Selling, general and administrative expenses for the year ended December 31, 2022 were $328 million compared to $305 million for the year ended December 31, 2021, an increase of 8%. The increase was principally driven by higher product warranty expense and higher commercial activities spending.</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55" w:lineRule="exact"/>
        <w:rPr>
          <w:sz w:val="20"/>
          <w:szCs w:val="20"/>
          <w:color w:val="auto"/>
        </w:rPr>
      </w:pPr>
    </w:p>
    <w:p>
      <w:pPr>
        <w:ind w:right="760" w:firstLine="494"/>
        <w:spacing w:after="0" w:line="271" w:lineRule="auto"/>
        <w:rPr>
          <w:sz w:val="20"/>
          <w:szCs w:val="20"/>
          <w:color w:val="auto"/>
        </w:rPr>
      </w:pPr>
      <w:r>
        <w:rPr>
          <w:rFonts w:ascii="Arial" w:cs="Arial" w:eastAsia="Arial" w:hAnsi="Arial"/>
          <w:sz w:val="18"/>
          <w:szCs w:val="18"/>
          <w:color w:val="auto"/>
        </w:rPr>
        <w:t>Engineering expenses for the year ended December 31, 2022 were $185 million compared to $171 million for the year ended December 31, 2021, an increase of 8%. The increase was principally driven by increased product initiatives spending.</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55" w:lineRule="exact"/>
        <w:rPr>
          <w:sz w:val="20"/>
          <w:szCs w:val="20"/>
          <w:color w:val="auto"/>
        </w:rPr>
      </w:pPr>
    </w:p>
    <w:p>
      <w:pPr>
        <w:jc w:val="both"/>
        <w:ind w:right="80" w:firstLine="494"/>
        <w:spacing w:after="0" w:line="252" w:lineRule="auto"/>
        <w:rPr>
          <w:sz w:val="20"/>
          <w:szCs w:val="20"/>
          <w:color w:val="auto"/>
        </w:rPr>
      </w:pPr>
      <w:r>
        <w:rPr>
          <w:rFonts w:ascii="Arial" w:cs="Arial" w:eastAsia="Arial" w:hAnsi="Arial"/>
          <w:sz w:val="18"/>
          <w:szCs w:val="18"/>
          <w:color w:val="auto"/>
        </w:rPr>
        <w:t>Interest expense, net for the year ended December 31, 2022 was $118 million compared to $116 million for the year ended December 31, 2021, an increase of 2%. The increase was principally driven by $10 million of higher interest expense on ATI's Term Loan due to higher variable interest rates, partially offset by $8 million of lower interest expense on interest rate hedges.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55" w:lineRule="exact"/>
        <w:rPr>
          <w:sz w:val="20"/>
          <w:szCs w:val="20"/>
          <w:color w:val="auto"/>
        </w:rPr>
      </w:pPr>
    </w:p>
    <w:p>
      <w:pPr>
        <w:ind w:right="220" w:firstLine="494"/>
        <w:spacing w:after="0" w:line="274" w:lineRule="auto"/>
        <w:rPr>
          <w:sz w:val="20"/>
          <w:szCs w:val="20"/>
          <w:color w:val="auto"/>
        </w:rPr>
      </w:pPr>
      <w:r>
        <w:rPr>
          <w:rFonts w:ascii="Arial" w:cs="Arial" w:eastAsia="Arial" w:hAnsi="Arial"/>
          <w:sz w:val="17"/>
          <w:szCs w:val="17"/>
          <w:color w:val="auto"/>
        </w:rPr>
        <w:t>Other (expense) income, net for the year ended December 31, 2022 was ($21) million compared to $ 19 million for the year ended December 31, 2021. The change was principally driven by $26 million of unfavorable change in marketable securities, $6 million of unfavorable foreign exchange on intercompany financing and $5 million of unfavorable change associated with assets held in a rabbi trust.</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5"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Income tax expense for the year ended December 31, 2022 was $114 million resulting in an effective tax rate of 18%, compared to $130 million of income tax expense and an effective tax rate of 23% for the year ended December 31, 2021. The decrease in income tax expense was principally driven by enacted state tax rate legislation that resulted in a deferred tax benefit, partially offset by increased taxable income. The decrease in the effective tax rate was principally driven by enacted state tax rate legislation that resulted in a deferred tax benefit.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7"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generate cash primarily from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$232 million and $127 million as of December 31, 2022 and 2021, respectively. Of the available cash and cash equivalents, $121 million was deposited in operating accounts and $111 million was invested in U.S. government backed securities as of December 31, 2022, compared to December 31, 2021, when all of the $127 million was deposited in operating accounts.</w:t>
      </w:r>
    </w:p>
    <w:p>
      <w:pPr>
        <w:spacing w:after="0" w:line="129"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As of December 31, 2022, the total of cash held by foreign subsidiaries was $57 million, the majority of which was at our subsidiaries located in China, the Netherlands, Japan and India.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expectations or operating needs with local resources.</w:t>
      </w:r>
    </w:p>
    <w:p>
      <w:pPr>
        <w:spacing w:after="0" w:line="125"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25" w:lineRule="exact"/>
        <w:rPr>
          <w:sz w:val="20"/>
          <w:szCs w:val="20"/>
          <w:color w:val="auto"/>
        </w:rPr>
      </w:pPr>
    </w:p>
    <w:p>
      <w:pPr>
        <w:ind w:right="140" w:firstLine="494"/>
        <w:spacing w:after="0" w:line="239" w:lineRule="auto"/>
        <w:rPr>
          <w:sz w:val="20"/>
          <w:szCs w:val="20"/>
          <w:color w:val="auto"/>
        </w:rPr>
      </w:pPr>
      <w:r>
        <w:rPr>
          <w:rFonts w:ascii="Arial" w:cs="Arial" w:eastAsia="Arial" w:hAnsi="Arial"/>
          <w:sz w:val="18"/>
          <w:szCs w:val="18"/>
          <w:color w:val="auto"/>
        </w:rPr>
        <w:t>Our liquidity requirements are significant, primarily due to our debt service requirements. As of December 31, 2022, we had $625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spacing w:after="0" w:line="127" w:lineRule="exact"/>
        <w:rPr>
          <w:sz w:val="20"/>
          <w:szCs w:val="20"/>
          <w:color w:val="auto"/>
        </w:rPr>
      </w:pPr>
    </w:p>
    <w:p>
      <w:pPr>
        <w:ind w:right="80" w:firstLine="494"/>
        <w:spacing w:after="0" w:line="252" w:lineRule="auto"/>
        <w:rPr>
          <w:sz w:val="20"/>
          <w:szCs w:val="20"/>
          <w:color w:val="auto"/>
        </w:rPr>
      </w:pPr>
      <w:r>
        <w:rPr>
          <w:rFonts w:ascii="Arial" w:cs="Arial" w:eastAsia="Arial" w:hAnsi="Arial"/>
          <w:sz w:val="18"/>
          <w:szCs w:val="18"/>
          <w:color w:val="auto"/>
        </w:rPr>
        <w:t>We made $7 million of principal payments on the Term Loan during each of the years ended December 31, 2022 and 2021. Our ability to make payments on and refinance our indebtedness and to fund planned capital expenditures and growth initiatives will depend on our ability to generate cash in the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The Senior Secured Credit Facility provides for a $ 650 million Revolving Credit Facility, net of an allowance for up to $75 million in outstanding letter of credit commitments. Throughout the year ended December 31, 2022, we made periodic withdrawals and payments on the Revolving Credit Facility as part of our cash management plans. The maximum amount outstanding at any time during the year ended December 31, 2022 was $75 million. As of December 31, 2022, we had $644 million available under the Revolving Credit Facility, net of $6 million in letters of credit. As of December 31, 2022,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December 31, 2022, our first lien net leverage ratio was 0.41x.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34"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December 31, 2022, we were in compliance with all covenants under the Senior Secured Credit Facility and indentures governing the Senior Notes.</w:t>
      </w:r>
    </w:p>
    <w:p>
      <w:pPr>
        <w:spacing w:after="0" w:line="129" w:lineRule="exact"/>
        <w:rPr>
          <w:sz w:val="20"/>
          <w:szCs w:val="20"/>
          <w:color w:val="auto"/>
        </w:rPr>
      </w:pPr>
    </w:p>
    <w:p>
      <w:pPr>
        <w:ind w:right="320" w:firstLine="494"/>
        <w:spacing w:after="0" w:line="271" w:lineRule="auto"/>
        <w:rPr>
          <w:sz w:val="20"/>
          <w:szCs w:val="20"/>
          <w:color w:val="auto"/>
        </w:rPr>
      </w:pPr>
      <w:r>
        <w:rPr>
          <w:rFonts w:ascii="Arial" w:cs="Arial" w:eastAsia="Arial" w:hAnsi="Arial"/>
          <w:sz w:val="18"/>
          <w:szCs w:val="18"/>
          <w:color w:val="auto"/>
        </w:rPr>
        <w:t>Our credit ratings are reviewed by Moody’s Investors Service (“Moody’s”) and Fitch Ratings (“Fitch”). As of December 31, 2022, our credit ratings from both Moody's and Fitch are shown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 2022</w:t>
            </w:r>
          </w:p>
        </w:tc>
      </w:tr>
      <w:tr>
        <w:trPr>
          <w:trHeight w:val="182"/>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Credit Ratings</w:t>
            </w:r>
          </w:p>
        </w:tc>
        <w:tc>
          <w:tcPr>
            <w:tcW w:w="17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Moody's</w:t>
            </w: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Fitch</w:t>
            </w: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Credit</w:t>
            </w:r>
          </w:p>
        </w:tc>
        <w:tc>
          <w:tcPr>
            <w:tcW w:w="1740" w:type="dxa"/>
            <w:vAlign w:val="bottom"/>
            <w:shd w:val="clear" w:color="auto" w:fill="CFF0FC"/>
          </w:tcPr>
          <w:p>
            <w:pPr>
              <w:jc w:val="center"/>
              <w:ind w:left="693"/>
              <w:spacing w:after="0"/>
              <w:rPr>
                <w:sz w:val="20"/>
                <w:szCs w:val="20"/>
                <w:color w:val="auto"/>
              </w:rPr>
            </w:pPr>
            <w:r>
              <w:rPr>
                <w:rFonts w:ascii="Arial" w:cs="Arial" w:eastAsia="Arial" w:hAnsi="Arial"/>
                <w:sz w:val="18"/>
                <w:szCs w:val="18"/>
                <w:color w:val="auto"/>
                <w:w w:val="99"/>
              </w:rPr>
              <w:t>Ba1</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740" w:type="dxa"/>
            <w:vAlign w:val="bottom"/>
          </w:tcPr>
          <w:p>
            <w:pPr>
              <w:jc w:val="center"/>
              <w:ind w:left="673"/>
              <w:spacing w:after="0"/>
              <w:rPr>
                <w:sz w:val="20"/>
                <w:szCs w:val="20"/>
                <w:color w:val="auto"/>
              </w:rPr>
            </w:pPr>
            <w:r>
              <w:rPr>
                <w:rFonts w:ascii="Arial" w:cs="Arial" w:eastAsia="Arial" w:hAnsi="Arial"/>
                <w:sz w:val="18"/>
                <w:szCs w:val="18"/>
                <w:color w:val="auto"/>
                <w:w w:val="99"/>
              </w:rPr>
              <w:t>Baa2</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4.75% Senior Notes</w:t>
            </w:r>
          </w:p>
        </w:tc>
        <w:tc>
          <w:tcPr>
            <w:tcW w:w="1740" w:type="dxa"/>
            <w:vAlign w:val="bottom"/>
            <w:shd w:val="clear" w:color="auto" w:fill="CFF0FC"/>
          </w:tcPr>
          <w:p>
            <w:pPr>
              <w:jc w:val="center"/>
              <w:ind w:left="693"/>
              <w:spacing w:after="0"/>
              <w:rPr>
                <w:sz w:val="20"/>
                <w:szCs w:val="20"/>
                <w:color w:val="auto"/>
              </w:rPr>
            </w:pPr>
            <w:r>
              <w:rPr>
                <w:rFonts w:ascii="Arial" w:cs="Arial" w:eastAsia="Arial" w:hAnsi="Arial"/>
                <w:sz w:val="18"/>
                <w:szCs w:val="18"/>
                <w:color w:val="auto"/>
                <w:w w:val="99"/>
              </w:rPr>
              <w:t>Ba2</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5.875% Senior Notes</w:t>
            </w:r>
          </w:p>
        </w:tc>
        <w:tc>
          <w:tcPr>
            <w:tcW w:w="1740" w:type="dxa"/>
            <w:vAlign w:val="bottom"/>
          </w:tcPr>
          <w:p>
            <w:pPr>
              <w:jc w:val="center"/>
              <w:ind w:left="693"/>
              <w:spacing w:after="0"/>
              <w:rPr>
                <w:sz w:val="20"/>
                <w:szCs w:val="20"/>
                <w:color w:val="auto"/>
              </w:rPr>
            </w:pPr>
            <w:r>
              <w:rPr>
                <w:rFonts w:ascii="Arial" w:cs="Arial" w:eastAsia="Arial" w:hAnsi="Arial"/>
                <w:sz w:val="18"/>
                <w:szCs w:val="18"/>
                <w:color w:val="auto"/>
                <w:w w:val="99"/>
              </w:rPr>
              <w:t>Ba2</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3.75% Senior Notes</w:t>
            </w:r>
          </w:p>
        </w:tc>
        <w:tc>
          <w:tcPr>
            <w:tcW w:w="1740" w:type="dxa"/>
            <w:vAlign w:val="bottom"/>
            <w:shd w:val="clear" w:color="auto" w:fill="CFF0FC"/>
          </w:tcPr>
          <w:p>
            <w:pPr>
              <w:jc w:val="center"/>
              <w:ind w:left="693"/>
              <w:spacing w:after="0"/>
              <w:rPr>
                <w:sz w:val="20"/>
                <w:szCs w:val="20"/>
                <w:color w:val="auto"/>
              </w:rPr>
            </w:pPr>
            <w:r>
              <w:rPr>
                <w:rFonts w:ascii="Arial" w:cs="Arial" w:eastAsia="Arial" w:hAnsi="Arial"/>
                <w:sz w:val="18"/>
                <w:szCs w:val="18"/>
                <w:color w:val="auto"/>
                <w:w w:val="99"/>
              </w:rPr>
              <w:t>Ba2</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bl>
    <w:p>
      <w:pPr>
        <w:spacing w:after="0" w:line="143"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We anticipate that our capital expenditures in 2023 will be lower than 2022 and expect increased cash income taxes as a result of lower deductions in 2023 related to our intangible assets.</w:t>
      </w:r>
    </w:p>
    <w:p>
      <w:pPr>
        <w:spacing w:after="0" w:line="99" w:lineRule="exact"/>
        <w:rPr>
          <w:sz w:val="20"/>
          <w:szCs w:val="20"/>
          <w:color w:val="auto"/>
        </w:rPr>
      </w:pPr>
    </w:p>
    <w:p>
      <w:pPr>
        <w:ind w:firstLine="544"/>
        <w:spacing w:after="0" w:line="243" w:lineRule="auto"/>
        <w:rPr>
          <w:sz w:val="20"/>
          <w:szCs w:val="20"/>
          <w:color w:val="auto"/>
        </w:rPr>
      </w:pPr>
      <w:r>
        <w:rPr>
          <w:rFonts w:ascii="Arial" w:cs="Arial" w:eastAsia="Arial" w:hAnsi="Arial"/>
          <w:sz w:val="18"/>
          <w:szCs w:val="18"/>
          <w:color w:val="auto"/>
        </w:rPr>
        <w:t>Our current stock repurchase program was originally authorized by the Board of Directors in 2016. On February 24, 2022, the Board of Directors authorized us to repurchase an additional $ 1,000 million of our common stock, bringing the total amount authorized under the Repurchase Program to $4,000 million. During 2022, we repurchased approximately $278 million of our common stock under the Repurchase Program. All of the repurchase transactions during 2022 were settled in cash during the same period. As of December 31, 2022, we had approximately $1,035 million available under the Repurchase Program.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years ended December 31, 2022, 2021 and 2020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6"/>
          </w:tcPr>
          <w:p>
            <w:pPr>
              <w:ind w:left="104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8"/>
        </w:trPr>
        <w:tc>
          <w:tcPr>
            <w:tcW w:w="6620" w:type="dxa"/>
            <w:vAlign w:val="bottom"/>
          </w:tcPr>
          <w:p>
            <w:pPr>
              <w:ind w:left="20"/>
              <w:spacing w:after="0"/>
              <w:rPr>
                <w:sz w:val="20"/>
                <w:szCs w:val="20"/>
                <w:color w:val="auto"/>
              </w:rPr>
            </w:pPr>
            <w:r>
              <w:rPr>
                <w:rFonts w:ascii="Arial" w:cs="Arial" w:eastAsia="Arial" w:hAnsi="Arial"/>
                <w:sz w:val="14"/>
                <w:szCs w:val="14"/>
                <w:i w:val="1"/>
                <w:iCs w:val="1"/>
                <w:color w:val="auto"/>
              </w:rPr>
              <w:t>Statement of Cash Flows Data</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657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561</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(183 )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(367 )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(604 )</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(335 )</w:t>
            </w:r>
          </w:p>
        </w:tc>
      </w:tr>
    </w:tbl>
    <w:p>
      <w:pPr>
        <w:spacing w:after="0" w:line="170" w:lineRule="exact"/>
        <w:rPr>
          <w:sz w:val="20"/>
          <w:szCs w:val="20"/>
          <w:color w:val="auto"/>
        </w:rPr>
      </w:pPr>
    </w:p>
    <w:p>
      <w:pPr>
        <w:ind w:right="20" w:firstLine="494"/>
        <w:spacing w:after="0" w:line="266" w:lineRule="auto"/>
        <w:rPr>
          <w:sz w:val="20"/>
          <w:szCs w:val="20"/>
          <w:color w:val="auto"/>
        </w:rPr>
      </w:pPr>
      <w:r>
        <w:rPr>
          <w:rFonts w:ascii="Arial" w:cs="Arial" w:eastAsia="Arial" w:hAnsi="Arial"/>
          <w:sz w:val="17"/>
          <w:szCs w:val="17"/>
          <w:color w:val="auto"/>
        </w:rPr>
        <w:t>Generally, cash provided by operating activities has been adequate to fund our operations. We have significant liquidity, including $ 232 million of cash and cash equivalents and $644 million available under the Revolving Credit Facility, net of $6 million in letters of credit, as of December 31, 2022. 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55"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Operating activities for the year ended December 31, 2022 generated $657 million of cash compared to $635 million for the year ended December 31, 2021. The increase was principally driven by higher gross profit, partially offset by higher cash incentive compensation payments, higher cash income taxes and higher cash interest payments.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55"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Investing activities for the year ended December 31, 2022 used $183 million of cash compared to $212 million for the year ended December 31, 2021. The decrease was principally driven by a $41 million investment in marketable securities in 2021 that did not reoccur in 2022 and an $8 million decrease in capital expenditures, partially offset by $23 million in cash paid for business acquisitions during 2022 compared to none in 2021.</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55" w:lineRule="exact"/>
        <w:rPr>
          <w:sz w:val="20"/>
          <w:szCs w:val="20"/>
          <w:color w:val="auto"/>
        </w:rPr>
      </w:pPr>
    </w:p>
    <w:p>
      <w:pPr>
        <w:jc w:val="both"/>
        <w:ind w:right="380" w:firstLine="494"/>
        <w:spacing w:after="0" w:line="252" w:lineRule="auto"/>
        <w:rPr>
          <w:sz w:val="20"/>
          <w:szCs w:val="20"/>
          <w:color w:val="auto"/>
        </w:rPr>
      </w:pPr>
      <w:r>
        <w:rPr>
          <w:rFonts w:ascii="Arial" w:cs="Arial" w:eastAsia="Arial" w:hAnsi="Arial"/>
          <w:sz w:val="18"/>
          <w:szCs w:val="18"/>
          <w:color w:val="auto"/>
        </w:rPr>
        <w:t>Financing activities for the year ended December 31, 2022 used $367 million of cash compared to $604 million for the year ended December 31, 2021. The decrease was principally driven by $278 million of stock repurchases in 2022 compared to $513 million of stock repurchases in 2021 under the Repurchase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57" w:lineRule="exact"/>
        <w:rPr>
          <w:sz w:val="20"/>
          <w:szCs w:val="20"/>
          <w:color w:val="auto"/>
        </w:rPr>
      </w:pPr>
    </w:p>
    <w:p>
      <w:pPr>
        <w:ind w:right="280" w:firstLine="494"/>
        <w:spacing w:after="0" w:line="243"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5"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correspondingly change our earnings by approximately $10 million.</w:t>
      </w:r>
    </w:p>
    <w:p>
      <w:pPr>
        <w:spacing w:after="0" w:line="131" w:lineRule="exact"/>
        <w:rPr>
          <w:sz w:val="20"/>
          <w:szCs w:val="20"/>
          <w:color w:val="auto"/>
        </w:rPr>
      </w:pPr>
    </w:p>
    <w:p>
      <w:pPr>
        <w:ind w:right="260" w:firstLine="494"/>
        <w:spacing w:after="0" w:line="243" w:lineRule="auto"/>
        <w:rPr>
          <w:sz w:val="20"/>
          <w:szCs w:val="20"/>
          <w:color w:val="auto"/>
        </w:rPr>
      </w:pPr>
      <w:r>
        <w:rPr>
          <w:rFonts w:ascii="Arial" w:cs="Arial" w:eastAsia="Arial" w:hAnsi="Arial"/>
          <w:sz w:val="18"/>
          <w:szCs w:val="18"/>
          <w:color w:val="auto"/>
        </w:rPr>
        <w:t>Under the terms of certain previous U.S. government contracts, there were price reduction clauses and provisions for potential price reductions which are estimated at the time of sale based upon history and experience, and finalized after completion of U.S. government audits. Given our current price reduction reserve for government contracts, a 10% adjustment in our price reduction reserve would correspondingly change our earnings by approximately $5 million. Since 2014, Allison contracts with the U.S. Government have generally been firm, fixed price contracts and therefore have not required re-calculation of pricing based on cost principles.</w:t>
      </w:r>
    </w:p>
    <w:p>
      <w:pPr>
        <w:spacing w:after="0" w:line="125"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Further information is provided in "Note 2. Summary of Significant Accounting Policies” of Notes to Consolidated Financial Statements included in Part II, Item 8., of this Annual Report on Form 10-K.</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55" w:lineRule="exact"/>
        <w:rPr>
          <w:sz w:val="20"/>
          <w:szCs w:val="20"/>
          <w:color w:val="auto"/>
        </w:rPr>
      </w:pPr>
    </w:p>
    <w:p>
      <w:pPr>
        <w:ind w:right="60" w:firstLine="494"/>
        <w:spacing w:after="0" w:line="241" w:lineRule="auto"/>
        <w:rPr>
          <w:sz w:val="20"/>
          <w:szCs w:val="20"/>
          <w:color w:val="auto"/>
        </w:rPr>
      </w:pPr>
      <w:r>
        <w:rPr>
          <w:rFonts w:ascii="Arial" w:cs="Arial" w:eastAsia="Arial" w:hAnsi="Arial"/>
          <w:sz w:val="18"/>
          <w:szCs w:val="18"/>
          <w:color w:val="auto"/>
        </w:rPr>
        <w:t>We have elected to perform our annual impairment tests for goodwill and indefinite-lived intangible assets on October 31 of every year using a multi-step impairment test.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to our carrying value. If the fair value exceeds the carrying value, no impairment is recorded, and we are not required to perform further testing. If the carrying value exceeds fair value, we would record an impairment loss equal to the difference.</w:t>
      </w:r>
    </w:p>
    <w:p>
      <w:pPr>
        <w:spacing w:after="0" w:line="128" w:lineRule="exact"/>
        <w:rPr>
          <w:sz w:val="20"/>
          <w:szCs w:val="20"/>
          <w:color w:val="auto"/>
        </w:rPr>
      </w:pPr>
    </w:p>
    <w:p>
      <w:pPr>
        <w:jc w:val="both"/>
        <w:ind w:right="500" w:firstLine="494"/>
        <w:spacing w:after="0" w:line="252"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17"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financial forecasts;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22" w:lineRule="exact"/>
        <w:rPr>
          <w:sz w:val="20"/>
          <w:szCs w:val="20"/>
          <w:color w:val="auto"/>
        </w:rPr>
      </w:pPr>
    </w:p>
    <w:p>
      <w:pPr>
        <w:ind w:right="100" w:firstLine="494"/>
        <w:spacing w:after="0" w:line="243"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Financial Accounting Standards Board’s (“FASB”) authoritative accounting guidance on goodwill, we do not amortize goodwill but rather evaluate it for impairment on an annual basis, or more often if events or circumstances change that could cause goodwill to become impaired. Goodwill is tested for impairment at the reporting unit level, which is the same as our one operating and reportable segment. We do not aggregate any components into our reporting unit.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420" w:firstLine="494"/>
        <w:spacing w:after="0" w:line="246" w:lineRule="auto"/>
        <w:rPr>
          <w:sz w:val="20"/>
          <w:szCs w:val="20"/>
          <w:color w:val="auto"/>
        </w:rPr>
      </w:pPr>
      <w:r>
        <w:rPr>
          <w:rFonts w:ascii="Arial" w:cs="Arial" w:eastAsia="Arial" w:hAnsi="Arial"/>
          <w:sz w:val="18"/>
          <w:szCs w:val="18"/>
          <w:color w:val="auto"/>
        </w:rPr>
        <w:t>Goodwill impairment testing for 2022 was performed using the Step 0 analysis by assessing certain qualitative trends and factors. These trends and factors were compared to, and based on, the assumptions used in prior years. After reviewing the various qualitative factors mentioned above, our 2022 annual goodwill impairment test indicated that the fair value for the reporting unit more likely than not exceeded its carrying value, indicating no impairment.</w:t>
      </w:r>
    </w:p>
    <w:p>
      <w:pPr>
        <w:spacing w:after="0" w:line="122"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After reviewing the various qualitative factors mentioned above, our annual 2022 indefinite-lived intangible assets impairment tests, as of October 31, 2022, indicated that the fair value of our indefinite-lived intangible assets more likely than not exceeded their respective carrying values, indicating no impairment.</w:t>
      </w:r>
    </w:p>
    <w:p>
      <w:pPr>
        <w:spacing w:after="0" w:line="125"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We evaluate the remaining useful life of the other intangible assets on a periodic basis to determine whether events or circumstances warrant a revision to the remaining useful life. Assumptions and estimates about future values and remaining useful lives of our intangible and other long-lived assets are complex and subjective. Such assumptions and estimates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 Further information is provided in "Note 6. Goodwill and Other Intangible Assets” of Notes to Consolidated Financial Statements included in Part II, Item 8., of this Annual Report on Form 10-K.</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5"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25"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Warranty</w:t>
      </w:r>
    </w:p>
    <w:p>
      <w:pPr>
        <w:spacing w:after="0" w:line="155"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expense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probable. Warranty costs may differ from those estimated if actual claim rates are higher or lower than our historical rates. Further information is provided in "Note 10. Product Warranty Liabilities” of Notes to Consolidated Financial Statements included in Part II, Item 8., of this Annual Report on Form 10-K which contains a summary of the activity in our warranty liability account for 2022, 2021 and 2020, including adjustments to pre-existing warranties.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55"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Pension and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22" w:lineRule="exact"/>
        <w:rPr>
          <w:sz w:val="20"/>
          <w:szCs w:val="20"/>
          <w:color w:val="auto"/>
        </w:rPr>
      </w:pPr>
    </w:p>
    <w:p>
      <w:pPr>
        <w:ind w:right="40" w:firstLine="494"/>
        <w:spacing w:after="0" w:line="261" w:lineRule="auto"/>
        <w:rPr>
          <w:sz w:val="20"/>
          <w:szCs w:val="20"/>
          <w:color w:val="auto"/>
        </w:rPr>
      </w:pPr>
      <w:r>
        <w:rPr>
          <w:rFonts w:ascii="Arial" w:cs="Arial" w:eastAsia="Arial" w:hAnsi="Arial"/>
          <w:sz w:val="17"/>
          <w:szCs w:val="17"/>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2022. The effect of a one percentage point decrease in the assumed discount rate would result in an increase in the December 31, 2022 defined benefit pension plans obligation of approximately $17 million. Similarly, a one percentage point decrease in the assumed discount rate would result in an increase in the December 31, 2022 OPEB obligation of approximately $8 million.</w:t>
      </w:r>
    </w:p>
    <w:p>
      <w:pPr>
        <w:spacing w:after="0" w:line="110"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Further information is provided in "Note 15. Employee Benefit Plans” of Notes to Consolidated Financial Statements included in Part II, Item 8., of this Annual Report on Form 10-K, which contains our review on various actuarial assumptions.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55"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accumulated other comprehensive loss, we utilize the portfolio securities approach.</w:t>
      </w:r>
    </w:p>
    <w:p>
      <w:pPr>
        <w:spacing w:after="0" w:line="128" w:lineRule="exact"/>
        <w:rPr>
          <w:sz w:val="20"/>
          <w:szCs w:val="20"/>
          <w:color w:val="auto"/>
        </w:rPr>
      </w:pPr>
    </w:p>
    <w:p>
      <w:pPr>
        <w:jc w:val="both"/>
        <w:ind w:right="20" w:firstLine="494"/>
        <w:spacing w:after="0" w:line="246" w:lineRule="auto"/>
        <w:rPr>
          <w:sz w:val="20"/>
          <w:szCs w:val="20"/>
          <w:color w:val="auto"/>
        </w:rPr>
      </w:pPr>
      <w:r>
        <w:rPr>
          <w:rFonts w:ascii="Arial" w:cs="Arial" w:eastAsia="Arial" w:hAnsi="Arial"/>
          <w:sz w:val="18"/>
          <w:szCs w:val="18"/>
          <w:color w:val="auto"/>
        </w:rPr>
        <w:t>As of December 31, 2022, our U.S. federal income tax deductions related to our intangible assets were approximately $ 200 million in 2022 and are expected to be approximately $ 10 million in 2023 and approximately $10 million in the aggregate through 2034. Excluding our intangible asset deductions, our expected tax payments would have increased by approximately $40 million for the year ended December 31, 2022.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need to establish a valuation allowance against the deferred tax assets is assessed at least quarterly based on a more-likely-than-not realization threshold, in accordance with the FASB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28"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Further information on income taxes is provided in "Note 16. Income Taxes” of Notes to Consolidated Financial Statements included in Part II, Item 8., of this Annual Report on Form 10-K.</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5"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We use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2. Summary of Significant Accounting Policies” in Part II, Item 8., of this Annual Report on Form 10-K.</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57" w:lineRule="exact"/>
        <w:rPr>
          <w:sz w:val="20"/>
          <w:szCs w:val="20"/>
          <w:color w:val="auto"/>
        </w:rPr>
      </w:pPr>
    </w:p>
    <w:p>
      <w:pPr>
        <w:ind w:right="420" w:firstLine="494"/>
        <w:spacing w:after="0" w:line="271"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5"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$ 650 million, including $644 million under our Revolving Credit Facility, net of $6 million of letters of credit. As of December 31, 2022, we held interest rate swap contracts that, in the aggregate, effectively hedge $ 500 million of the variable rate debt associated with the Term Loan at weighted average London Interbank Offered Rate (“LIBOR”) fixed rates of 3.04% and 2.82% through September 2025. A one-eighth percent increase or decrease in assumed interest rates for the Senior Secured Credit Facility, if fully drawn as of December 31, 2022, would have an impact of approximately $1 million on interest expense per year. As of December 31, 2022, we had no outstanding borrowings against the Revolving Credit Facility.</w:t>
      </w:r>
    </w:p>
    <w:p>
      <w:pPr>
        <w:spacing w:after="0" w:line="129"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The United Kingdom's Financial Conduct Authority has announced the intent to phase out LIBOR by June 2023. We plan to elect an alternative reference rate acceptable under reference rate reform guidance and do not expect the phase out to materially impact our financial statements, liquidity or access to capital markets.</w:t>
      </w:r>
    </w:p>
    <w:p>
      <w:pPr>
        <w:spacing w:after="0" w:line="117" w:lineRule="exact"/>
        <w:rPr>
          <w:sz w:val="20"/>
          <w:szCs w:val="20"/>
          <w:color w:val="auto"/>
        </w:rPr>
      </w:pPr>
    </w:p>
    <w:p>
      <w:pPr>
        <w:ind w:right="420" w:firstLine="494"/>
        <w:spacing w:after="0" w:line="271" w:lineRule="auto"/>
        <w:rPr>
          <w:sz w:val="20"/>
          <w:szCs w:val="20"/>
          <w:color w:val="auto"/>
        </w:rPr>
      </w:pPr>
      <w:r>
        <w:rPr>
          <w:rFonts w:ascii="Arial" w:cs="Arial" w:eastAsia="Arial" w:hAnsi="Arial"/>
          <w:sz w:val="18"/>
          <w:szCs w:val="18"/>
          <w:color w:val="auto"/>
        </w:rPr>
        <w:t>Refer to "Note 8. Debt” and "Note 9. Derivatives” of Notes to Consolidated Financial Statements included in Part II, Item 8., of this Annual Report on Form 10-K.</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55" w:lineRule="exact"/>
        <w:rPr>
          <w:sz w:val="20"/>
          <w:szCs w:val="20"/>
          <w:color w:val="auto"/>
        </w:rPr>
      </w:pPr>
    </w:p>
    <w:p>
      <w:pPr>
        <w:ind w:right="160" w:firstLine="494"/>
        <w:spacing w:after="0" w:line="246"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122"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$4 million per year. We believe our other direct exposure to foreign currencies is immaterial.</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55"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We are subject to changes in our cost of sales caused by movements in underlying commodity prices. As of December 31, 2022, approximately 66% of our cost of sales consisted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$9 million and $12 million per year, respectively.</w:t>
      </w:r>
    </w:p>
    <w:p>
      <w:pPr>
        <w:spacing w:after="0" w:line="99"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07"/>
        </w:trPr>
        <w:tc>
          <w:tcPr>
            <w:tcW w:w="10440" w:type="dxa"/>
            <w:vAlign w:val="bottom"/>
            <w:gridSpan w:val="9"/>
          </w:tcPr>
          <w:p>
            <w:pPr>
              <w:spacing w:after="0"/>
              <w:rPr>
                <w:sz w:val="20"/>
                <w:szCs w:val="20"/>
                <w:color w:val="auto"/>
              </w:rPr>
            </w:pPr>
            <w:r>
              <w:rPr>
                <w:rFonts w:ascii="Arial" w:cs="Arial" w:eastAsia="Arial" w:hAnsi="Arial"/>
                <w:sz w:val="18"/>
                <w:szCs w:val="18"/>
                <w:color w:val="0000FF"/>
              </w:rPr>
              <w:t>Table of Contents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4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120" w:type="dxa"/>
            <w:vAlign w:val="bottom"/>
            <w:gridSpan w:val="5"/>
          </w:tcPr>
          <w:p>
            <w:pPr>
              <w:jc w:val="center"/>
              <w:ind w:right="250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20" w:type="dxa"/>
            <w:vAlign w:val="bottom"/>
          </w:tcPr>
          <w:p>
            <w:pPr>
              <w:spacing w:after="0"/>
              <w:rPr>
                <w:sz w:val="3"/>
                <w:szCs w:val="3"/>
                <w:color w:val="auto"/>
              </w:rPr>
            </w:pPr>
          </w:p>
        </w:tc>
        <w:tc>
          <w:tcPr>
            <w:tcW w:w="6020" w:type="dxa"/>
            <w:vAlign w:val="bottom"/>
            <w:gridSpan w:val="7"/>
            <w:vMerge w:val="restart"/>
          </w:tcPr>
          <w:p>
            <w:pPr>
              <w:spacing w:after="0"/>
              <w:rPr>
                <w:sz w:val="20"/>
                <w:szCs w:val="20"/>
                <w:color w:val="auto"/>
              </w:rPr>
            </w:pPr>
            <w:r>
              <w:rPr>
                <w:rFonts w:ascii="Arial" w:cs="Arial" w:eastAsia="Arial" w:hAnsi="Arial"/>
                <w:sz w:val="18"/>
                <w:szCs w:val="18"/>
                <w:color w:val="0000FF"/>
                <w:w w:val="99"/>
              </w:rPr>
              <w:t>Report of Independent Registered Public Accounting Firm (PCAOB: ID 238)</w:t>
            </w:r>
          </w:p>
        </w:tc>
        <w:tc>
          <w:tcPr>
            <w:tcW w:w="43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020" w:type="dxa"/>
            <w:vAlign w:val="bottom"/>
            <w:tcBorders>
              <w:bottom w:val="single" w:sz="8" w:color="0000FF"/>
            </w:tcBorders>
            <w:gridSpan w:val="7"/>
            <w:vMerge w:val="continue"/>
          </w:tcPr>
          <w:p>
            <w:pPr>
              <w:spacing w:after="0"/>
              <w:rPr>
                <w:sz w:val="19"/>
                <w:szCs w:val="19"/>
                <w:color w:val="auto"/>
              </w:rPr>
            </w:pPr>
          </w:p>
        </w:tc>
        <w:tc>
          <w:tcPr>
            <w:tcW w:w="4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Arial" w:cs="Arial" w:eastAsia="Arial" w:hAnsi="Arial"/>
                <w:sz w:val="18"/>
                <w:szCs w:val="18"/>
                <w:color w:val="0000FF"/>
              </w:rPr>
              <w:t>Consolidated Balance Sheets</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spacing w:after="0"/>
              <w:rPr>
                <w:sz w:val="24"/>
                <w:szCs w:val="24"/>
                <w:color w:val="auto"/>
              </w:rPr>
            </w:pPr>
          </w:p>
        </w:tc>
        <w:tc>
          <w:tcPr>
            <w:tcW w:w="41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Comprehensive Income</w:t>
            </w:r>
          </w:p>
        </w:tc>
        <w:tc>
          <w:tcPr>
            <w:tcW w:w="616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32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Statements of Cash Flows</w:t>
            </w:r>
          </w:p>
        </w:tc>
        <w:tc>
          <w:tcPr>
            <w:tcW w:w="712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Arial" w:cs="Arial" w:eastAsia="Arial" w:hAnsi="Arial"/>
                <w:sz w:val="18"/>
                <w:szCs w:val="18"/>
                <w:color w:val="0000FF"/>
              </w:rPr>
              <w:t>Consolidated Statements of Stockholders' Equity</w:t>
            </w: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35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380" w:type="dxa"/>
            <w:vAlign w:val="bottom"/>
            <w:tcBorders>
              <w:top w:val="single" w:sz="8" w:color="0000FF"/>
            </w:tcBorders>
          </w:tcPr>
          <w:p>
            <w:pPr>
              <w:spacing w:after="0"/>
              <w:rPr>
                <w:sz w:val="24"/>
                <w:szCs w:val="24"/>
                <w:color w:val="auto"/>
              </w:rPr>
            </w:pPr>
          </w:p>
        </w:tc>
        <w:tc>
          <w:tcPr>
            <w:tcW w:w="64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6140" w:type="dxa"/>
            <w:vAlign w:val="bottom"/>
            <w:gridSpan w:val="8"/>
          </w:tcPr>
          <w:p>
            <w:pPr>
              <w:jc w:val="right"/>
              <w:ind w:right="420"/>
              <w:spacing w:after="0"/>
              <w:rPr>
                <w:sz w:val="20"/>
                <w:szCs w:val="20"/>
                <w:color w:val="auto"/>
              </w:rPr>
            </w:pPr>
            <w:r>
              <w:rPr>
                <w:rFonts w:ascii="Arial" w:cs="Arial" w:eastAsia="Arial" w:hAnsi="Arial"/>
                <w:sz w:val="18"/>
                <w:szCs w:val="18"/>
                <w:color w:val="auto"/>
              </w:rPr>
              <w:t>50</w:t>
            </w:r>
          </w:p>
        </w:tc>
        <w:tc>
          <w:tcPr>
            <w:tcW w:w="4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ind w:right="3140" w:firstLine="3135"/>
        <w:spacing w:after="0" w:line="50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Allison Transmission Holdings, Inc.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have audited the accompanying consolidated balance sheets of Allison Transmission Holdings, Inc. and its subsidiaries (the “Company”) as of December 31, 2022 and 2021, and the related consolidated statements of comprehensive income, of stockholders’ equity and of cash flows for each of the three years in the period ended December 31, 2022, including the related notes and financial statement schedule listed in the index appearing under Item 15(a)(2)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69"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 Liabilities</w:t>
      </w:r>
    </w:p>
    <w:p>
      <w:pPr>
        <w:spacing w:after="0" w:line="19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As described in Notes 2 and 10 to the consolidated financial statements, the Company’s consolidated product warranty liability balance was $57 million as of December 31, 2022. Management makes provisions for the estimated product warranty liabilities at the time the products are sold. These estimates are established using historical information including the nature, frequency, and average cost of warranty claims and are adjusted as actual information becomes available.</w:t>
      </w:r>
    </w:p>
    <w:p>
      <w:pPr>
        <w:spacing w:after="0" w:line="16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principal considerations for our determination that performing procedures relating to the product warranty liabilities is a critical audit matter are (i) the significant judgment by management when determining the product warranty liability estimate; (ii) the high degree of auditor judgment, subjectivity, and effort in performing procedures and evaluating audit evidence relating to the significant assumptions related to the frequency and average cost of warranty claims; and (iii) the audit effort involved the use of professionals with specialized skill and knowledge.</w:t>
      </w:r>
    </w:p>
    <w:p>
      <w:pPr>
        <w:spacing w:after="0" w:line="145"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process for developing the estimate, significant assumptions, and inputs used to estimate product warranty liabilities. These procedures also included, among others, (i) testing the completeness and accuracy of historical warranty claims data used in the estimate and (ii) professionals with specialized skill and knowledge were used to assist in evaluating the reasonableness of the frequency and average cost of warranty claims assumptions.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rPr>
          <w:sz w:val="20"/>
          <w:szCs w:val="20"/>
          <w:color w:val="auto"/>
        </w:rPr>
      </w:pPr>
      <w:r>
        <w:rPr>
          <w:rFonts w:ascii="Arial" w:cs="Arial" w:eastAsia="Arial" w:hAnsi="Arial"/>
          <w:sz w:val="18"/>
          <w:szCs w:val="18"/>
          <w:color w:val="auto"/>
        </w:rPr>
        <w:t>February 16,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232</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Accounts receivable - net of allowance for doubtful accounts of $5 and $3, respectively</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363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301</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224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204</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866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671</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763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706</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878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917</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2,075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2,064</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w:t>
            </w:r>
          </w:p>
        </w:tc>
      </w:tr>
      <w:tr>
        <w:trPr>
          <w:trHeight w:val="26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4,671</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4,457</w:t>
            </w:r>
          </w:p>
        </w:tc>
      </w:tr>
      <w:tr>
        <w:trPr>
          <w:trHeight w:val="210"/>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195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179</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warranty liability</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208</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204</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480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459</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Product warranty liability</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93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2,501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2,504</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536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514</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163</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227</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3,797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3,823</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18)</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197"/>
        </w:trPr>
        <w:tc>
          <w:tcPr>
            <w:tcW w:w="7660" w:type="dxa"/>
            <w:vAlign w:val="bottom"/>
          </w:tcPr>
          <w:p>
            <w:pPr>
              <w:ind w:left="280"/>
              <w:spacing w:after="0" w:line="197" w:lineRule="exact"/>
              <w:rPr>
                <w:sz w:val="20"/>
                <w:szCs w:val="20"/>
                <w:color w:val="auto"/>
              </w:rPr>
            </w:pPr>
            <w:r>
              <w:rPr>
                <w:rFonts w:ascii="Arial" w:cs="Arial" w:eastAsia="Arial" w:hAnsi="Arial"/>
                <w:sz w:val="18"/>
                <w:szCs w:val="18"/>
                <w:color w:val="auto"/>
              </w:rPr>
              <w:t>Common stock, $0.01 par value, 1,880,000,000 shares authorized,</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7660" w:type="dxa"/>
            <w:vAlign w:val="bottom"/>
          </w:tcPr>
          <w:p>
            <w:pPr>
              <w:ind w:left="420"/>
              <w:spacing w:after="0" w:line="202" w:lineRule="exact"/>
              <w:rPr>
                <w:sz w:val="20"/>
                <w:szCs w:val="20"/>
                <w:color w:val="auto"/>
              </w:rPr>
            </w:pPr>
            <w:r>
              <w:rPr>
                <w:rFonts w:ascii="Arial" w:cs="Arial" w:eastAsia="Arial" w:hAnsi="Arial"/>
                <w:sz w:val="18"/>
                <w:szCs w:val="18"/>
                <w:color w:val="auto"/>
              </w:rPr>
              <w:t>91,788,885 shares issued and outstanding and 99,262,951 shares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5"/>
        </w:trPr>
        <w:tc>
          <w:tcPr>
            <w:tcW w:w="7660" w:type="dxa"/>
            <w:vAlign w:val="bottom"/>
          </w:tcPr>
          <w:p>
            <w:pPr>
              <w:ind w:left="420"/>
              <w:spacing w:after="0"/>
              <w:rPr>
                <w:sz w:val="20"/>
                <w:szCs w:val="20"/>
                <w:color w:val="auto"/>
              </w:rPr>
            </w:pPr>
            <w:r>
              <w:rPr>
                <w:rFonts w:ascii="Arial" w:cs="Arial" w:eastAsia="Arial" w:hAnsi="Arial"/>
                <w:sz w:val="18"/>
                <w:szCs w:val="18"/>
                <w:color w:val="auto"/>
              </w:rPr>
              <w:t>issued and outstanding, respectively</w:t>
            </w:r>
          </w:p>
        </w:tc>
        <w:tc>
          <w:tcPr>
            <w:tcW w:w="2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197"/>
        </w:trPr>
        <w:tc>
          <w:tcPr>
            <w:tcW w:w="76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Non-voting common stock, $0.01 par value, 20,000,000 shares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35"/>
        </w:trPr>
        <w:tc>
          <w:tcPr>
            <w:tcW w:w="76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authorized, none issued and outstanding</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66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$0.01 par value, 100,000,000 shares authorized, none</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5"/>
        </w:trPr>
        <w:tc>
          <w:tcPr>
            <w:tcW w:w="7660" w:type="dxa"/>
            <w:vAlign w:val="bottom"/>
          </w:tcPr>
          <w:p>
            <w:pPr>
              <w:ind w:left="420"/>
              <w:spacing w:after="0"/>
              <w:rPr>
                <w:sz w:val="20"/>
                <w:szCs w:val="20"/>
                <w:color w:val="auto"/>
              </w:rPr>
            </w:pPr>
            <w:r>
              <w:rPr>
                <w:rFonts w:ascii="Arial" w:cs="Arial" w:eastAsia="Arial" w:hAnsi="Arial"/>
                <w:sz w:val="18"/>
                <w:szCs w:val="18"/>
                <w:color w:val="auto"/>
              </w:rPr>
              <w:t>issued and outstanding</w:t>
            </w:r>
          </w:p>
        </w:tc>
        <w:tc>
          <w:tcPr>
            <w:tcW w:w="2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 in capital</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1,848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1,832</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(953 )</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(1,126 )</w:t>
            </w:r>
          </w:p>
        </w:tc>
      </w:tr>
      <w:tr>
        <w:trPr>
          <w:trHeight w:val="229"/>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(22 )</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(73 )</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874</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634</w:t>
            </w:r>
          </w:p>
        </w:tc>
      </w:tr>
      <w:tr>
        <w:trPr>
          <w:trHeight w:val="26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&amp;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4,671</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-4091940</wp:posOffset>
            </wp:positionV>
            <wp:extent cx="1111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-333375</wp:posOffset>
            </wp:positionV>
            <wp:extent cx="111125"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111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111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97"/>
              </w:rPr>
              <w:t>2,769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2,402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7"/>
              </w:rPr>
              <w:t>1,472</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1,257</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97"/>
              </w:rPr>
              <w:t>1,297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1,145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19"/>
                <w:szCs w:val="19"/>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b w:val="1"/>
                <w:bCs w:val="1"/>
                <w:color w:val="auto"/>
              </w:rPr>
              <w:t>328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Engineering — research and development</w:t>
            </w:r>
          </w:p>
        </w:tc>
        <w:tc>
          <w:tcPr>
            <w:tcW w:w="8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185</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19"/>
                <w:szCs w:val="19"/>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b w:val="1"/>
                <w:bCs w:val="1"/>
                <w:color w:val="auto"/>
              </w:rPr>
              <w:t>784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(21 )</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645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(114 )</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auto"/>
            </w:tcBorders>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531</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90"/>
        </w:trPr>
        <w:tc>
          <w:tcPr>
            <w:tcW w:w="6600" w:type="dxa"/>
            <w:vAlign w:val="bottom"/>
          </w:tcPr>
          <w:p>
            <w:pPr>
              <w:ind w:left="20"/>
              <w:spacing w:after="0" w:line="190" w:lineRule="exact"/>
              <w:rPr>
                <w:sz w:val="20"/>
                <w:szCs w:val="20"/>
                <w:color w:val="auto"/>
              </w:rPr>
            </w:pPr>
            <w:r>
              <w:rPr>
                <w:rFonts w:ascii="Arial" w:cs="Arial" w:eastAsia="Arial" w:hAnsi="Arial"/>
                <w:sz w:val="18"/>
                <w:szCs w:val="18"/>
                <w:b w:val="1"/>
                <w:bCs w:val="1"/>
                <w:color w:val="auto"/>
              </w:rPr>
              <w:t>Basic earnings per share attributable to common</w:t>
            </w:r>
          </w:p>
        </w:tc>
        <w:tc>
          <w:tcPr>
            <w:tcW w:w="860" w:type="dxa"/>
            <w:vAlign w:val="bottom"/>
            <w:vMerge w:val="restart"/>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5.53</w:t>
            </w:r>
          </w:p>
        </w:tc>
        <w:tc>
          <w:tcPr>
            <w:tcW w:w="4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94"/>
        </w:trPr>
        <w:tc>
          <w:tcPr>
            <w:tcW w:w="6600" w:type="dxa"/>
            <w:vAlign w:val="bottom"/>
          </w:tcPr>
          <w:p>
            <w:pPr>
              <w:ind w:left="180"/>
              <w:spacing w:after="0" w:line="195" w:lineRule="exact"/>
              <w:rPr>
                <w:sz w:val="20"/>
                <w:szCs w:val="20"/>
                <w:color w:val="auto"/>
              </w:rPr>
            </w:pPr>
            <w:r>
              <w:rPr>
                <w:rFonts w:ascii="Arial" w:cs="Arial" w:eastAsia="Arial" w:hAnsi="Arial"/>
                <w:sz w:val="18"/>
                <w:szCs w:val="18"/>
                <w:b w:val="1"/>
                <w:bCs w:val="1"/>
                <w:color w:val="auto"/>
              </w:rPr>
              <w:t>stockholders</w:t>
            </w:r>
          </w:p>
        </w:tc>
        <w:tc>
          <w:tcPr>
            <w:tcW w:w="8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b w:val="1"/>
                <w:bCs w:val="1"/>
                <w:color w:val="auto"/>
              </w:rPr>
              <w:t>Diluted earnings per share attributable to common</w:t>
            </w:r>
          </w:p>
        </w:tc>
        <w:tc>
          <w:tcPr>
            <w:tcW w:w="860" w:type="dxa"/>
            <w:vAlign w:val="bottom"/>
            <w:vMerge w:val="restart"/>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5.53</w:t>
            </w:r>
          </w:p>
        </w:tc>
        <w:tc>
          <w:tcPr>
            <w:tcW w:w="46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FF0FC"/>
          </w:tcPr>
          <w:p>
            <w:pPr>
              <w:spacing w:after="0"/>
              <w:rPr>
                <w:sz w:val="15"/>
                <w:szCs w:val="15"/>
                <w:color w:val="auto"/>
              </w:rPr>
            </w:pP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4"/>
        </w:trPr>
        <w:tc>
          <w:tcPr>
            <w:tcW w:w="660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b w:val="1"/>
                <w:bCs w:val="1"/>
                <w:color w:val="auto"/>
              </w:rPr>
              <w:t>stockholders</w:t>
            </w:r>
          </w:p>
        </w:tc>
        <w:tc>
          <w:tcPr>
            <w:tcW w:w="86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460" w:type="dxa"/>
            <w:vAlign w:val="bottom"/>
            <w:gridSpan w:val="2"/>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6600" w:type="dxa"/>
            <w:vAlign w:val="bottom"/>
          </w:tcPr>
          <w:p>
            <w:pPr>
              <w:ind w:left="280"/>
              <w:spacing w:after="0"/>
              <w:rPr>
                <w:sz w:val="20"/>
                <w:szCs w:val="20"/>
                <w:color w:val="auto"/>
              </w:rPr>
            </w:pPr>
            <w:r>
              <w:rPr>
                <w:rFonts w:ascii="Arial" w:cs="Arial" w:eastAsia="Arial" w:hAnsi="Arial"/>
                <w:sz w:val="18"/>
                <w:szCs w:val="18"/>
                <w:color w:val="auto"/>
              </w:rPr>
              <w:t>Pension and OPEB liability adjustment</w:t>
            </w:r>
          </w:p>
        </w:tc>
        <w:tc>
          <w:tcPr>
            <w:tcW w:w="860" w:type="dxa"/>
            <w:vAlign w:val="bottom"/>
          </w:tcPr>
          <w:p>
            <w:pPr>
              <w:spacing w:after="0"/>
              <w:rPr>
                <w:sz w:val="19"/>
                <w:szCs w:val="19"/>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Foreign currency translation</w:t>
            </w:r>
          </w:p>
        </w:tc>
        <w:tc>
          <w:tcPr>
            <w:tcW w:w="8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(10 )</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 net of tax</w:t>
            </w:r>
          </w:p>
        </w:tc>
        <w:tc>
          <w:tcPr>
            <w:tcW w:w="860" w:type="dxa"/>
            <w:vAlign w:val="bottom"/>
            <w:tcBorders>
              <w:bottom w:val="single" w:sz="8" w:color="auto"/>
            </w:tcBorders>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582</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458</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-1471930</wp:posOffset>
            </wp:positionV>
            <wp:extent cx="102870" cy="282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28257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-1471930</wp:posOffset>
            </wp:positionV>
            <wp:extent cx="93980" cy="282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28257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-941070</wp:posOffset>
            </wp:positionV>
            <wp:extent cx="110426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04265" cy="17145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-333375</wp:posOffset>
            </wp:positionV>
            <wp:extent cx="10287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-333375</wp:posOffset>
            </wp:positionV>
            <wp:extent cx="9398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939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939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196"/>
        </w:trPr>
        <w:tc>
          <w:tcPr>
            <w:tcW w:w="70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r>
      <w:tr>
        <w:trPr>
          <w:trHeight w:val="209"/>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ind w:right="621"/>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531</w:t>
            </w:r>
          </w:p>
        </w:tc>
        <w:tc>
          <w:tcPr>
            <w:tcW w:w="4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4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299</w:t>
            </w:r>
          </w:p>
        </w:tc>
      </w:tr>
      <w:tr>
        <w:trPr>
          <w:trHeight w:val="188"/>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provided by</w:t>
            </w:r>
          </w:p>
        </w:tc>
        <w:tc>
          <w:tcPr>
            <w:tcW w:w="8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216"/>
        </w:trPr>
        <w:tc>
          <w:tcPr>
            <w:tcW w:w="70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operating activities: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109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96</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46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Unrealized loss (gain) on marketable securities</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18</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Loss on intercompany foreign exchange</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Technology-related investments gain</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Expenses related to long-term debt refinancing</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(25 )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Other assets and liabilities</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r>
      <w:tr>
        <w:trPr>
          <w:trHeight w:val="209"/>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657</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635</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561</w:t>
            </w:r>
          </w:p>
        </w:tc>
      </w:tr>
      <w:tr>
        <w:trPr>
          <w:trHeight w:val="216"/>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Additions of long-lived assets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(167 )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(115 )</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Business acquisitions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(23 )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technology-related investments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Proceeds from sale of assets</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 in equity method investee</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Investment in marketable securities</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Loans to third parties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Repayments from loans to third parties</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for investing activities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(183 )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(111 )</w:t>
            </w:r>
          </w:p>
        </w:tc>
      </w:tr>
      <w:tr>
        <w:trPr>
          <w:trHeight w:val="216"/>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Repurchases of common stock</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(278 )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(225 )</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Repayments on revolving credit facility</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(95 )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(800 )</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Borrowings on revolving credit facility</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95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Dividend payments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(80 )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long-term debt</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(1,019 )</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Payment of acquisition-related contingent liability</w:t>
            </w:r>
          </w:p>
        </w:tc>
        <w:tc>
          <w:tcPr>
            <w:tcW w:w="8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long-term debt</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1,000</w:t>
            </w: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Debt financing fees</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09"/>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for financing activities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(367 )</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(335 )</w:t>
            </w:r>
          </w:p>
        </w:tc>
      </w:tr>
      <w:tr>
        <w:trPr>
          <w:trHeight w:val="216"/>
        </w:trPr>
        <w:tc>
          <w:tcPr>
            <w:tcW w:w="70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216"/>
        </w:trPr>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increase (decrease) in cash and cash equivalents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105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w:t>
            </w:r>
          </w:p>
        </w:tc>
      </w:tr>
      <w:tr>
        <w:trPr>
          <w:trHeight w:val="216"/>
        </w:trPr>
        <w:tc>
          <w:tcPr>
            <w:tcW w:w="706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127</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310</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w:t>
            </w:r>
          </w:p>
        </w:tc>
      </w:tr>
      <w:tr>
        <w:trPr>
          <w:trHeight w:val="249"/>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800" w:type="dxa"/>
            <w:vAlign w:val="bottom"/>
            <w:tcBorders>
              <w:bottom w:val="single" w:sz="8" w:color="auto"/>
            </w:tcBorders>
            <w:shd w:val="clear" w:color="auto" w:fill="CFF0FC"/>
          </w:tcPr>
          <w:p>
            <w:pPr>
              <w:jc w:val="right"/>
              <w:ind w:right="621"/>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232</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127</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310</w:t>
            </w:r>
          </w:p>
        </w:tc>
      </w:tr>
      <w:tr>
        <w:trPr>
          <w:trHeight w:val="196"/>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during period for:</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7060" w:type="dxa"/>
            <w:vAlign w:val="bottom"/>
          </w:tcPr>
          <w:p>
            <w:pPr>
              <w:ind w:left="200"/>
              <w:spacing w:after="0"/>
              <w:rPr>
                <w:sz w:val="20"/>
                <w:szCs w:val="20"/>
                <w:color w:val="auto"/>
              </w:rPr>
            </w:pPr>
            <w:r>
              <w:rPr>
                <w:rFonts w:ascii="Arial" w:cs="Arial" w:eastAsia="Arial" w:hAnsi="Arial"/>
                <w:sz w:val="16"/>
                <w:szCs w:val="16"/>
                <w:color w:val="auto"/>
              </w:rPr>
              <w:t>Interest</w:t>
            </w:r>
          </w:p>
        </w:tc>
        <w:tc>
          <w:tcPr>
            <w:tcW w:w="800" w:type="dxa"/>
            <w:vAlign w:val="bottom"/>
          </w:tcPr>
          <w:p>
            <w:pPr>
              <w:jc w:val="right"/>
              <w:ind w:right="621"/>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rPr>
              <w:t>117</w:t>
            </w:r>
          </w:p>
        </w:tc>
        <w:tc>
          <w:tcPr>
            <w:tcW w:w="4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4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136</w:t>
            </w: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102</w:t>
            </w:r>
          </w:p>
        </w:tc>
        <w:tc>
          <w:tcPr>
            <w:tcW w:w="4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w:t>
            </w:r>
          </w:p>
        </w:tc>
        <w:tc>
          <w:tcPr>
            <w:tcW w:w="4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Non-cash investing activities: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 expenditures in liabilities</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11</w:t>
            </w:r>
          </w:p>
        </w:tc>
        <w:tc>
          <w:tcPr>
            <w:tcW w:w="4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c>
          <w:tcPr>
            <w:tcW w:w="4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-847090</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-829945</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-847090</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-829945</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40"/>
          </w:cols>
          <w:pgMar w:left="320" w:top="122" w:right="3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voting</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Arial" w:cs="Arial" w:eastAsia="Arial" w:hAnsi="Arial"/>
                <w:sz w:val="14"/>
                <w:szCs w:val="14"/>
                <w:b w:val="1"/>
                <w:bCs w:val="1"/>
                <w:color w:val="auto"/>
              </w:rPr>
              <w:t>Stockholders’</w:t>
            </w:r>
          </w:p>
        </w:tc>
      </w:tr>
      <w:tr>
        <w:trPr>
          <w:trHeight w:val="185"/>
        </w:trPr>
        <w:tc>
          <w:tcPr>
            <w:tcW w:w="3260" w:type="dxa"/>
            <w:vAlign w:val="bottom"/>
          </w:tcPr>
          <w:p>
            <w:pPr>
              <w:spacing w:after="0"/>
              <w:rPr>
                <w:sz w:val="16"/>
                <w:szCs w:val="16"/>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 net of tax</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Equity</w:t>
            </w:r>
          </w:p>
        </w:tc>
      </w:tr>
      <w:tr>
        <w:trPr>
          <w:trHeight w:val="22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2019</w:t>
            </w: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89"/>
              </w:rPr>
              <w:t>$1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3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3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r>
      <w:tr>
        <w:trPr>
          <w:trHeight w:val="229"/>
        </w:trPr>
        <w:tc>
          <w:tcPr>
            <w:tcW w:w="32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197"/>
        </w:trPr>
        <w:tc>
          <w:tcPr>
            <w:tcW w:w="32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Pension and OPEB liability</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5"/>
        </w:trPr>
        <w:tc>
          <w:tcPr>
            <w:tcW w:w="3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9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r>
      <w:tr>
        <w:trPr>
          <w:trHeight w:val="197"/>
        </w:trPr>
        <w:tc>
          <w:tcPr>
            <w:tcW w:w="3260" w:type="dxa"/>
            <w:vAlign w:val="bottom"/>
          </w:tcPr>
          <w:p>
            <w:pPr>
              <w:ind w:left="280"/>
              <w:spacing w:after="0" w:line="197" w:lineRule="exact"/>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5"/>
        </w:trPr>
        <w:tc>
          <w:tcPr>
            <w:tcW w:w="32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3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326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9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326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3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920" w:type="dxa"/>
            <w:vAlign w:val="bottom"/>
          </w:tcPr>
          <w:p>
            <w:pPr>
              <w:ind w:left="720"/>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19"/>
                <w:szCs w:val="19"/>
                <w:color w:val="auto"/>
              </w:rPr>
            </w:pPr>
          </w:p>
        </w:tc>
        <w:tc>
          <w:tcPr>
            <w:tcW w:w="940" w:type="dxa"/>
            <w:vAlign w:val="bottom"/>
          </w:tcPr>
          <w:p>
            <w:pPr>
              <w:jc w:val="center"/>
              <w:ind w:left="53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40" w:type="dxa"/>
            <w:vAlign w:val="bottom"/>
          </w:tcPr>
          <w:p>
            <w:pPr>
              <w:jc w:val="center"/>
              <w:ind w:left="53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$756</w:t>
            </w:r>
          </w:p>
        </w:tc>
      </w:tr>
      <w:tr>
        <w:trPr>
          <w:trHeight w:val="229"/>
        </w:trPr>
        <w:tc>
          <w:tcPr>
            <w:tcW w:w="3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11"/>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197"/>
        </w:trPr>
        <w:tc>
          <w:tcPr>
            <w:tcW w:w="3260" w:type="dxa"/>
            <w:vAlign w:val="bottom"/>
          </w:tcPr>
          <w:p>
            <w:pPr>
              <w:ind w:left="280"/>
              <w:spacing w:after="0" w:line="197" w:lineRule="exact"/>
              <w:rPr>
                <w:sz w:val="20"/>
                <w:szCs w:val="20"/>
                <w:color w:val="auto"/>
              </w:rPr>
            </w:pPr>
            <w:r>
              <w:rPr>
                <w:rFonts w:ascii="Arial" w:cs="Arial" w:eastAsia="Arial" w:hAnsi="Arial"/>
                <w:sz w:val="18"/>
                <w:szCs w:val="18"/>
                <w:color w:val="auto"/>
              </w:rPr>
              <w:t>Pension and OPEB liability</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5"/>
        </w:trPr>
        <w:tc>
          <w:tcPr>
            <w:tcW w:w="32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97"/>
        </w:trPr>
        <w:tc>
          <w:tcPr>
            <w:tcW w:w="32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5"/>
        </w:trPr>
        <w:tc>
          <w:tcPr>
            <w:tcW w:w="3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9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2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3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9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326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3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ind w:left="55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ind w:left="51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920" w:type="dxa"/>
            <w:vAlign w:val="bottom"/>
          </w:tcPr>
          <w:p>
            <w:pPr>
              <w:ind w:left="720"/>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19"/>
                <w:szCs w:val="19"/>
                <w:color w:val="auto"/>
              </w:rPr>
            </w:pPr>
          </w:p>
        </w:tc>
        <w:tc>
          <w:tcPr>
            <w:tcW w:w="940" w:type="dxa"/>
            <w:vAlign w:val="bottom"/>
          </w:tcPr>
          <w:p>
            <w:pPr>
              <w:jc w:val="center"/>
              <w:ind w:left="53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40" w:type="dxa"/>
            <w:vAlign w:val="bottom"/>
          </w:tcPr>
          <w:p>
            <w:pPr>
              <w:jc w:val="center"/>
              <w:ind w:left="53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$1,832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3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ind w:left="6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52"/>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11"/>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r>
      <w:tr>
        <w:trPr>
          <w:trHeight w:val="197"/>
        </w:trPr>
        <w:tc>
          <w:tcPr>
            <w:tcW w:w="3260" w:type="dxa"/>
            <w:vAlign w:val="bottom"/>
          </w:tcPr>
          <w:p>
            <w:pPr>
              <w:ind w:left="280"/>
              <w:spacing w:after="0" w:line="197" w:lineRule="exact"/>
              <w:rPr>
                <w:sz w:val="20"/>
                <w:szCs w:val="20"/>
                <w:color w:val="auto"/>
              </w:rPr>
            </w:pPr>
            <w:r>
              <w:rPr>
                <w:rFonts w:ascii="Arial" w:cs="Arial" w:eastAsia="Arial" w:hAnsi="Arial"/>
                <w:sz w:val="18"/>
                <w:szCs w:val="18"/>
                <w:color w:val="auto"/>
              </w:rPr>
              <w:t>Pension and OPEB liability</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5"/>
        </w:trPr>
        <w:tc>
          <w:tcPr>
            <w:tcW w:w="326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9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r>
      <w:tr>
        <w:trPr>
          <w:trHeight w:val="197"/>
        </w:trPr>
        <w:tc>
          <w:tcPr>
            <w:tcW w:w="32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5"/>
        </w:trPr>
        <w:tc>
          <w:tcPr>
            <w:tcW w:w="3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w:t>
            </w:r>
          </w:p>
        </w:tc>
        <w:tc>
          <w:tcPr>
            <w:tcW w:w="920" w:type="dxa"/>
            <w:vAlign w:val="bottom"/>
            <w:shd w:val="clear" w:color="auto" w:fill="CFF0FC"/>
          </w:tcPr>
          <w:p>
            <w:pPr>
              <w:ind w:left="6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center"/>
              <w:ind w:left="552"/>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center"/>
              <w:ind w:left="511"/>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r>
      <w:tr>
        <w:trPr>
          <w:trHeight w:val="229"/>
        </w:trPr>
        <w:tc>
          <w:tcPr>
            <w:tcW w:w="32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r>
      <w:tr>
        <w:trPr>
          <w:trHeight w:val="229"/>
        </w:trPr>
        <w:tc>
          <w:tcPr>
            <w:tcW w:w="3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w:t>
            </w:r>
          </w:p>
        </w:tc>
        <w:tc>
          <w:tcPr>
            <w:tcW w:w="920" w:type="dxa"/>
            <w:vAlign w:val="bottom"/>
            <w:shd w:val="clear" w:color="auto" w:fill="CFF0FC"/>
          </w:tcPr>
          <w:p>
            <w:pPr>
              <w:ind w:left="6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52"/>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11"/>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r>
      <w:tr>
        <w:trPr>
          <w:trHeight w:val="229"/>
        </w:trPr>
        <w:tc>
          <w:tcPr>
            <w:tcW w:w="32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9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(278)</w:t>
            </w:r>
          </w:p>
        </w:tc>
      </w:tr>
      <w:tr>
        <w:trPr>
          <w:trHeight w:val="229"/>
        </w:trPr>
        <w:tc>
          <w:tcPr>
            <w:tcW w:w="3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920" w:type="dxa"/>
            <w:vAlign w:val="bottom"/>
            <w:shd w:val="clear" w:color="auto" w:fill="CFF0FC"/>
          </w:tcPr>
          <w:p>
            <w:pPr>
              <w:ind w:left="6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52"/>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511"/>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r>
      <w:tr>
        <w:trPr>
          <w:trHeight w:val="229"/>
        </w:trPr>
        <w:tc>
          <w:tcPr>
            <w:tcW w:w="32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9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40" w:type="dxa"/>
            <w:vAlign w:val="bottom"/>
          </w:tcPr>
          <w:p>
            <w:pPr>
              <w:jc w:val="center"/>
              <w:ind w:left="552"/>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940" w:type="dxa"/>
            <w:vAlign w:val="bottom"/>
          </w:tcPr>
          <w:p>
            <w:pPr>
              <w:jc w:val="center"/>
              <w:ind w:left="511"/>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531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531</w:t>
            </w:r>
          </w:p>
        </w:tc>
      </w:tr>
      <w:tr>
        <w:trPr>
          <w:trHeight w:val="263"/>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b w:val="1"/>
                <w:bCs w:val="1"/>
                <w:color w:val="auto"/>
                <w:w w:val="89"/>
              </w:rPr>
              <w:t>$1</w:t>
            </w:r>
          </w:p>
        </w:tc>
        <w:tc>
          <w:tcPr>
            <w:tcW w:w="1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top w:val="single" w:sz="8" w:color="auto"/>
              <w:bottom w:val="single" w:sz="8" w:color="auto"/>
            </w:tcBorders>
            <w:shd w:val="clear" w:color="auto" w:fill="CFF0FC"/>
          </w:tcPr>
          <w:p>
            <w:pPr>
              <w:jc w:val="center"/>
              <w:ind w:left="532"/>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top w:val="single" w:sz="8" w:color="auto"/>
              <w:bottom w:val="single" w:sz="8" w:color="auto"/>
            </w:tcBorders>
            <w:shd w:val="clear" w:color="auto" w:fill="CFF0FC"/>
          </w:tcPr>
          <w:p>
            <w:pPr>
              <w:jc w:val="center"/>
              <w:ind w:left="531"/>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$1,848</w:t>
            </w:r>
          </w:p>
        </w:tc>
        <w:tc>
          <w:tcPr>
            <w:tcW w:w="1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$(953)</w:t>
            </w:r>
          </w:p>
        </w:tc>
        <w:tc>
          <w:tcPr>
            <w:tcW w:w="10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-3184525</wp:posOffset>
            </wp:positionV>
            <wp:extent cx="7683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-3184525</wp:posOffset>
            </wp:positionV>
            <wp:extent cx="76835"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-3184525</wp:posOffset>
            </wp:positionV>
            <wp:extent cx="7683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-3184525</wp:posOffset>
            </wp:positionV>
            <wp:extent cx="7683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-3184525</wp:posOffset>
            </wp:positionV>
            <wp:extent cx="6858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-3184525</wp:posOffset>
            </wp:positionV>
            <wp:extent cx="6858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-1754505</wp:posOffset>
            </wp:positionV>
            <wp:extent cx="76835"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-1754505</wp:posOffset>
            </wp:positionV>
            <wp:extent cx="76835"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-1754505</wp:posOffset>
            </wp:positionV>
            <wp:extent cx="76835"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-1754505</wp:posOffset>
            </wp:positionV>
            <wp:extent cx="7683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-1754505</wp:posOffset>
            </wp:positionV>
            <wp:extent cx="6858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-1754505</wp:posOffset>
            </wp:positionV>
            <wp:extent cx="685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-24765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-7620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-24765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55"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trades on the New York Stock Exchange under the symbol “ALSN”.</w:t>
      </w:r>
    </w:p>
    <w:p>
      <w:pPr>
        <w:spacing w:after="0" w:line="122"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The Company has approximately 3,500 employees. Although approximately 74% of revenues were generated in North America in 2022, the Company has a global presence by serving customers in Asia, Europe, South America and Africa. The Company serves customers through an independent network of approximately 1,600 independent distributor and dealer locations worldwide.</w:t>
      </w:r>
    </w:p>
    <w:p>
      <w:pPr>
        <w:spacing w:after="0" w:line="117"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Global markets continue to experience supply chain, labor, energy and raw material constraints as a result of global economic volatility, the war in Ukraine and the COVID-19 pandemic, that impacted the Company's business in 2022 and continue to impact its business performance. As a result, during 2022 the Company experienced raw material and component part price inflation, increased freight and logistics costs, increased labor costs, production constraints due to labor shortages and increased foreign exchange volatility. In addition, the Company's net sales for 2022 were negatively impacted as a result of its customers’ inability to secure components from the broader commercial vehicle supply base which resulted in reduced commercial vehicle build schedules and the inability of the commercial vehicle market to produce sufficient quantities to meet demand. The Company expects that commercial vehicle build schedules will continue to be negatively impacted by the availability of components in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55"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a fair statement of the results for the periods presented. The consolidated financial statements herein consist of all wholly-owned domestic and foreign subsidiaries with all significant intercompany transactions eliminated.</w:t>
      </w:r>
    </w:p>
    <w:p>
      <w:pPr>
        <w:spacing w:after="0" w:line="122"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These consolidated financial statements present the financial position, results of comprehensive income, cash flows and statements of stockholders’ equity. Certain immaterial reclassifications have been made in the consolidated financial statements of prior periods to conform to the current period presentation. These reclassifications had no material impact on previously reported net income, total stockholders’ equity or cash flows.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5"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indefinite-lived intangibles, definite-lived intangibles, long-lived asset impairment tests, useful lives for depreciation and amortization, warranty liabilities, core deposit liabilities, environmental liabilities, determination of discount rate and other assumptions for pension and other post-retirement benefit (“OPEB”)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uncertainty surrounding global economic conditions, including as a result of government actions to control inflation, the war in Ukraine and the ongoing COVID-19 pandemic, and the resulting impacts on the Company's supply chain, demand for its products, foreign exchange rates, interest rates and the cost and availability of raw materials, labor, energy and transport, actual results could differ materially from these estimates and assumptions used in preparation of the financial statements including, but not limited to, future cash flows associated with goodwill, indefinite-lived intangibles, definite-lived intangibles, long-lived asset impairment tests, determination of discount rate and other assumptions for pension and OPEB expense and income taxes. Changes in estimates are recorded in results of operations in the period that the events or circumstances giving rise to such changes occur.</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55" w:lineRule="exact"/>
        <w:rPr>
          <w:sz w:val="20"/>
          <w:szCs w:val="20"/>
          <w:color w:val="auto"/>
        </w:rPr>
      </w:pPr>
    </w:p>
    <w:p>
      <w:pPr>
        <w:ind w:right="140" w:firstLine="494"/>
        <w:spacing w:after="0" w:line="252" w:lineRule="auto"/>
        <w:rPr>
          <w:sz w:val="20"/>
          <w:szCs w:val="20"/>
          <w:color w:val="auto"/>
        </w:rPr>
      </w:pPr>
      <w:r>
        <w:rPr>
          <w:rFonts w:ascii="Arial" w:cs="Arial" w:eastAsia="Arial" w:hAnsi="Arial"/>
          <w:sz w:val="18"/>
          <w:szCs w:val="18"/>
          <w:color w:val="auto"/>
        </w:rPr>
        <w:t>In accordance with the Financial Accounting Standards Board’s (“FASB”) authoritative accounting guidance on segment reporting, the Company has one operating segment and reportable segment. The Company is in one line of business, which is the manufacture and distribution of vehicle propulsion solutions.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5" w:lineRule="exact"/>
        <w:rPr>
          <w:sz w:val="20"/>
          <w:szCs w:val="20"/>
          <w:color w:val="auto"/>
        </w:rPr>
      </w:pPr>
    </w:p>
    <w:p>
      <w:pPr>
        <w:ind w:right="100" w:firstLine="494"/>
        <w:spacing w:after="0" w:line="243" w:lineRule="auto"/>
        <w:rPr>
          <w:sz w:val="20"/>
          <w:szCs w:val="20"/>
          <w:color w:val="auto"/>
        </w:rPr>
      </w:pPr>
      <w:r>
        <w:rPr>
          <w:rFonts w:ascii="Arial" w:cs="Arial" w:eastAsia="Arial" w:hAnsi="Arial"/>
          <w:sz w:val="18"/>
          <w:szCs w:val="18"/>
          <w:color w:val="auto"/>
        </w:rPr>
        <w:t>The Company uses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5"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Investments</w:t>
      </w:r>
    </w:p>
    <w:p>
      <w:pPr>
        <w:spacing w:after="0" w:line="155"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Investments in equity securities with a readily determinable fair value, not accounted for under the equity method, are recorded at that value with unrealized gains and losses included in earnings. For equity securities without a readily determinable fair value, the investment is recorded at cost, less any impairment, plus or minus adjustments related to observable transactions for the same or similar securities, with unrealized gains and losses included in earnings. The Company's investments in equity securities had a readily determinable fair value and were recorded at fair value with unrealized gains and losses included in Other (expense) income, net. See "Note 7. Fair Value of Financial Instruments" for more details.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155"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Inventories are stated at the lower of cost or net realizable value.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55" w:lineRule="exact"/>
        <w:rPr>
          <w:sz w:val="20"/>
          <w:szCs w:val="20"/>
          <w:color w:val="auto"/>
        </w:rPr>
      </w:pPr>
    </w:p>
    <w:p>
      <w:pPr>
        <w:ind w:right="680" w:firstLine="494"/>
        <w:spacing w:after="0" w:line="271"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Range in</w:t>
            </w:r>
          </w:p>
        </w:tc>
      </w:tr>
      <w:tr>
        <w:trPr>
          <w:trHeight w:val="185"/>
        </w:trPr>
        <w:tc>
          <w:tcPr>
            <w:tcW w:w="924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improvements</w:t>
            </w:r>
          </w:p>
        </w:tc>
        <w:tc>
          <w:tcPr>
            <w:tcW w:w="2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 – 30</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10 – 40</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 – 20</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 – 5</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Special tooling</w:t>
            </w:r>
          </w:p>
        </w:tc>
        <w:tc>
          <w:tcPr>
            <w:tcW w:w="2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 – 10</w:t>
            </w:r>
          </w:p>
        </w:tc>
      </w:tr>
    </w:tbl>
    <w:p>
      <w:pPr>
        <w:spacing w:after="0" w:line="170" w:lineRule="exact"/>
        <w:rPr>
          <w:sz w:val="20"/>
          <w:szCs w:val="20"/>
          <w:color w:val="auto"/>
        </w:rPr>
      </w:pPr>
    </w:p>
    <w:p>
      <w:pPr>
        <w:ind w:right="80" w:firstLine="494"/>
        <w:spacing w:after="0" w:line="243"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25" w:lineRule="exact"/>
        <w:rPr>
          <w:sz w:val="20"/>
          <w:szCs w:val="20"/>
          <w:color w:val="auto"/>
        </w:rPr>
      </w:pPr>
    </w:p>
    <w:p>
      <w:pPr>
        <w:jc w:val="both"/>
        <w:ind w:right="360" w:firstLine="494"/>
        <w:spacing w:after="0" w:line="246"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5"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55"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The Company has elected to perform its annual impairment tests for goodwill and indefinite-lived intangible assets on October 31 of every year using a multi-step impairment test. In Step 0, the Company has the option to evaluate various qualitative factors to determine the likelihood of impairment. If the Company determines that the fair value is more likely than not less than the carrying value, then it is required to perform Step 1. If the Company does not elect to perform Step 0, it can voluntarily proceed directly to Step 1. In Step 1, the Company performs a quantitative analysis to compare the fair value to its carrying value. If the fair value exceeds the carrying value, no impairment is recorded, and the Company is not required to perform further testing. If the carrying value exceeds fair value, the Company would record an impairment loss equal to the difference.</w:t>
      </w:r>
    </w:p>
    <w:p>
      <w:pPr>
        <w:spacing w:after="0" w:line="129" w:lineRule="exact"/>
        <w:rPr>
          <w:sz w:val="20"/>
          <w:szCs w:val="20"/>
          <w:color w:val="auto"/>
        </w:rPr>
      </w:pPr>
    </w:p>
    <w:p>
      <w:pPr>
        <w:jc w:val="both"/>
        <w:ind w:right="460" w:firstLine="494"/>
        <w:spacing w:after="0" w:line="252"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17" w:lineRule="exact"/>
        <w:rPr>
          <w:sz w:val="20"/>
          <w:szCs w:val="20"/>
          <w:color w:val="auto"/>
        </w:rPr>
      </w:pPr>
    </w:p>
    <w:p>
      <w:pPr>
        <w:ind w:right="60" w:firstLine="494"/>
        <w:spacing w:after="0" w:line="246"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financial forecasts;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22" w:lineRule="exact"/>
        <w:rPr>
          <w:sz w:val="20"/>
          <w:szCs w:val="20"/>
          <w:color w:val="auto"/>
        </w:rPr>
      </w:pPr>
    </w:p>
    <w:p>
      <w:pPr>
        <w:ind w:right="120" w:firstLine="494"/>
        <w:spacing w:after="0" w:line="243"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does not aggregate any components into its reporting unit.</w:t>
      </w:r>
    </w:p>
    <w:p>
      <w:pPr>
        <w:spacing w:after="0" w:line="125"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Goodwill impairment testing for 2022 was performed using the Step 0 analysis by assessing certain qualitative trends and factors. These trends and factors were compared to, and based on, the assumptions used in prior years. After reviewing the various qualitative factors mentioned above, the Company's 2022 annual goodwill impairment test indicated that the fair value for the reporting unit more likely than not exceeded its carrying value, indicating no impairment.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After reviewing the various qualitative factors mentioned above, the Company's annual 2022 indefinite-lived intangible assets impairment tests, as of October 31, 2022, indicated that the fair value of its indefinite-lived intangible assets more likely than not exceeded their respective carrying value, indicating no impairment.</w:t>
      </w:r>
    </w:p>
    <w:p>
      <w:pPr>
        <w:spacing w:after="0" w:line="125"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Such assumptions and estimates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 Further information is provided in "Note 6. Goodwill and Other Intangible Assets.”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55"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The debt issuance costs related to line -of-credit arrangements is presented as a component of other non-current assets. The debt issuance costs related to other types of debt instruments such as notes and loans are presented as a component of long-term debt. Deferred financing costs continue to be amortized over the life of the related debt using the effective interest method. Amortization of deferred financing costs is recorded as part of interest expense and totaled $4 million for each of the years ended December 31, 2022, 2021 and 2020.</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5"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Company's marketable securities are carried at fair value on the Consolidated Balance Sheets. The Company’s financial derivative instruments, including interest rate swaps, are carried at fair value on the Consolidated Balance Sheets. Refer to "Note 7. Fair Value of Financial Instruments” for more detail. The Company’s long-term debt obligations are carried at historical amounts with the Company providing fair value disclosure in "Note 8. Debt”. The carrying values of accounts receivable and accounts payable approximate fair value due to their short-term nature.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Insurable Liabilities</w:t>
      </w:r>
    </w:p>
    <w:p>
      <w:pPr>
        <w:spacing w:after="0" w:line="155"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5"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The Company records sales as each distinct performance obligation within a contract is satisfied. The Company sells extended transmission coverage (“ETC”) for which sales are deferred. ETC sales are recognized ratably over the period of coverage, which typically ranges from one to five years after the standard warranty coverage ends. Costs associated with ETC programs are recorded as incurred during the extended period. Distributor and customer sales incentives, consisting of allowances and other rebates, are recorded as a reduction to Net sales when it is determined that the adjustment is not likely to reverse, historically on a quarterly basis. Incentive programs are generally product specific or region specific. Some factors used in estimating when an adjustment is not likely to reverse are the number of transmissions that will be affected by the incentive program and rate of acceptance of any incentive program.</w:t>
      </w:r>
    </w:p>
    <w:p>
      <w:pPr>
        <w:spacing w:after="0" w:line="129"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Sales under U.S. government production contracts are recognized at the point in time when control passes to the customer, or when the U.S. government accepts the transmission and is able to direct its use in certain bill-and-hold arrangements. Deferred revenue arises from cash received in advance of the culmination of the earnings process and is recognized as revenue in future periods when the applicable revenue recognition criteria have been met. Under the terms of previous U.S. government contracts, there were certain price reduction clauses and provisions for potential price reductions which were estimated at the time of sale based upon the Company’s history and experience and were recorded as a reduction to Net sales. Potential reductions may be attributed to a change in projected sales volumes or plant efficiencies which impact overall costs. The Company had $54 million and $56 million recorded in the price reduction reserve account as of December 31, 2022 and 2021, respectively.</w:t>
      </w:r>
    </w:p>
    <w:p>
      <w:pPr>
        <w:spacing w:after="0" w:line="131" w:lineRule="exact"/>
        <w:rPr>
          <w:sz w:val="20"/>
          <w:szCs w:val="20"/>
          <w:color w:val="auto"/>
        </w:rPr>
      </w:pPr>
    </w:p>
    <w:p>
      <w:pPr>
        <w:ind w:right="100" w:firstLine="494"/>
        <w:spacing w:after="0" w:line="252" w:lineRule="auto"/>
        <w:rPr>
          <w:sz w:val="20"/>
          <w:szCs w:val="20"/>
          <w:color w:val="auto"/>
        </w:rPr>
      </w:pPr>
      <w:r>
        <w:rPr>
          <w:rFonts w:ascii="Arial" w:cs="Arial" w:eastAsia="Arial" w:hAnsi="Arial"/>
          <w:sz w:val="18"/>
          <w:szCs w:val="18"/>
          <w:color w:val="auto"/>
        </w:rPr>
        <w:t>The Company engages in licensing agreements with certain third parties for the use of the Company’s intellectual property. Deferred revenue arises from cash received in advance of the period of use of the intellectual property. Revenue is recognized over the license period as it is earned.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w:t>
      </w:r>
    </w:p>
    <w:p>
      <w:pPr>
        <w:spacing w:after="0" w:line="157" w:lineRule="exact"/>
        <w:rPr>
          <w:sz w:val="20"/>
          <w:szCs w:val="20"/>
          <w:color w:val="auto"/>
        </w:rPr>
      </w:pPr>
    </w:p>
    <w:p>
      <w:pPr>
        <w:ind w:right="520" w:firstLine="494"/>
        <w:spacing w:after="0" w:line="252"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recorded was $21 million, $21 million and $16 million for the years ended December 31, 2022, 2021 and 2020, respectively. The associated costs are recorded in Cost of sales.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Warranty</w:t>
      </w:r>
    </w:p>
    <w:p>
      <w:pPr>
        <w:spacing w:after="0" w:line="155"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or propulsion solution manufactured by us fails while in service during the relevant warranty period. The warranty reserve is adjusted in Selling, general and administrative expense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the Company's historical rates.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charged to Engineering — research and development as incurred.</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Environmental</w:t>
      </w:r>
    </w:p>
    <w:p>
      <w:pPr>
        <w:spacing w:after="0" w:line="155"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The Company accrues costs related to environmental matters when it is probable that the Company has incurred a liability related to a contaminated site and the costs can be reasonably estimated. For additional information, see "Note 18. Commitments and Contingencies”.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5"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Most of the Company’s subsidiaries outside the United States prepare financial statements in currencies other than the U.S. Dollar. The functional currency for all of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and losses are stated as a component of Accumulated Other Comprehensive Loss (“AOCL”) as disclosed in "Note 17. Accumulated Other Comprehensive Loss”.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55" w:lineRule="exact"/>
        <w:rPr>
          <w:sz w:val="20"/>
          <w:szCs w:val="20"/>
          <w:color w:val="auto"/>
        </w:rPr>
      </w:pPr>
    </w:p>
    <w:p>
      <w:pPr>
        <w:ind w:right="80" w:firstLine="494"/>
        <w:spacing w:after="0" w:line="243" w:lineRule="auto"/>
        <w:rPr>
          <w:sz w:val="20"/>
          <w:szCs w:val="20"/>
          <w:color w:val="auto"/>
        </w:rPr>
      </w:pPr>
      <w:r>
        <w:rPr>
          <w:rFonts w:ascii="Arial" w:cs="Arial" w:eastAsia="Arial" w:hAnsi="Arial"/>
          <w:sz w:val="18"/>
          <w:szCs w:val="18"/>
          <w:color w:val="auto"/>
        </w:rPr>
        <w:t>In the normal course of business, the Company is exposed to fluctuations in interest rates, foreign currency exchange rates, and commodity prices. The risk is managed through the use of financial derivative instruments, when appropriate. The Company has qualified for and elected hedge accounting treatment on interest rate swap contracts. As necessary, the Company adjusts the values of the derivative instruments for counter-party or credit risk. "Note 9. Derivatives” provides further information on the accounting treatment of the Company’s derivative instruments.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55"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AOCL, the Company utilizes the portfolio securities approach.</w:t>
      </w:r>
    </w:p>
    <w:p>
      <w:pPr>
        <w:spacing w:after="0" w:line="128"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28"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The Company records uncertain tax positions on the basis of a two-step process whereby (1) it is determined whether it is more likely than not that the tax position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5"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In March 2015, the Company’s Board of Directors adopted, and in May 2015, the Company’s stockholders approved, the Allison Transmission Holdings, Inc. 2015 Equity Incentive Award Plan (“2015 Plan”), which became effective on May 14, 2015. Under the 2015 Plan, certain employees (including executive officers), consultants and directors are eligible to receive equity-based compensation, including non-qualified stock options, incentive stock options, restricted stock, dividend equivalents, stock payments, restricted stock units (“RSUs”), performance awards, stock appreciation rights and other equity-based awards, or any combination thereof. The 2015 Plan limits the aggregate number of shares of common stock available for issue to 15 million and will expire on, and no option or other equity award may be granted pursuant to the 2015 Plan after, the tenth anniversary of the date the 2015 Plan was approved by the Board of Directors.</w:t>
      </w:r>
    </w:p>
    <w:p>
      <w:pPr>
        <w:spacing w:after="0" w:line="129"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Prior to the adoption of the 2015 Plan, the Company’s equity-based awards were granted under the Allison Transmission Holdings, Inc. 2011 Equity Incentive Award Plan (“Prior Plan”). As of the effective date of the 2015 Plan, no new awards will be granted under the Prior Plan, but the Prior Plan will continue to govern the equity awards issued under the Prior Plan.</w:t>
      </w:r>
    </w:p>
    <w:p>
      <w:pPr>
        <w:spacing w:after="0" w:line="117" w:lineRule="exact"/>
        <w:rPr>
          <w:sz w:val="20"/>
          <w:szCs w:val="20"/>
          <w:color w:val="auto"/>
        </w:rPr>
      </w:pPr>
    </w:p>
    <w:p>
      <w:pPr>
        <w:ind w:right="20" w:firstLine="494"/>
        <w:spacing w:after="0" w:line="241" w:lineRule="auto"/>
        <w:rPr>
          <w:sz w:val="20"/>
          <w:szCs w:val="20"/>
          <w:color w:val="auto"/>
        </w:rPr>
      </w:pPr>
      <w:r>
        <w:rPr>
          <w:rFonts w:ascii="Arial" w:cs="Arial" w:eastAsia="Arial" w:hAnsi="Arial"/>
          <w:sz w:val="18"/>
          <w:szCs w:val="18"/>
          <w:color w:val="auto"/>
        </w:rPr>
        <w:t>RSU grants are recorded at fair market value at the date of grant and vest upon continued performance of services by the RSU holders over one to three years. Performance unit grants are recorded at fair value based on a Monte-Carlo pricing model, and the restrictions lapse on the date the Compensation Committee of the Board of Directors determines the number of shares that shall vest based on the related performance or market condition achievement. Non-qualified stock option grants are recorded at fair value using a Black-Scholes option pricing model and vest upon the continued performance of services by the option holder on the third anniversary of the grant date for awards under the 2015 Plan.</w:t>
      </w:r>
    </w:p>
    <w:p>
      <w:pPr>
        <w:spacing w:after="0" w:line="128" w:lineRule="exact"/>
        <w:rPr>
          <w:sz w:val="20"/>
          <w:szCs w:val="20"/>
          <w:color w:val="auto"/>
        </w:rPr>
      </w:pPr>
    </w:p>
    <w:p>
      <w:pPr>
        <w:ind w:right="480" w:firstLine="494"/>
        <w:spacing w:after="0" w:line="271" w:lineRule="auto"/>
        <w:rPr>
          <w:sz w:val="20"/>
          <w:szCs w:val="20"/>
          <w:color w:val="auto"/>
        </w:rPr>
      </w:pPr>
      <w:r>
        <w:rPr>
          <w:rFonts w:ascii="Arial" w:cs="Arial" w:eastAsia="Arial" w:hAnsi="Arial"/>
          <w:sz w:val="18"/>
          <w:szCs w:val="18"/>
          <w:color w:val="auto"/>
        </w:rPr>
        <w:t>The Company has made a policy election under applicable accounting guidance to account for forfeitures as a reduction of stock-based compensation expense when the forfeiture actually occurs.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jc w:val="both"/>
        <w:ind w:right="20" w:firstLine="494"/>
        <w:spacing w:after="0" w:line="252" w:lineRule="auto"/>
        <w:rPr>
          <w:sz w:val="20"/>
          <w:szCs w:val="20"/>
          <w:color w:val="auto"/>
        </w:rPr>
      </w:pPr>
      <w:r>
        <w:rPr>
          <w:rFonts w:ascii="Arial" w:cs="Arial" w:eastAsia="Arial" w:hAnsi="Arial"/>
          <w:sz w:val="18"/>
          <w:szCs w:val="18"/>
          <w:color w:val="auto"/>
        </w:rPr>
        <w:t>RSUs were granted to certain employees and directors at fair market value on the date of grant. The restrictions lapse upon continued performance by the RSU holder on the vest date which generally occurs over one, two or three years. RSU incentive compensation expense recorded was $9 million, $6 million and $6 million for the years ended December 31, 2022, 2021 and 2020, respectively.</w:t>
      </w:r>
    </w:p>
    <w:p>
      <w:pPr>
        <w:spacing w:after="0" w:line="117"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Performance-based awards, including performance units, were granted to certain employees at fair value at the date of grant. The Company records the fair value of each performance-based award based on a Monte-Carlo pricing model. Performance-based award incentive compensation expense recorded was $5 million, $5 million and $9 million for the years ended December 31, 2022, 2021 and 2020, respectively.</w:t>
      </w:r>
    </w:p>
    <w:p>
      <w:pPr>
        <w:spacing w:after="0" w:line="122"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Stock options were granted to certain employees at fair value on the date of grant using a Black-Scholes option pricing model. Stock option incentive compensation expense recorded was $4 million, $3 million and $2 million for the years ended December 31, 2022, 2021 and 2020, respectively.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55" w:lineRule="exact"/>
        <w:rPr>
          <w:sz w:val="20"/>
          <w:szCs w:val="20"/>
          <w:color w:val="auto"/>
        </w:rPr>
      </w:pPr>
    </w:p>
    <w:p>
      <w:pPr>
        <w:ind w:right="260" w:firstLine="494"/>
        <w:spacing w:after="0" w:line="243" w:lineRule="auto"/>
        <w:rPr>
          <w:sz w:val="20"/>
          <w:szCs w:val="20"/>
          <w:color w:val="auto"/>
        </w:rPr>
      </w:pPr>
      <w:r>
        <w:rPr>
          <w:rFonts w:ascii="Arial" w:cs="Arial" w:eastAsia="Arial" w:hAnsi="Arial"/>
          <w:sz w:val="18"/>
          <w:szCs w:val="18"/>
          <w:color w:val="auto"/>
        </w:rPr>
        <w:t>For pension and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25"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Post-retirement benefit costs consist of service cost and interest cost on accrued obligations. Actuarial gains and losses on liabilities, together with any prior service costs, are charged (or credited) to income over the average remaining service lives of employees.</w:t>
      </w:r>
    </w:p>
    <w:p>
      <w:pPr>
        <w:spacing w:after="0" w:line="99" w:lineRule="exact"/>
        <w:rPr>
          <w:sz w:val="20"/>
          <w:szCs w:val="20"/>
          <w:color w:val="auto"/>
        </w:rPr>
      </w:pPr>
    </w:p>
    <w:p>
      <w:pPr>
        <w:ind w:right="220" w:firstLine="494"/>
        <w:spacing w:after="0" w:line="241" w:lineRule="auto"/>
        <w:rPr>
          <w:sz w:val="20"/>
          <w:szCs w:val="20"/>
          <w:color w:val="auto"/>
        </w:rPr>
      </w:pPr>
      <w:r>
        <w:rPr>
          <w:rFonts w:ascii="Arial" w:cs="Arial" w:eastAsia="Arial" w:hAnsi="Arial"/>
          <w:sz w:val="18"/>
          <w:szCs w:val="18"/>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following year.</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55"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In December 2022, the FASB issued authoritative accounting guidance to amend the previously issued guidance regarding highly effective cash flow hedges affected by reference rate reform that was adopted by the Company in 2021. The amendments in the update deferred the sunset date of the relief provided in reference rate reform from December 31, 2022 to December 31, 2024. The Company plans to transition all reference rates prior to December 31, 2024, and the update had no effect on the Company's consolidated financial statements.</w:t>
      </w:r>
    </w:p>
    <w:p>
      <w:pPr>
        <w:spacing w:after="0" w:line="71" w:lineRule="exact"/>
        <w:rPr>
          <w:sz w:val="20"/>
          <w:szCs w:val="20"/>
          <w:color w:val="auto"/>
        </w:rPr>
      </w:pPr>
    </w:p>
    <w:p>
      <w:pPr>
        <w:jc w:val="both"/>
        <w:ind w:right="80" w:firstLine="499"/>
        <w:spacing w:after="0" w:line="252" w:lineRule="auto"/>
        <w:rPr>
          <w:sz w:val="20"/>
          <w:szCs w:val="20"/>
          <w:color w:val="auto"/>
        </w:rPr>
      </w:pPr>
      <w:r>
        <w:rPr>
          <w:rFonts w:ascii="Arial" w:cs="Arial" w:eastAsia="Arial" w:hAnsi="Arial"/>
          <w:sz w:val="18"/>
          <w:szCs w:val="18"/>
          <w:color w:val="auto"/>
        </w:rPr>
        <w:t>In October 2021, the FASB issued authoritative accounting guidance that requires contract assets and contract liabilities acquired in a business combination to be recognized as if the acquirer originated the contracts. The Company adopted this guidance effective January 1, 2023, and it will be applied prospectively to acquisitions occurring on or after the effective date.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1"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In June 2022, the FASB issued authoritative accounting guidance that requires investments in equity securities which are measured at fair value and are subject to contractual sale restrictions to not reflect the contractual sale restriction in its fair value measurement. The guidance will be effective for the Company in fiscal year 2024, and the Company does not plan to early adopt. Management does not expect the adoption of this guidance to have an impact on the Company's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57"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28" w:lineRule="exact"/>
        <w:rPr>
          <w:sz w:val="20"/>
          <w:szCs w:val="20"/>
          <w:color w:val="auto"/>
        </w:rPr>
      </w:pPr>
    </w:p>
    <w:p>
      <w:pPr>
        <w:jc w:val="both"/>
        <w:ind w:right="80" w:firstLine="494"/>
        <w:spacing w:after="0" w:line="252"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ETC. The Company allocates the contract’s transaction price to each performance obligation based on the standalone selling price of each distinct good or service in the contract.</w:t>
      </w:r>
    </w:p>
    <w:p>
      <w:pPr>
        <w:spacing w:after="0" w:line="117" w:lineRule="exact"/>
        <w:rPr>
          <w:sz w:val="20"/>
          <w:szCs w:val="20"/>
          <w:color w:val="auto"/>
        </w:rPr>
      </w:pPr>
    </w:p>
    <w:p>
      <w:pPr>
        <w:ind w:right="500" w:firstLine="494"/>
        <w:spacing w:after="0" w:line="261" w:lineRule="auto"/>
        <w:rPr>
          <w:sz w:val="20"/>
          <w:szCs w:val="20"/>
          <w:color w:val="auto"/>
        </w:rPr>
      </w:pPr>
      <w:r>
        <w:rPr>
          <w:rFonts w:ascii="Arial" w:cs="Arial" w:eastAsia="Arial" w:hAnsi="Arial"/>
          <w:sz w:val="17"/>
          <w:szCs w:val="17"/>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material adjustments based on variable consideration during either of the years ended December 31, 2022, 2021 or 2020.</w:t>
      </w:r>
    </w:p>
    <w:p>
      <w:pPr>
        <w:spacing w:after="0" w:line="110"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December 31, 2022 and December 31, 2021. See "Note 11. Deferred Revenue” for more information including the amount of revenue earned during the year ended December 31, 2022 that had been previously deferred. The Company had no material contract assets as of either December 31, 2022 or 2021.</w:t>
      </w:r>
    </w:p>
    <w:p>
      <w:pPr>
        <w:spacing w:after="0" w:line="125" w:lineRule="exact"/>
        <w:rPr>
          <w:sz w:val="20"/>
          <w:szCs w:val="20"/>
          <w:color w:val="auto"/>
        </w:rPr>
      </w:pPr>
    </w:p>
    <w:p>
      <w:pPr>
        <w:jc w:val="both"/>
        <w:ind w:right="100" w:firstLine="494"/>
        <w:spacing w:after="0" w:line="252"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56"/>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r>
      <w:tr>
        <w:trPr>
          <w:trHeight w:val="162"/>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4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2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On-Highway</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1,359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Defense</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North America Off-Highway</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r>
      <w:tr>
        <w:trPr>
          <w:trHeight w:val="263"/>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19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2,769</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32"/>
        </w:trPr>
        <w:tc>
          <w:tcPr>
            <w:tcW w:w="4560" w:type="dxa"/>
            <w:vAlign w:val="bottom"/>
          </w:tcPr>
          <w:p>
            <w:pPr>
              <w:spacing w:after="0"/>
              <w:rPr>
                <w:sz w:val="24"/>
                <w:szCs w:val="24"/>
                <w:color w:val="auto"/>
              </w:rPr>
            </w:pPr>
          </w:p>
        </w:tc>
        <w:tc>
          <w:tcPr>
            <w:tcW w:w="1980" w:type="dxa"/>
            <w:vAlign w:val="bottom"/>
          </w:tcPr>
          <w:p>
            <w:pPr>
              <w:jc w:val="right"/>
              <w:ind w:right="73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
        </w:trPr>
        <w:tc>
          <w:tcPr>
            <w:tcW w:w="456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-513080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-495935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-513080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-495935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 by end market is further described as follows: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North America On-Highway</w:t>
      </w:r>
    </w:p>
    <w:p>
      <w:pPr>
        <w:spacing w:after="0" w:line="155"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Revenue from the North America On-Highway end market is driven by the sale of propulsion solutions to original equipment manufacturers (“OEMs”), distributors and dealers that install the product into Class 4-5, Class 6-7 and Class 8 straight trucks, Class 8 day cab tractors, conventional transit, shuttle and coach buses, school buses and motorhome applications. Revenue is recognized at the point in time when control passes to the customer, which is based on shipping terms when the order is fulfilled by the Company.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North America Off-Highway</w:t>
      </w:r>
    </w:p>
    <w:p>
      <w:pPr>
        <w:spacing w:after="0" w:line="155"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Revenue from the North America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Defense</w:t>
      </w:r>
    </w:p>
    <w:p>
      <w:pPr>
        <w:spacing w:after="0" w:line="155" w:lineRule="exact"/>
        <w:rPr>
          <w:sz w:val="20"/>
          <w:szCs w:val="20"/>
          <w:color w:val="auto"/>
        </w:rPr>
      </w:pPr>
    </w:p>
    <w:p>
      <w:pPr>
        <w:jc w:val="both"/>
        <w:ind w:right="20" w:firstLine="494"/>
        <w:spacing w:after="0" w:line="274" w:lineRule="auto"/>
        <w:rPr>
          <w:sz w:val="20"/>
          <w:szCs w:val="20"/>
          <w:color w:val="auto"/>
        </w:rPr>
      </w:pPr>
      <w:r>
        <w:rPr>
          <w:rFonts w:ascii="Arial" w:cs="Arial" w:eastAsia="Arial" w:hAnsi="Arial"/>
          <w:sz w:val="17"/>
          <w:szCs w:val="17"/>
          <w:color w:val="auto"/>
        </w:rPr>
        <w:t>Revenue from the Defense end market is driven by sales of propulsion solutions to the U.S. Government or its contractors and sales to certain government contractors outside of the U.S. for use in both wheeled and tracked defense vehicle applications. Revenue is recognized at the point in time when control passes to the customer, which is based on shipping terms when the order is fulfilled by the Company.</w:t>
      </w:r>
    </w:p>
    <w:p>
      <w:pPr>
        <w:spacing w:after="0" w:line="99" w:lineRule="exact"/>
        <w:rPr>
          <w:sz w:val="20"/>
          <w:szCs w:val="20"/>
          <w:color w:val="auto"/>
        </w:rPr>
      </w:pPr>
    </w:p>
    <w:p>
      <w:pPr>
        <w:ind w:right="420" w:firstLine="494"/>
        <w:spacing w:after="0" w:line="252" w:lineRule="auto"/>
        <w:rPr>
          <w:sz w:val="20"/>
          <w:szCs w:val="20"/>
          <w:color w:val="auto"/>
        </w:rPr>
      </w:pPr>
      <w:r>
        <w:rPr>
          <w:rFonts w:ascii="Arial" w:cs="Arial" w:eastAsia="Arial" w:hAnsi="Arial"/>
          <w:sz w:val="18"/>
          <w:szCs w:val="18"/>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Outside North America On-Highway</w:t>
      </w:r>
    </w:p>
    <w:p>
      <w:pPr>
        <w:spacing w:after="0" w:line="155" w:lineRule="exact"/>
        <w:rPr>
          <w:sz w:val="20"/>
          <w:szCs w:val="20"/>
          <w:color w:val="auto"/>
        </w:rPr>
      </w:pPr>
    </w:p>
    <w:p>
      <w:pPr>
        <w:ind w:right="200" w:firstLine="494"/>
        <w:spacing w:after="0" w:line="252" w:lineRule="auto"/>
        <w:rPr>
          <w:sz w:val="20"/>
          <w:szCs w:val="20"/>
          <w:color w:val="auto"/>
        </w:rPr>
      </w:pPr>
      <w:r>
        <w:rPr>
          <w:rFonts w:ascii="Arial" w:cs="Arial" w:eastAsia="Arial" w:hAnsi="Arial"/>
          <w:sz w:val="18"/>
          <w:szCs w:val="18"/>
          <w:color w:val="auto"/>
        </w:rPr>
        <w:t>Revenue from the Outside North America On-Highway end market is driven by the sale of propulsion solutions to OEMs and distributors that produce vehicles for commercial users in medium- and heavy-duty applications. Revenue is recognized at the point in time when control passes to the customer, which is based on shipping terms when the order is fulfilled by the Company.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Outside North America Off-Highway</w:t>
      </w:r>
    </w:p>
    <w:p>
      <w:pPr>
        <w:spacing w:after="0" w:line="155"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Revenue from the Outside North America Off-Highway end market is driven by sales of transmissions to OEMs and distributors serving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Service Parts, Support Equipment and Other</w:t>
      </w:r>
    </w:p>
    <w:p>
      <w:pPr>
        <w:spacing w:after="0" w:line="155"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Revenue from the Service Parts, Support Equipment and Other end market is primarily derived from the sale of transmission parts and fluid purchased for the normal maintenance and repair needs of products in service, the sale of aluminum die cast components purchased as original parts and the sale of ETC contracts which extend the warranty coverages of propulsion solutions beyond the standard warranty period.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Revenue is recognized on sales of service parts, support equipment and aluminum die cast components at the point in time when control passes to the customer, which is based on shipping terms when the order is fulfilled by the Company.</w:t>
      </w:r>
    </w:p>
    <w:p>
      <w:pPr>
        <w:spacing w:after="0" w:line="99"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typically sold in one- to five-year durations within the North America On-Highway, Outside North America On-Highway, North America Off-Highway and Outside North America Off-Highway end markets. The ETC contract period begins when the standard warranty coverage period ends. All consideration allocated to an ETC performance obligation is initially deferred until the coverage period begins.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parts and raw materials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115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9"/>
                <w:szCs w:val="19"/>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8</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parts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53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r>
      <w:tr>
        <w:trPr>
          <w:trHeight w:val="263"/>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inventories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224</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-24765</wp:posOffset>
            </wp:positionV>
            <wp:extent cx="1028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14. Other Current Liabilities” 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845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795</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1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b w:val="1"/>
                <w:bCs w:val="1"/>
                <w:color w:val="auto"/>
              </w:rPr>
              <w:t>517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492</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Special tooling</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268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243</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b w:val="1"/>
                <w:bCs w:val="1"/>
                <w:color w:val="auto"/>
              </w:rPr>
              <w:t>186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188</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107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Land and land improvements</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27</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r>
      <w:tr>
        <w:trPr>
          <w:trHeight w:val="223"/>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1,950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1,828</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(1,187 )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(1,122 )</w:t>
            </w:r>
          </w:p>
        </w:tc>
      </w:tr>
      <w:tr>
        <w:trPr>
          <w:trHeight w:val="263"/>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763</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-24765</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Depreciation of property, plant and equipment was $109 million, $104 million and $96 million for the years ended December 31, 2022, 2021 and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57" w:lineRule="exact"/>
        <w:rPr>
          <w:sz w:val="20"/>
          <w:szCs w:val="20"/>
          <w:color w:val="auto"/>
        </w:rPr>
      </w:pPr>
    </w:p>
    <w:p>
      <w:pPr>
        <w:ind w:right="940" w:firstLine="494"/>
        <w:spacing w:after="0" w:line="271" w:lineRule="auto"/>
        <w:rPr>
          <w:sz w:val="20"/>
          <w:szCs w:val="20"/>
          <w:color w:val="auto"/>
        </w:rPr>
      </w:pPr>
      <w:r>
        <w:rPr>
          <w:rFonts w:ascii="Arial" w:cs="Arial" w:eastAsia="Arial" w:hAnsi="Arial"/>
          <w:sz w:val="18"/>
          <w:szCs w:val="18"/>
          <w:color w:val="auto"/>
        </w:rPr>
        <w:t>As of December 31, 2022 and 2021, the carrying amount of the Company’s Goodwill was $2,075 million and $2,064 million,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December 31, 2022</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60"/>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316"/>
              <w:spacing w:after="0" w:line="159" w:lineRule="exact"/>
              <w:rPr>
                <w:sz w:val="20"/>
                <w:szCs w:val="20"/>
                <w:color w:val="auto"/>
              </w:rPr>
            </w:pPr>
            <w:r>
              <w:rPr>
                <w:rFonts w:ascii="Arial" w:cs="Arial" w:eastAsia="Arial" w:hAnsi="Arial"/>
                <w:sz w:val="14"/>
                <w:szCs w:val="14"/>
                <w:b w:val="1"/>
                <w:bCs w:val="1"/>
                <w:color w:val="auto"/>
              </w:rPr>
              <w:t>Intangible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294"/>
              <w:spacing w:after="0" w:line="159"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2"/>
          </w:tcPr>
          <w:p>
            <w:pPr>
              <w:jc w:val="right"/>
              <w:ind w:right="30"/>
              <w:spacing w:after="0" w:line="159" w:lineRule="exact"/>
              <w:rPr>
                <w:sz w:val="20"/>
                <w:szCs w:val="20"/>
                <w:color w:val="auto"/>
              </w:rPr>
            </w:pPr>
            <w:r>
              <w:rPr>
                <w:rFonts w:ascii="Arial" w:cs="Arial" w:eastAsia="Arial" w:hAnsi="Arial"/>
                <w:sz w:val="14"/>
                <w:szCs w:val="14"/>
                <w:b w:val="1"/>
                <w:bCs w:val="1"/>
                <w:color w:val="auto"/>
              </w:rPr>
              <w:t>Intangible</w:t>
            </w:r>
          </w:p>
        </w:tc>
        <w:tc>
          <w:tcPr>
            <w:tcW w:w="180" w:type="dxa"/>
            <w:vAlign w:val="bottom"/>
          </w:tcPr>
          <w:p>
            <w:pPr>
              <w:spacing w:after="0"/>
              <w:rPr>
                <w:sz w:val="13"/>
                <w:szCs w:val="13"/>
                <w:color w:val="auto"/>
              </w:rPr>
            </w:pPr>
          </w:p>
        </w:tc>
        <w:tc>
          <w:tcPr>
            <w:tcW w:w="1140" w:type="dxa"/>
            <w:vAlign w:val="bottom"/>
          </w:tcPr>
          <w:p>
            <w:pPr>
              <w:jc w:val="right"/>
              <w:ind w:right="236"/>
              <w:spacing w:after="0" w:line="159" w:lineRule="exact"/>
              <w:rPr>
                <w:sz w:val="20"/>
                <w:szCs w:val="20"/>
                <w:color w:val="auto"/>
              </w:rPr>
            </w:pPr>
            <w:r>
              <w:rPr>
                <w:rFonts w:ascii="Arial" w:cs="Arial" w:eastAsia="Arial" w:hAnsi="Arial"/>
                <w:sz w:val="14"/>
                <w:szCs w:val="14"/>
                <w:b w:val="1"/>
                <w:bCs w:val="1"/>
                <w:color w:val="auto"/>
              </w:rPr>
              <w:t>Intangible</w:t>
            </w:r>
          </w:p>
        </w:tc>
        <w:tc>
          <w:tcPr>
            <w:tcW w:w="240" w:type="dxa"/>
            <w:vAlign w:val="bottom"/>
          </w:tcPr>
          <w:p>
            <w:pPr>
              <w:spacing w:after="0"/>
              <w:rPr>
                <w:sz w:val="13"/>
                <w:szCs w:val="13"/>
                <w:color w:val="auto"/>
              </w:rPr>
            </w:pPr>
          </w:p>
        </w:tc>
        <w:tc>
          <w:tcPr>
            <w:tcW w:w="1300" w:type="dxa"/>
            <w:vAlign w:val="bottom"/>
          </w:tcPr>
          <w:p>
            <w:pPr>
              <w:jc w:val="right"/>
              <w:ind w:right="254"/>
              <w:spacing w:after="0" w:line="159" w:lineRule="exact"/>
              <w:rPr>
                <w:sz w:val="20"/>
                <w:szCs w:val="20"/>
                <w:color w:val="auto"/>
              </w:rPr>
            </w:pPr>
            <w:r>
              <w:rPr>
                <w:rFonts w:ascii="Arial" w:cs="Arial" w:eastAsia="Arial" w:hAnsi="Arial"/>
                <w:sz w:val="14"/>
                <w:szCs w:val="14"/>
                <w:b w:val="1"/>
                <w:bCs w:val="1"/>
                <w:color w:val="auto"/>
              </w:rPr>
              <w:t>Accumulated</w:t>
            </w:r>
          </w:p>
        </w:tc>
        <w:tc>
          <w:tcPr>
            <w:tcW w:w="920" w:type="dxa"/>
            <w:vAlign w:val="bottom"/>
            <w:gridSpan w:val="2"/>
          </w:tcPr>
          <w:p>
            <w:pPr>
              <w:jc w:val="right"/>
              <w:ind w:right="70"/>
              <w:spacing w:after="0" w:line="159" w:lineRule="exact"/>
              <w:rPr>
                <w:sz w:val="20"/>
                <w:szCs w:val="20"/>
                <w:color w:val="auto"/>
              </w:rPr>
            </w:pPr>
            <w:r>
              <w:rPr>
                <w:rFonts w:ascii="Arial" w:cs="Arial" w:eastAsia="Arial" w:hAnsi="Arial"/>
                <w:sz w:val="14"/>
                <w:szCs w:val="14"/>
                <w:b w:val="1"/>
                <w:bCs w:val="1"/>
                <w:color w:val="auto"/>
              </w:rPr>
              <w:t>Intangible</w:t>
            </w:r>
          </w:p>
        </w:tc>
      </w:tr>
      <w:tr>
        <w:trPr>
          <w:trHeight w:val="185"/>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assets, gross</w:t>
            </w: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w:t>
            </w:r>
          </w:p>
        </w:tc>
        <w:tc>
          <w:tcPr>
            <w:tcW w:w="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assets, net</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assets, gross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amortization</w:t>
            </w:r>
          </w:p>
        </w:tc>
        <w:tc>
          <w:tcPr>
            <w:tcW w:w="9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assets, net</w:t>
            </w:r>
          </w:p>
        </w:tc>
      </w:tr>
      <w:tr>
        <w:trPr>
          <w:trHeight w:val="22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56"/>
              <w:spacing w:after="0"/>
              <w:rPr>
                <w:sz w:val="20"/>
                <w:szCs w:val="20"/>
                <w:color w:val="auto"/>
              </w:rPr>
            </w:pPr>
            <w:r>
              <w:rPr>
                <w:rFonts w:ascii="Arial" w:cs="Arial" w:eastAsia="Arial" w:hAnsi="Arial"/>
                <w:sz w:val="18"/>
                <w:szCs w:val="18"/>
                <w:b w:val="1"/>
                <w:bCs w:val="1"/>
                <w:color w:val="auto"/>
              </w:rPr>
              <w:t>791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22"/>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791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791</w:t>
            </w:r>
          </w:p>
        </w:tc>
      </w:tr>
      <w:tr>
        <w:trPr>
          <w:trHeight w:val="22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 process research and development</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9"/>
                <w:szCs w:val="19"/>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b w:val="1"/>
                <w:bCs w:val="1"/>
                <w:color w:val="auto"/>
              </w:rPr>
              <w:t>839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(793 )</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(751 )</w:t>
            </w:r>
          </w:p>
        </w:tc>
        <w:tc>
          <w:tcPr>
            <w:tcW w:w="3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88</w:t>
            </w:r>
          </w:p>
        </w:tc>
      </w:tr>
      <w:tr>
        <w:trPr>
          <w:trHeight w:val="22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484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(477 )</w:t>
            </w: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(477 )</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Customer relationships – defense</w:t>
            </w:r>
          </w:p>
        </w:tc>
        <w:tc>
          <w:tcPr>
            <w:tcW w:w="140" w:type="dxa"/>
            <w:vAlign w:val="bottom"/>
          </w:tcPr>
          <w:p>
            <w:pPr>
              <w:spacing w:after="0"/>
              <w:rPr>
                <w:sz w:val="19"/>
                <w:szCs w:val="19"/>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b w:val="1"/>
                <w:bCs w:val="1"/>
                <w:color w:val="auto"/>
              </w:rPr>
              <w:t>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(53 )</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(50 )</w:t>
            </w:r>
          </w:p>
        </w:tc>
        <w:tc>
          <w:tcPr>
            <w:tcW w:w="3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29"/>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Non-compete agreement</w:t>
            </w: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3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56"/>
              <w:spacing w:after="0"/>
              <w:rPr>
                <w:sz w:val="20"/>
                <w:szCs w:val="20"/>
                <w:color w:val="auto"/>
              </w:rPr>
            </w:pPr>
            <w:r>
              <w:rPr>
                <w:rFonts w:ascii="Arial" w:cs="Arial" w:eastAsia="Arial" w:hAnsi="Arial"/>
                <w:sz w:val="18"/>
                <w:szCs w:val="18"/>
                <w:b w:val="1"/>
                <w:bCs w:val="1"/>
                <w:color w:val="auto"/>
              </w:rPr>
              <w:t>2,202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122"/>
              <w:spacing w:after="0"/>
              <w:rPr>
                <w:sz w:val="20"/>
                <w:szCs w:val="20"/>
                <w:color w:val="auto"/>
              </w:rPr>
            </w:pPr>
            <w:r>
              <w:rPr>
                <w:rFonts w:ascii="Arial" w:cs="Arial" w:eastAsia="Arial" w:hAnsi="Arial"/>
                <w:sz w:val="18"/>
                <w:szCs w:val="18"/>
                <w:b w:val="1"/>
                <w:bCs w:val="1"/>
                <w:color w:val="auto"/>
              </w:rPr>
              <w:t>(1,324 ) $</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2"/>
              <w:spacing w:after="0"/>
              <w:rPr>
                <w:sz w:val="20"/>
                <w:szCs w:val="20"/>
                <w:color w:val="auto"/>
              </w:rPr>
            </w:pPr>
            <w:r>
              <w:rPr>
                <w:rFonts w:ascii="Arial" w:cs="Arial" w:eastAsia="Arial" w:hAnsi="Arial"/>
                <w:sz w:val="18"/>
                <w:szCs w:val="18"/>
                <w:color w:val="auto"/>
              </w:rPr>
              <w:t>(1,278 ) $</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917</w:t>
            </w:r>
          </w:p>
        </w:tc>
      </w:tr>
      <w:tr>
        <w:trPr>
          <w:trHeight w:val="20"/>
        </w:trPr>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-179070</wp:posOffset>
            </wp:positionV>
            <wp:extent cx="8255"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-179070</wp:posOffset>
            </wp:positionV>
            <wp:extent cx="8255"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pacing w:after="0" w:line="150"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Amortization of intangible assets was $46 million, $46 million and $52 million for the years ended December 31, 2022, 2021 and 2020, respectively.</w:t>
      </w:r>
    </w:p>
    <w:p>
      <w:pPr>
        <w:spacing w:after="0" w:line="99"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As of December 31, 2022 and 2021, the net carrying value of the Company’s Goodwill and Other intangible assets, net was $2,953 million and $2,981 million, respectively. The Company’s 2022 annual goodwill impairment test indicated that the fair value of the reporting unit more likely than not exceeded its carrying value, indicating no impairment. The Company's 2022 annual indefinite-lived intangible assets impairment test indicated that the fair value of the Company’s indefinite-lived intangible assets more likely than not exceeded their carrying value, indicating no impairment.</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years is expected to be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2027</w:t>
            </w:r>
          </w:p>
        </w:tc>
      </w:tr>
      <w:tr>
        <w:trPr>
          <w:trHeight w:val="223"/>
        </w:trPr>
        <w:tc>
          <w:tcPr>
            <w:tcW w:w="5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w:t>
            </w:r>
          </w:p>
        </w:tc>
      </w:tr>
    </w:tbl>
    <w:p>
      <w:pPr>
        <w:spacing w:after="0" w:line="89" w:lineRule="exact"/>
        <w:rPr>
          <w:sz w:val="20"/>
          <w:szCs w:val="20"/>
          <w:color w:val="auto"/>
        </w:rPr>
      </w:pPr>
    </w:p>
    <w:p>
      <w:pPr>
        <w:ind w:right="140" w:firstLine="494"/>
        <w:spacing w:after="0" w:line="255" w:lineRule="auto"/>
        <w:rPr>
          <w:sz w:val="20"/>
          <w:szCs w:val="20"/>
          <w:color w:val="auto"/>
        </w:rPr>
      </w:pPr>
      <w:r>
        <w:rPr>
          <w:rFonts w:ascii="Arial" w:cs="Arial" w:eastAsia="Arial" w:hAnsi="Arial"/>
          <w:sz w:val="18"/>
          <w:szCs w:val="18"/>
          <w:color w:val="auto"/>
        </w:rPr>
        <w:t>The following presents a summary of the changes in the goodwill of the Company's single operating and reporting segment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Allison Transmission, Inc.</w:t>
            </w:r>
          </w:p>
        </w:tc>
      </w:tr>
      <w:tr>
        <w:trPr>
          <w:trHeight w:val="223"/>
        </w:trPr>
        <w:tc>
          <w:tcPr>
            <w:tcW w:w="42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49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2,064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40" w:type="dxa"/>
            <w:vAlign w:val="bottom"/>
          </w:tcPr>
          <w:p>
            <w:pPr>
              <w:ind w:left="280"/>
              <w:spacing w:after="0"/>
              <w:rPr>
                <w:sz w:val="20"/>
                <w:szCs w:val="20"/>
                <w:color w:val="auto"/>
              </w:rPr>
            </w:pPr>
            <w:r>
              <w:rPr>
                <w:rFonts w:ascii="Arial" w:cs="Arial" w:eastAsia="Arial" w:hAnsi="Arial"/>
                <w:sz w:val="18"/>
                <w:szCs w:val="18"/>
                <w:color w:val="auto"/>
              </w:rPr>
              <w:t>Acquisition</w:t>
            </w:r>
          </w:p>
        </w:tc>
        <w:tc>
          <w:tcPr>
            <w:tcW w:w="4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r>
      <w:tr>
        <w:trPr>
          <w:trHeight w:val="229"/>
        </w:trPr>
        <w:tc>
          <w:tcPr>
            <w:tcW w:w="4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w:t>
            </w:r>
          </w:p>
        </w:tc>
        <w:tc>
          <w:tcPr>
            <w:tcW w:w="49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(2 )</w:t>
            </w:r>
          </w:p>
        </w:tc>
      </w:tr>
      <w:tr>
        <w:trPr>
          <w:trHeight w:val="223"/>
        </w:trPr>
        <w:tc>
          <w:tcPr>
            <w:tcW w:w="4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current period impact to goodwill</w:t>
            </w:r>
          </w:p>
        </w:tc>
        <w:tc>
          <w:tcPr>
            <w:tcW w:w="4980" w:type="dxa"/>
            <w:vAlign w:val="bottom"/>
            <w:tcBorders>
              <w:top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CFF0FC"/>
            </w:tcBorders>
          </w:tcPr>
          <w:p>
            <w:pPr>
              <w:spacing w:after="0"/>
              <w:rPr>
                <w:sz w:val="19"/>
                <w:szCs w:val="19"/>
                <w:color w:val="auto"/>
              </w:rPr>
            </w:pPr>
          </w:p>
        </w:tc>
      </w:tr>
      <w:tr>
        <w:trPr>
          <w:trHeight w:val="22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49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75"/>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2,075</w:t>
            </w:r>
          </w:p>
        </w:tc>
        <w:tc>
          <w:tcPr>
            <w:tcW w:w="100" w:type="dxa"/>
            <w:vAlign w:val="bottom"/>
            <w:shd w:val="clear" w:color="auto" w:fill="CFF0FC"/>
          </w:tcPr>
          <w:p>
            <w:pPr>
              <w:spacing w:after="0"/>
              <w:rPr>
                <w:sz w:val="19"/>
                <w:szCs w:val="19"/>
                <w:color w:val="auto"/>
              </w:rPr>
            </w:pPr>
          </w:p>
        </w:tc>
      </w:tr>
      <w:tr>
        <w:trPr>
          <w:trHeight w:val="651"/>
        </w:trPr>
        <w:tc>
          <w:tcPr>
            <w:tcW w:w="4240" w:type="dxa"/>
            <w:vAlign w:val="bottom"/>
          </w:tcPr>
          <w:p>
            <w:pPr>
              <w:spacing w:after="0"/>
              <w:rPr>
                <w:sz w:val="24"/>
                <w:szCs w:val="24"/>
                <w:color w:val="auto"/>
              </w:rPr>
            </w:pPr>
          </w:p>
        </w:tc>
        <w:tc>
          <w:tcPr>
            <w:tcW w:w="4980" w:type="dxa"/>
            <w:vAlign w:val="bottom"/>
          </w:tcPr>
          <w:p>
            <w:pPr>
              <w:jc w:val="right"/>
              <w:ind w:right="3410"/>
              <w:spacing w:after="0"/>
              <w:rPr>
                <w:sz w:val="20"/>
                <w:szCs w:val="20"/>
                <w:color w:val="auto"/>
              </w:rPr>
            </w:pPr>
            <w:r>
              <w:rPr>
                <w:rFonts w:ascii="Arial" w:cs="Arial" w:eastAsia="Arial" w:hAnsi="Arial"/>
                <w:sz w:val="18"/>
                <w:szCs w:val="18"/>
                <w:color w:val="auto"/>
              </w:rPr>
              <w:t>69</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
        </w:trPr>
        <w:tc>
          <w:tcPr>
            <w:tcW w:w="4240" w:type="dxa"/>
            <w:vAlign w:val="bottom"/>
            <w:tcBorders>
              <w:bottom w:val="single" w:sz="8" w:color="9A9A9A"/>
            </w:tcBorders>
          </w:tcPr>
          <w:p>
            <w:pPr>
              <w:spacing w:after="0"/>
              <w:rPr>
                <w:sz w:val="8"/>
                <w:szCs w:val="8"/>
                <w:color w:val="auto"/>
              </w:rPr>
            </w:pPr>
          </w:p>
        </w:tc>
        <w:tc>
          <w:tcPr>
            <w:tcW w:w="49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157"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57" w:lineRule="exact"/>
        <w:rPr>
          <w:sz w:val="20"/>
          <w:szCs w:val="20"/>
          <w:color w:val="auto"/>
        </w:rPr>
      </w:pPr>
    </w:p>
    <w:p>
      <w:pPr>
        <w:jc w:val="both"/>
        <w:ind w:right="200" w:firstLine="544"/>
        <w:spacing w:after="0" w:line="246"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122" w:lineRule="exact"/>
        <w:rPr>
          <w:sz w:val="20"/>
          <w:szCs w:val="20"/>
          <w:color w:val="auto"/>
        </w:rPr>
      </w:pPr>
    </w:p>
    <w:p>
      <w:pPr>
        <w:ind w:right="360" w:firstLine="544"/>
        <w:spacing w:after="0" w:line="266" w:lineRule="auto"/>
        <w:rPr>
          <w:sz w:val="20"/>
          <w:szCs w:val="20"/>
          <w:color w:val="auto"/>
        </w:rPr>
      </w:pPr>
      <w:r>
        <w:rPr>
          <w:rFonts w:ascii="Arial" w:cs="Arial" w:eastAsia="Arial" w:hAnsi="Arial"/>
          <w:sz w:val="17"/>
          <w:szCs w:val="17"/>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2022 and 2021, the Company did not have any Level 3 financial assets or liabilities.</w:t>
      </w:r>
    </w:p>
    <w:p>
      <w:pPr>
        <w:spacing w:after="0" w:line="104" w:lineRule="exact"/>
        <w:rPr>
          <w:sz w:val="20"/>
          <w:szCs w:val="20"/>
          <w:color w:val="auto"/>
        </w:rPr>
      </w:pPr>
    </w:p>
    <w:p>
      <w:pPr>
        <w:ind w:right="60" w:firstLine="544"/>
        <w:spacing w:after="0" w:line="241" w:lineRule="auto"/>
        <w:rPr>
          <w:sz w:val="20"/>
          <w:szCs w:val="20"/>
          <w:color w:val="auto"/>
        </w:rPr>
      </w:pPr>
      <w:r>
        <w:rPr>
          <w:rFonts w:ascii="Arial" w:cs="Arial" w:eastAsia="Arial" w:hAnsi="Arial"/>
          <w:sz w:val="18"/>
          <w:szCs w:val="18"/>
          <w:color w:val="auto"/>
        </w:rPr>
        <w:t>The Company’s assets and liabilities that are measured at fair value include cash equivalents, marketable securities, derivative instruments, assets held in a rabbi trust and a deferred compensation obligation. The Company’s cash equivalents consist of short-term U.S. government backed securities.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28" w:lineRule="exact"/>
        <w:rPr>
          <w:sz w:val="20"/>
          <w:szCs w:val="20"/>
          <w:color w:val="auto"/>
        </w:rPr>
      </w:pPr>
    </w:p>
    <w:p>
      <w:pPr>
        <w:ind w:right="120" w:firstLine="544"/>
        <w:spacing w:after="0" w:line="252"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w:t>
      </w:r>
    </w:p>
    <w:p>
      <w:pPr>
        <w:spacing w:after="0" w:line="117" w:lineRule="exact"/>
        <w:rPr>
          <w:sz w:val="20"/>
          <w:szCs w:val="20"/>
          <w:color w:val="auto"/>
        </w:rPr>
      </w:pPr>
    </w:p>
    <w:p>
      <w:pPr>
        <w:ind w:right="100" w:firstLine="544"/>
        <w:spacing w:after="0" w:line="243" w:lineRule="auto"/>
        <w:rPr>
          <w:sz w:val="20"/>
          <w:szCs w:val="20"/>
          <w:color w:val="auto"/>
        </w:rPr>
      </w:pPr>
      <w:r>
        <w:rPr>
          <w:rFonts w:ascii="Arial" w:cs="Arial" w:eastAsia="Arial" w:hAnsi="Arial"/>
          <w:sz w:val="18"/>
          <w:szCs w:val="18"/>
          <w:color w:val="auto"/>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Consolidated Balance Sheets. See “Note 9. Derivatives” for more information regarding the Company’s interest rate swaps.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360" w:firstLine="494"/>
        <w:spacing w:after="0" w:line="271"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December 31, 2022 and 2021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4"/>
          </w:tcPr>
          <w:p>
            <w:pPr>
              <w:jc w:val="center"/>
              <w:ind w:right="113"/>
              <w:spacing w:after="0" w:line="159" w:lineRule="exact"/>
              <w:rPr>
                <w:sz w:val="20"/>
                <w:szCs w:val="20"/>
                <w:color w:val="auto"/>
              </w:rPr>
            </w:pPr>
            <w:r>
              <w:rPr>
                <w:rFonts w:ascii="Arial" w:cs="Arial" w:eastAsia="Arial" w:hAnsi="Arial"/>
                <w:sz w:val="14"/>
                <w:szCs w:val="14"/>
                <w:b w:val="1"/>
                <w:bCs w:val="1"/>
                <w:color w:val="auto"/>
              </w:rPr>
              <w:t>Quoted Prices in Active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5"/>
          </w:tcPr>
          <w:p>
            <w:pPr>
              <w:jc w:val="right"/>
              <w:ind w:right="432"/>
              <w:spacing w:after="0" w:line="159" w:lineRule="exact"/>
              <w:rPr>
                <w:sz w:val="20"/>
                <w:szCs w:val="20"/>
                <w:color w:val="auto"/>
              </w:rPr>
            </w:pPr>
            <w:r>
              <w:rPr>
                <w:rFonts w:ascii="Arial" w:cs="Arial" w:eastAsia="Arial" w:hAnsi="Arial"/>
                <w:sz w:val="14"/>
                <w:szCs w:val="14"/>
                <w:b w:val="1"/>
                <w:bCs w:val="1"/>
                <w:color w:val="auto"/>
              </w:rPr>
              <w:t>Significant Other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rPr>
              <w:t>Markets for Identical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Observable Inputs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rPr>
              <w:t>Assets (Level 1)</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42"/>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 (liabilities), net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48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Rabbi trust assets</w:t>
            </w:r>
          </w:p>
        </w:tc>
        <w:tc>
          <w:tcPr>
            <w:tcW w:w="18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42"/>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compensation obligation</w:t>
            </w: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4740" w:type="dxa"/>
            <w:vAlign w:val="bottom"/>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57"/>
              <w:spacing w:after="0"/>
              <w:rPr>
                <w:sz w:val="20"/>
                <w:szCs w:val="20"/>
                <w:color w:val="auto"/>
              </w:rPr>
            </w:pPr>
            <w:r>
              <w:rPr>
                <w:rFonts w:ascii="Arial" w:cs="Arial" w:eastAsia="Arial" w:hAnsi="Arial"/>
                <w:sz w:val="18"/>
                <w:szCs w:val="18"/>
                <w:b w:val="1"/>
                <w:bCs w:val="1"/>
                <w:color w:val="auto"/>
              </w:rPr>
              <w:t>133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480"/>
              <w:spacing w:after="0"/>
              <w:rPr>
                <w:sz w:val="20"/>
                <w:szCs w:val="20"/>
                <w:color w:val="auto"/>
              </w:rPr>
            </w:pPr>
            <w:r>
              <w:rPr>
                <w:rFonts w:ascii="Arial" w:cs="Arial" w:eastAsia="Arial" w:hAnsi="Arial"/>
                <w:sz w:val="18"/>
                <w:szCs w:val="18"/>
                <w:b w:val="1"/>
                <w:bCs w:val="1"/>
                <w:color w:val="auto"/>
              </w:rPr>
              <w:t>18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(31 )</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42"/>
              <w:spacing w:after="0"/>
              <w:rPr>
                <w:sz w:val="20"/>
                <w:szCs w:val="20"/>
                <w:color w:val="auto"/>
              </w:rPr>
            </w:pPr>
            <w:r>
              <w:rPr>
                <w:rFonts w:ascii="Arial" w:cs="Arial" w:eastAsia="Arial" w:hAnsi="Arial"/>
                <w:sz w:val="18"/>
                <w:szCs w:val="18"/>
                <w:b w:val="1"/>
                <w:bCs w:val="1"/>
                <w:color w:val="auto"/>
              </w:rPr>
              <w:t>151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NOTE 8.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780" w:type="dxa"/>
            <w:vAlign w:val="bottom"/>
            <w:gridSpan w:val="3"/>
          </w:tcPr>
          <w:p>
            <w:pPr>
              <w:ind w:left="500"/>
              <w:spacing w:after="0"/>
              <w:rPr>
                <w:sz w:val="20"/>
                <w:szCs w:val="20"/>
                <w:color w:val="auto"/>
              </w:rPr>
            </w:pPr>
            <w:r>
              <w:rPr>
                <w:rFonts w:ascii="Arial" w:cs="Arial" w:eastAsia="Arial" w:hAnsi="Arial"/>
                <w:sz w:val="18"/>
                <w:szCs w:val="18"/>
                <w:color w:val="auto"/>
              </w:rPr>
              <w:t>Long-term debt and maturities are as follows (dollars in millions):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4"/>
                <w:szCs w:val="24"/>
                <w:color w:val="auto"/>
              </w:rPr>
            </w:pPr>
          </w:p>
        </w:tc>
        <w:tc>
          <w:tcPr>
            <w:tcW w:w="170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20"/>
              <w:spacing w:after="0"/>
              <w:rPr>
                <w:sz w:val="20"/>
                <w:szCs w:val="20"/>
                <w:color w:val="auto"/>
              </w:rPr>
            </w:pPr>
            <w:r>
              <w:rPr>
                <w:rFonts w:ascii="Arial" w:cs="Arial" w:eastAsia="Arial" w:hAnsi="Arial"/>
                <w:sz w:val="18"/>
                <w:szCs w:val="18"/>
                <w:color w:val="auto"/>
                <w:w w:val="99"/>
              </w:rPr>
              <w:t>Senior Secured Credit Facility Term Loan, variable, due 2026</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625</w:t>
            </w:r>
          </w:p>
        </w:tc>
        <w:tc>
          <w:tcPr>
            <w:tcW w:w="760" w:type="dxa"/>
            <w:vAlign w:val="bottom"/>
            <w:gridSpan w:val="2"/>
          </w:tcPr>
          <w:p>
            <w:pPr>
              <w:jc w:val="right"/>
              <w:ind w:right="4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fixed 4.75%, due 2027</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400</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Senior Notes, fixed 5.875%, due 2029</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Senior Notes, fixed 3.75%, due 2031</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1,000</w:t>
            </w:r>
          </w:p>
        </w:tc>
        <w:tc>
          <w:tcPr>
            <w:tcW w:w="1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74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2,525</w:t>
            </w:r>
          </w:p>
        </w:tc>
        <w:tc>
          <w:tcPr>
            <w:tcW w:w="760" w:type="dxa"/>
            <w:vAlign w:val="bottom"/>
            <w:gridSpan w:val="2"/>
          </w:tcPr>
          <w:p>
            <w:pPr>
              <w:jc w:val="right"/>
              <w:ind w:right="4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740" w:type="dxa"/>
            <w:vAlign w:val="bottom"/>
          </w:tcPr>
          <w:p>
            <w:pPr>
              <w:ind w:left="520"/>
              <w:spacing w:after="0"/>
              <w:rPr>
                <w:sz w:val="20"/>
                <w:szCs w:val="20"/>
                <w:color w:val="auto"/>
              </w:rPr>
            </w:pPr>
            <w:r>
              <w:rPr>
                <w:rFonts w:ascii="Arial" w:cs="Arial" w:eastAsia="Arial" w:hAnsi="Arial"/>
                <w:sz w:val="18"/>
                <w:szCs w:val="18"/>
                <w:color w:val="auto"/>
              </w:rPr>
              <w:t>deferred financing costs, net (see Note 2)</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9"/>
              </w:rPr>
              <w:t>18</w:t>
            </w:r>
          </w:p>
        </w:tc>
        <w:tc>
          <w:tcPr>
            <w:tcW w:w="1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4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long-term debt, net</w:t>
            </w:r>
          </w:p>
        </w:tc>
        <w:tc>
          <w:tcPr>
            <w:tcW w:w="18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2,501</w:t>
            </w:r>
          </w:p>
        </w:tc>
        <w:tc>
          <w:tcPr>
            <w:tcW w:w="16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40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-2294255</wp:posOffset>
            </wp:positionV>
            <wp:extent cx="68580" cy="1797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-2294255</wp:posOffset>
            </wp:positionV>
            <wp:extent cx="59690"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-2294255</wp:posOffset>
            </wp:positionV>
            <wp:extent cx="51435"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-2294255</wp:posOffset>
            </wp:positionV>
            <wp:extent cx="59690"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-2294255</wp:posOffset>
            </wp:positionV>
            <wp:extent cx="5969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-624205</wp:posOffset>
            </wp:positionV>
            <wp:extent cx="10287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-24765</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payments required on long-term debt during the next five years are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2027</w:t>
            </w:r>
          </w:p>
        </w:tc>
      </w:tr>
      <w:tr>
        <w:trPr>
          <w:trHeight w:val="223"/>
        </w:trPr>
        <w:tc>
          <w:tcPr>
            <w:tcW w:w="5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w:t>
            </w:r>
          </w:p>
        </w:tc>
        <w:tc>
          <w:tcPr>
            <w:tcW w:w="680" w:type="dxa"/>
            <w:vAlign w:val="bottom"/>
            <w:tcBorders>
              <w:top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607</w:t>
            </w:r>
          </w:p>
        </w:tc>
        <w:tc>
          <w:tcPr>
            <w:tcW w:w="3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400</w:t>
            </w:r>
          </w:p>
        </w:tc>
      </w:tr>
    </w:tbl>
    <w:p>
      <w:pPr>
        <w:spacing w:after="0" w:line="170"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As of December 31, 2022, the Company had $2,525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$625 million due March 2026 (“Term Loan”) and ATI’s revolving credit facility with commitments in the amount of $650 million due September 2025 (“Revolving Credit Facility” and, together with the Term Loan, the “Senior Secured Credit Facility”).</w:t>
      </w:r>
    </w:p>
    <w:p>
      <w:pPr>
        <w:spacing w:after="0" w:line="129" w:lineRule="exact"/>
        <w:rPr>
          <w:sz w:val="20"/>
          <w:szCs w:val="20"/>
          <w:color w:val="auto"/>
        </w:rPr>
      </w:pPr>
    </w:p>
    <w:p>
      <w:pPr>
        <w:jc w:val="both"/>
        <w:ind w:right="240" w:firstLine="494"/>
        <w:spacing w:after="0" w:line="252" w:lineRule="auto"/>
        <w:rPr>
          <w:sz w:val="20"/>
          <w:szCs w:val="20"/>
          <w:color w:val="auto"/>
        </w:rPr>
      </w:pPr>
      <w:r>
        <w:rPr>
          <w:rFonts w:ascii="Arial" w:cs="Arial" w:eastAsia="Arial" w:hAnsi="Arial"/>
          <w:sz w:val="18"/>
          <w:szCs w:val="18"/>
          <w:color w:val="auto"/>
        </w:rPr>
        <w:t>The fair value of the Company’s long-term debt obligations as of December 31, 2022 was $2,286 million. The fair value is based on quoted Level 2 market prices of the Company’s debt as of December 31, 2022. The difference between the fair value and carrying value of the long-term debt is driven primarily by trends in the financial markets.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55"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December 31, 2022, is either (a) 1.75% over a LIBOR rate on deposits in U.S. dollars for one-, two-, three- or six-month periods (or twelve-month or shorter periods if, at the time of the borrowing, available from all relevant lenders) (the "LIBOR Rate"), or (b) 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December 31, 2022, the Company elected to pay the lowest all-in rate of LIBOR plus the applicable margin, or 6.14%,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 is $2 million. As of December 31, 2022, there had been no payments required for certain net cash proceeds of non-ordinary course asset sales and casualty and condemnation events. The remaining principal balance is due upon maturity.</w:t>
      </w:r>
    </w:p>
    <w:p>
      <w:pPr>
        <w:spacing w:after="0" w:line="126" w:lineRule="exact"/>
        <w:rPr>
          <w:sz w:val="20"/>
          <w:szCs w:val="20"/>
          <w:color w:val="auto"/>
        </w:rPr>
      </w:pPr>
    </w:p>
    <w:p>
      <w:pPr>
        <w:ind w:right="20" w:firstLine="494"/>
        <w:spacing w:after="0" w:line="251" w:lineRule="auto"/>
        <w:rPr>
          <w:sz w:val="20"/>
          <w:szCs w:val="20"/>
          <w:color w:val="auto"/>
        </w:rPr>
      </w:pPr>
      <w:r>
        <w:rPr>
          <w:rFonts w:ascii="Arial" w:cs="Arial" w:eastAsia="Arial" w:hAnsi="Arial"/>
          <w:sz w:val="17"/>
          <w:szCs w:val="17"/>
          <w:color w:val="auto"/>
        </w:rPr>
        <w:t>The Senior Secured Credit Facility also provides a Revolving Credit Facility, net of an allowance for up to $75 million in outstanding letters of credit commitments. Throughout the year ended December 31, 2022, the Company made periodic withdrawals and payments on the Revolving Credit Facility as part of the Company's cash management plans. The maximum amount outstanding at any time during the year ended December 31, 2022 was $75 million. As of December 31, 2022, the Company had $644 million available under the Revolving Credit Facility, net of $6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LIBOR Rate; when the Company’s first lien net leverage ratio is equal to or less than 4.00x and above 3.50x, interest on the Revolving Credit Facility is (i) 0.50% over the Base Rate or (ii)</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1.50% over the LIBOR Rate; and when the Company’s first lien net leverage ratio is equal to or below 3.50x, interest on the Revolving Credit Facility is (y) 0.25% over the Base Rate or (z) 1.25% over the LIBOR Rate. As of December 31, 2022, the applicable margin for the Revolving Credit Facility was 1.25%. In addition, there is an annual commitment fee, based on the Company’s first lien net leverage ratio, on the average unused revolving credit borrowings available under the Revolving Credit Facility. As of December 31, 2022, the commitment fee is 0.25%. Borrowings under the Revolving Credit Facility are payable at the option of the Company throughout the term of the Senior Secured Credit Facility with the balance due in September 2025.</w:t>
      </w:r>
    </w:p>
    <w:p>
      <w:pPr>
        <w:spacing w:after="0" w:line="126"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December 31, 2022, the Company had no amounts outstanding under the Revolving Credit Facility; however, the Company would have been in compliance with the maximum first lien net leverage ratio, achieving a 0.41x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128" w:lineRule="exact"/>
        <w:rPr>
          <w:sz w:val="20"/>
          <w:szCs w:val="20"/>
          <w:color w:val="auto"/>
        </w:rPr>
      </w:pPr>
    </w:p>
    <w:p>
      <w:pPr>
        <w:ind w:right="220" w:firstLine="494"/>
        <w:spacing w:after="0" w:line="246"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December 31, 2022, the Company was in compliance with all covenants under the Credit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Notes</w:t>
      </w:r>
    </w:p>
    <w:p>
      <w:pPr>
        <w:spacing w:after="0" w:line="101"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2022, the Company was in compliance with all covenants under the indentures governing the Senior Notes.</w:t>
      </w:r>
    </w:p>
    <w:p>
      <w:pPr>
        <w:spacing w:after="0" w:line="127" w:lineRule="exact"/>
        <w:rPr>
          <w:sz w:val="20"/>
          <w:szCs w:val="20"/>
          <w:color w:val="auto"/>
        </w:rPr>
      </w:pPr>
    </w:p>
    <w:p>
      <w:pPr>
        <w:ind w:right="320" w:firstLine="494"/>
        <w:spacing w:after="0" w:line="252" w:lineRule="auto"/>
        <w:rPr>
          <w:sz w:val="20"/>
          <w:szCs w:val="20"/>
          <w:color w:val="auto"/>
        </w:rPr>
      </w:pPr>
      <w:r>
        <w:rPr>
          <w:rFonts w:ascii="Arial" w:cs="Arial" w:eastAsia="Arial" w:hAnsi="Arial"/>
          <w:sz w:val="18"/>
          <w:szCs w:val="18"/>
          <w:color w:val="auto"/>
        </w:rPr>
        <w:t>In November 2020, ATI redeemed all of its outstanding 5.0% Senior Notes due 2024 (the "5.0% Senior Notes"), resulting in a loss of $19 million, which included the premium between the purchase price of the 5.0% Senior Notes and the face value of such notes and the deferred financing fees written off.</w:t>
      </w:r>
    </w:p>
    <w:p>
      <w:pPr>
        <w:spacing w:after="0" w:line="130"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may be redeemed at any time at redemption prices specified in the indenture governing such notes. Some or all of the 5.875% Senior Notes may be redeemed prior to June 1, 2024 by paying a price equal to 100.00% of the principal amount being redeemed, plus an “applicable premium”. At any time on or after June 1, 2024, ATI may redeem some or all of the 5.875% Senior Notes at redemption prices specified in the indenture governing such notes. ATI may redeem up to 40% of the 3.75% Senior Notes prior to January 30, 2024 by paying a price equal to 103.750% of the principal amount being redeemed. On or after January 30, 2024 and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157" w:lineRule="exact"/>
        <w:rPr>
          <w:sz w:val="20"/>
          <w:szCs w:val="20"/>
          <w:color w:val="auto"/>
        </w:rPr>
      </w:pPr>
    </w:p>
    <w:p>
      <w:pPr>
        <w:ind w:right="100" w:firstLine="494"/>
        <w:spacing w:after="0" w:line="243"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AOCL in the Consolidated Balance Sheets. Balances in AOCL are reclassified to earnings when transactions related to the underlying risk are settled. See "Note 7. Fair Value of Financial Instruments” for information regarding the fair value of the Company’s interest rate swaps.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the Company held interest rate swaps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jc w:val="center"/>
              <w:spacing w:after="0"/>
              <w:rPr>
                <w:sz w:val="20"/>
                <w:szCs w:val="20"/>
                <w:color w:val="auto"/>
              </w:rPr>
            </w:pPr>
            <w:r>
              <w:rPr>
                <w:rFonts w:ascii="Arial" w:cs="Arial" w:eastAsia="Arial" w:hAnsi="Arial"/>
                <w:sz w:val="14"/>
                <w:szCs w:val="14"/>
                <w:b w:val="1"/>
                <w:bCs w:val="1"/>
                <w:color w:val="auto"/>
              </w:rPr>
              <w:t>Effective Dates</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tcPr>
          <w:p>
            <w:pPr>
              <w:jc w:val="right"/>
              <w:ind w:right="456"/>
              <w:spacing w:after="0"/>
              <w:rPr>
                <w:sz w:val="20"/>
                <w:szCs w:val="20"/>
                <w:color w:val="auto"/>
              </w:rPr>
            </w:pPr>
            <w:r>
              <w:rPr>
                <w:rFonts w:ascii="Arial" w:cs="Arial" w:eastAsia="Arial" w:hAnsi="Arial"/>
                <w:sz w:val="14"/>
                <w:szCs w:val="14"/>
                <w:b w:val="1"/>
                <w:bCs w:val="1"/>
                <w:color w:val="auto"/>
              </w:rPr>
              <w:t>Notional Amount</w:t>
            </w:r>
          </w:p>
        </w:tc>
        <w:tc>
          <w:tcPr>
            <w:tcW w:w="360" w:type="dxa"/>
            <w:vAlign w:val="bottom"/>
          </w:tcPr>
          <w:p>
            <w:pPr>
              <w:spacing w:after="0"/>
              <w:rPr>
                <w:sz w:val="16"/>
                <w:szCs w:val="16"/>
                <w:color w:val="auto"/>
              </w:rPr>
            </w:pPr>
          </w:p>
        </w:tc>
        <w:tc>
          <w:tcPr>
            <w:tcW w:w="2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Weighted Average LIBOR Fixed Rate</w:t>
            </w:r>
          </w:p>
        </w:tc>
      </w:tr>
      <w:tr>
        <w:trPr>
          <w:trHeight w:val="223"/>
        </w:trPr>
        <w:tc>
          <w:tcPr>
            <w:tcW w:w="5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September 2019 - September 2025</w:t>
            </w:r>
          </w:p>
        </w:tc>
        <w:tc>
          <w:tcPr>
            <w:tcW w:w="3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9"/>
                <w:szCs w:val="19"/>
                <w:color w:val="auto"/>
              </w:rPr>
            </w:pPr>
          </w:p>
        </w:tc>
        <w:tc>
          <w:tcPr>
            <w:tcW w:w="2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39"/>
        </w:trPr>
        <w:tc>
          <w:tcPr>
            <w:tcW w:w="5480" w:type="dxa"/>
            <w:vAlign w:val="bottom"/>
          </w:tcPr>
          <w:p>
            <w:pPr>
              <w:jc w:val="center"/>
              <w:spacing w:after="0"/>
              <w:rPr>
                <w:sz w:val="20"/>
                <w:szCs w:val="20"/>
                <w:color w:val="auto"/>
              </w:rPr>
            </w:pPr>
            <w:r>
              <w:rPr>
                <w:rFonts w:ascii="Arial" w:cs="Arial" w:eastAsia="Arial" w:hAnsi="Arial"/>
                <w:sz w:val="18"/>
                <w:szCs w:val="18"/>
                <w:color w:val="auto"/>
                <w:w w:val="99"/>
              </w:rPr>
              <w:t>September 2022 - September 2025</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250</w:t>
            </w:r>
          </w:p>
        </w:tc>
        <w:tc>
          <w:tcPr>
            <w:tcW w:w="3280" w:type="dxa"/>
            <w:vAlign w:val="bottom"/>
            <w:gridSpan w:val="4"/>
          </w:tcPr>
          <w:p>
            <w:pPr>
              <w:jc w:val="right"/>
              <w:spacing w:after="0"/>
              <w:rPr>
                <w:sz w:val="20"/>
                <w:szCs w:val="20"/>
                <w:color w:val="auto"/>
              </w:rPr>
            </w:pPr>
            <w:r>
              <w:rPr>
                <w:rFonts w:ascii="Arial" w:cs="Arial" w:eastAsia="Arial" w:hAnsi="Arial"/>
                <w:sz w:val="18"/>
                <w:szCs w:val="18"/>
                <w:color w:val="auto"/>
              </w:rPr>
              <w:t>2.82 %</w:t>
            </w:r>
          </w:p>
        </w:tc>
      </w:tr>
      <w:tr>
        <w:trPr>
          <w:trHeight w:val="642"/>
        </w:trPr>
        <w:tc>
          <w:tcPr>
            <w:tcW w:w="5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4"/>
        </w:trPr>
        <w:tc>
          <w:tcPr>
            <w:tcW w:w="54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2"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780" w:firstLine="494"/>
        <w:spacing w:after="0" w:line="271"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380" w:type="dxa"/>
            <w:vAlign w:val="bottom"/>
            <w:tcBorders>
              <w:bottom w:val="single" w:sz="8" w:color="auto"/>
            </w:tcBorders>
          </w:tcPr>
          <w:p>
            <w:pPr>
              <w:spacing w:after="0"/>
              <w:rPr>
                <w:sz w:val="16"/>
                <w:szCs w:val="16"/>
                <w:color w:val="auto"/>
              </w:rPr>
            </w:pPr>
          </w:p>
        </w:tc>
      </w:tr>
      <w:tr>
        <w:trPr>
          <w:trHeight w:val="160"/>
        </w:trPr>
        <w:tc>
          <w:tcPr>
            <w:tcW w:w="5300" w:type="dxa"/>
            <w:vAlign w:val="bottom"/>
          </w:tcPr>
          <w:p>
            <w:pPr>
              <w:spacing w:after="0"/>
              <w:rPr>
                <w:sz w:val="13"/>
                <w:szCs w:val="13"/>
                <w:color w:val="auto"/>
              </w:rPr>
            </w:pPr>
          </w:p>
        </w:tc>
        <w:tc>
          <w:tcPr>
            <w:tcW w:w="2540" w:type="dxa"/>
            <w:vAlign w:val="bottom"/>
            <w:gridSpan w:val="2"/>
          </w:tcPr>
          <w:p>
            <w:pPr>
              <w:ind w:left="680"/>
              <w:spacing w:after="0" w:line="159"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1420" w:type="dxa"/>
            <w:vAlign w:val="bottom"/>
          </w:tcPr>
          <w:p>
            <w:pPr>
              <w:jc w:val="right"/>
              <w:ind w:right="316"/>
              <w:spacing w:after="0" w:line="15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15"/>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5300" w:type="dxa"/>
            <w:vAlign w:val="bottom"/>
          </w:tcPr>
          <w:p>
            <w:pPr>
              <w:spacing w:after="0"/>
              <w:rPr>
                <w:sz w:val="16"/>
                <w:szCs w:val="16"/>
                <w:color w:val="auto"/>
              </w:rPr>
            </w:pPr>
          </w:p>
        </w:tc>
        <w:tc>
          <w:tcPr>
            <w:tcW w:w="2540" w:type="dxa"/>
            <w:vAlign w:val="bottom"/>
            <w:gridSpan w:val="2"/>
          </w:tcPr>
          <w:p>
            <w:pPr>
              <w:ind w:left="8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1420" w:type="dxa"/>
            <w:vAlign w:val="bottom"/>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23"/>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236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r>
      <w:tr>
        <w:trPr>
          <w:trHeight w:val="229"/>
        </w:trPr>
        <w:tc>
          <w:tcPr>
            <w:tcW w:w="530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25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36"/>
              <w:spacing w:after="0"/>
              <w:rPr>
                <w:sz w:val="20"/>
                <w:szCs w:val="20"/>
                <w:color w:val="auto"/>
              </w:rPr>
            </w:pPr>
            <w:r>
              <w:rPr>
                <w:rFonts w:ascii="Arial" w:cs="Arial" w:eastAsia="Arial" w:hAnsi="Arial"/>
                <w:sz w:val="18"/>
                <w:szCs w:val="18"/>
                <w:b w:val="1"/>
                <w:bCs w:val="1"/>
                <w:color w:val="auto"/>
              </w:rPr>
              <w:t>7</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tcBorders>
              <w:bottom w:val="single" w:sz="8" w:color="CFF0FC"/>
            </w:tcBorders>
            <w:shd w:val="clear" w:color="auto" w:fill="CFF0FC"/>
          </w:tcPr>
          <w:p>
            <w:pPr>
              <w:spacing w:after="0"/>
              <w:rPr>
                <w:sz w:val="19"/>
                <w:szCs w:val="19"/>
                <w:color w:val="auto"/>
              </w:rPr>
            </w:pPr>
          </w:p>
        </w:tc>
        <w:tc>
          <w:tcPr>
            <w:tcW w:w="2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11</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r>
      <w:tr>
        <w:trPr>
          <w:trHeight w:val="223"/>
        </w:trPr>
        <w:tc>
          <w:tcPr>
            <w:tcW w:w="5300" w:type="dxa"/>
            <w:vAlign w:val="bottom"/>
          </w:tcPr>
          <w:p>
            <w:pPr>
              <w:ind w:left="280"/>
              <w:spacing w:after="0"/>
              <w:rPr>
                <w:sz w:val="20"/>
                <w:szCs w:val="20"/>
                <w:color w:val="auto"/>
              </w:rPr>
            </w:pPr>
            <w:r>
              <w:rPr>
                <w:rFonts w:ascii="Arial" w:cs="Arial" w:eastAsia="Arial" w:hAnsi="Arial"/>
                <w:sz w:val="18"/>
                <w:szCs w:val="18"/>
                <w:color w:val="auto"/>
              </w:rPr>
              <w:t>Total derivative assets</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36"/>
              <w:spacing w:after="0"/>
              <w:rPr>
                <w:sz w:val="20"/>
                <w:szCs w:val="20"/>
                <w:color w:val="auto"/>
              </w:rPr>
            </w:pPr>
            <w:r>
              <w:rPr>
                <w:rFonts w:ascii="Arial" w:cs="Arial" w:eastAsia="Arial" w:hAnsi="Arial"/>
                <w:sz w:val="18"/>
                <w:szCs w:val="18"/>
                <w:b w:val="1"/>
                <w:bCs w:val="1"/>
                <w:color w:val="auto"/>
              </w:rPr>
              <w:t>18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0"/>
        </w:trPr>
        <w:tc>
          <w:tcPr>
            <w:tcW w:w="5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30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5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w:t>
            </w:r>
          </w:p>
        </w:tc>
      </w:tr>
      <w:tr>
        <w:trPr>
          <w:trHeight w:val="256"/>
        </w:trPr>
        <w:tc>
          <w:tcPr>
            <w:tcW w:w="5300" w:type="dxa"/>
            <w:vAlign w:val="bottom"/>
          </w:tcPr>
          <w:p>
            <w:pPr>
              <w:spacing w:after="0"/>
              <w:rPr>
                <w:sz w:val="22"/>
                <w:szCs w:val="22"/>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w:t>
            </w:r>
          </w:p>
        </w:tc>
      </w:tr>
      <w:tr>
        <w:trPr>
          <w:trHeight w:val="263"/>
        </w:trPr>
        <w:tc>
          <w:tcPr>
            <w:tcW w:w="53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derivative liabilities</w:t>
            </w:r>
          </w:p>
        </w:tc>
        <w:tc>
          <w:tcPr>
            <w:tcW w:w="23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6007100</wp:posOffset>
            </wp:positionH>
            <wp:positionV relativeFrom="paragraph">
              <wp:posOffset>-984250</wp:posOffset>
            </wp:positionV>
            <wp:extent cx="102870"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-24765</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-7620</wp:posOffset>
            </wp:positionV>
            <wp:extent cx="1028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The balance of derivative gains and (losses) recorded in AOCL as of December 31, 2022 and 2021 was $18 million and ($31) million, respectively. The Company had $9 million of derivative gains recorded in AOCL expected to be reclassified to earnings within the next twelve months as of December 31, 2022. See "Note 17. Accumulated Other Comprehensive Loss” for information regarding activity recorded as a component of AOCL during the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 LIABILITIES</w:t>
      </w:r>
    </w:p>
    <w:p>
      <w:pPr>
        <w:spacing w:after="0" w:line="157" w:lineRule="exact"/>
        <w:rPr>
          <w:sz w:val="20"/>
          <w:szCs w:val="20"/>
          <w:color w:val="auto"/>
        </w:rPr>
      </w:pPr>
    </w:p>
    <w:p>
      <w:pPr>
        <w:jc w:val="both"/>
        <w:ind w:right="160" w:firstLine="494"/>
        <w:spacing w:after="0" w:line="252" w:lineRule="auto"/>
        <w:rPr>
          <w:sz w:val="20"/>
          <w:szCs w:val="20"/>
          <w:color w:val="auto"/>
        </w:rPr>
      </w:pPr>
      <w:r>
        <w:rPr>
          <w:rFonts w:ascii="Arial" w:cs="Arial" w:eastAsia="Arial" w:hAnsi="Arial"/>
          <w:sz w:val="18"/>
          <w:szCs w:val="18"/>
          <w:color w:val="auto"/>
        </w:rPr>
        <w:t>As of December 31, 2022, the current and non-current product warranty liabilities were $33 million and $24 million, respectively. As of December 31, 2021, the current and non-current product warranty liabilities were $33 million and $20 million, respectively. Product warranty liability activities consist of the following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217"/>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217"/>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2020</w:t>
            </w:r>
          </w:p>
        </w:tc>
      </w:tr>
      <w:tr>
        <w:trPr>
          <w:trHeight w:val="22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53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52</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(31 )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liability (warranty issued during period)</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15</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Net adjustments to liability</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31</w:t>
            </w:r>
          </w:p>
        </w:tc>
      </w:tr>
      <w:tr>
        <w:trPr>
          <w:trHeight w:val="263"/>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57</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-24765</wp:posOffset>
            </wp:positionV>
            <wp:extent cx="939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939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The adjustments to the total liability in 2022, 2021 and 2020 were the result of general changes in estimates for various products and specific field action programs as additional claims data and field information became available.</w:t>
      </w:r>
    </w:p>
    <w:p>
      <w:pPr>
        <w:spacing w:after="0" w:line="99"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In 2020, the Company recorded a $23 million product warranty adjustment to address a transmission performance issue associated with shift quality in a defined population of products. As a result of this performance issue, the Company created a field action program in 2019 dedicated to the defined population of products and reviewed, assessed and made adjustments to the liability on a quarterly basis. The product warranty adjustment in 2020 was the result of additional claims data and field information becoming available.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DEFERRED REVENUE</w:t>
      </w:r>
    </w:p>
    <w:p>
      <w:pPr>
        <w:spacing w:after="0" w:line="157" w:lineRule="exact"/>
        <w:rPr>
          <w:sz w:val="20"/>
          <w:szCs w:val="20"/>
          <w:color w:val="auto"/>
        </w:rPr>
      </w:pPr>
    </w:p>
    <w:p>
      <w:pPr>
        <w:ind w:right="220" w:firstLine="562"/>
        <w:spacing w:after="0" w:line="252" w:lineRule="auto"/>
        <w:rPr>
          <w:sz w:val="20"/>
          <w:szCs w:val="20"/>
          <w:color w:val="auto"/>
        </w:rPr>
      </w:pPr>
      <w:r>
        <w:rPr>
          <w:rFonts w:ascii="Arial" w:cs="Arial" w:eastAsia="Arial" w:hAnsi="Arial"/>
          <w:sz w:val="18"/>
          <w:szCs w:val="18"/>
          <w:color w:val="auto"/>
        </w:rPr>
        <w:t>As of December 31, 2022, the current and non-current deferred revenue were $38 million and $93 million, respectively. As of December 31, 2021, the current and non-current deferred revenue were $37 million and $99 million, respectively. Deferred revenue activity consists of the following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218"/>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218"/>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2020</w:t>
            </w:r>
          </w:p>
        </w:tc>
      </w:tr>
      <w:tr>
        <w:trPr>
          <w:trHeight w:val="22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136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139</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Increases</w:t>
            </w:r>
          </w:p>
        </w:tc>
        <w:tc>
          <w:tcPr>
            <w:tcW w:w="160" w:type="dxa"/>
            <w:vAlign w:val="bottom"/>
          </w:tcPr>
          <w:p>
            <w:pPr>
              <w:spacing w:after="0"/>
              <w:rPr>
                <w:sz w:val="19"/>
                <w:szCs w:val="19"/>
                <w:color w:val="auto"/>
              </w:rPr>
            </w:pPr>
          </w:p>
        </w:tc>
        <w:tc>
          <w:tcPr>
            <w:tcW w:w="1340" w:type="dxa"/>
            <w:vAlign w:val="bottom"/>
          </w:tcPr>
          <w:p>
            <w:pPr>
              <w:jc w:val="right"/>
              <w:ind w:right="58"/>
              <w:spacing w:after="0"/>
              <w:rPr>
                <w:sz w:val="20"/>
                <w:szCs w:val="20"/>
                <w:color w:val="auto"/>
              </w:rPr>
            </w:pPr>
            <w:r>
              <w:rPr>
                <w:rFonts w:ascii="Arial" w:cs="Arial" w:eastAsia="Arial" w:hAnsi="Arial"/>
                <w:sz w:val="18"/>
                <w:szCs w:val="18"/>
                <w:b w:val="1"/>
                <w:bCs w:val="1"/>
                <w:color w:val="auto"/>
              </w:rPr>
              <w:t>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40</w:t>
            </w:r>
          </w:p>
        </w:tc>
      </w:tr>
      <w:tr>
        <w:trPr>
          <w:trHeight w:val="229"/>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earned</w:t>
            </w: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(36 )</w:t>
            </w:r>
          </w:p>
        </w:tc>
      </w:tr>
      <w:tr>
        <w:trPr>
          <w:trHeight w:val="223"/>
        </w:trPr>
        <w:tc>
          <w:tcPr>
            <w:tcW w:w="65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58"/>
              <w:spacing w:after="0"/>
              <w:rPr>
                <w:sz w:val="20"/>
                <w:szCs w:val="20"/>
                <w:color w:val="auto"/>
              </w:rPr>
            </w:pPr>
            <w:r>
              <w:rPr>
                <w:rFonts w:ascii="Arial" w:cs="Arial" w:eastAsia="Arial" w:hAnsi="Arial"/>
                <w:sz w:val="18"/>
                <w:szCs w:val="18"/>
                <w:b w:val="1"/>
                <w:bCs w:val="1"/>
                <w:color w:val="auto"/>
              </w:rPr>
              <w:t>131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143</w:t>
            </w:r>
          </w:p>
        </w:tc>
      </w:tr>
      <w:tr>
        <w:trPr>
          <w:trHeight w:val="20"/>
        </w:trPr>
        <w:tc>
          <w:tcPr>
            <w:tcW w:w="6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-179070</wp:posOffset>
            </wp:positionV>
            <wp:extent cx="93980" cy="1797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-179070</wp:posOffset>
            </wp:positionV>
            <wp:extent cx="85725"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50" w:lineRule="exact"/>
        <w:rPr>
          <w:sz w:val="20"/>
          <w:szCs w:val="20"/>
          <w:color w:val="auto"/>
        </w:rPr>
      </w:pPr>
    </w:p>
    <w:p>
      <w:pPr>
        <w:ind w:right="400" w:firstLine="494"/>
        <w:spacing w:after="0" w:line="252" w:lineRule="auto"/>
        <w:rPr>
          <w:sz w:val="20"/>
          <w:szCs w:val="20"/>
          <w:color w:val="auto"/>
        </w:rPr>
      </w:pPr>
      <w:r>
        <w:rPr>
          <w:rFonts w:ascii="Arial" w:cs="Arial" w:eastAsia="Arial" w:hAnsi="Arial"/>
          <w:sz w:val="18"/>
          <w:szCs w:val="18"/>
          <w:color w:val="auto"/>
        </w:rPr>
        <w:t>Deferred revenue recorded in current and non-current liabilities related to ETC as of December 31, 2022 were $30 million and $85 million, respectively. Deferred revenue recorded in current and non-current liabilities related to ETC as of December 31, 2021 were $30 million and $84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55" w:lineRule="exact"/>
        <w:rPr>
          <w:sz w:val="20"/>
          <w:szCs w:val="20"/>
          <w:color w:val="auto"/>
        </w:rPr>
      </w:pPr>
    </w:p>
    <w:p>
      <w:pPr>
        <w:ind w:right="20" w:firstLine="499"/>
        <w:spacing w:after="0"/>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December 31, 2022,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129" w:lineRule="exact"/>
        <w:rPr>
          <w:sz w:val="20"/>
          <w:szCs w:val="20"/>
          <w:color w:val="auto"/>
        </w:rPr>
      </w:pPr>
    </w:p>
    <w:p>
      <w:pPr>
        <w:ind w:right="320" w:firstLine="499"/>
        <w:spacing w:after="0" w:line="252"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upon inception of the contract.</w:t>
      </w:r>
    </w:p>
    <w:p>
      <w:pPr>
        <w:spacing w:after="0" w:line="117" w:lineRule="exact"/>
        <w:rPr>
          <w:sz w:val="20"/>
          <w:szCs w:val="20"/>
          <w:color w:val="auto"/>
        </w:rPr>
      </w:pPr>
    </w:p>
    <w:p>
      <w:pPr>
        <w:ind w:right="20" w:firstLine="499"/>
        <w:spacing w:after="0" w:line="241"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December 31, 2022 and 2021 was 4.43% and 4.25%,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As of both December 31, 2022 and December 31, 2021, the Company recorded current and non-current operating lease liabilities of $4 million and $13 million, respectively. The following table reconciles future undiscounted cash flows for operating leases as of December 31, 2022 to total operating lease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right"/>
              <w:ind w:right="57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9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2022</w:t>
            </w:r>
          </w:p>
        </w:tc>
      </w:tr>
      <w:tr>
        <w:trPr>
          <w:trHeight w:val="223"/>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29"/>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9"/>
                <w:szCs w:val="19"/>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29"/>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w:t>
            </w:r>
          </w:p>
        </w:tc>
      </w:tr>
      <w:tr>
        <w:trPr>
          <w:trHeight w:val="223"/>
        </w:trPr>
        <w:tc>
          <w:tcPr>
            <w:tcW w:w="9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22</w:t>
            </w:r>
          </w:p>
        </w:tc>
      </w:tr>
      <w:tr>
        <w:trPr>
          <w:trHeight w:val="229"/>
        </w:trPr>
        <w:tc>
          <w:tcPr>
            <w:tcW w:w="9080" w:type="dxa"/>
            <w:vAlign w:val="bottom"/>
          </w:tcPr>
          <w:p>
            <w:pPr>
              <w:ind w:left="520"/>
              <w:spacing w:after="0"/>
              <w:rPr>
                <w:sz w:val="20"/>
                <w:szCs w:val="20"/>
                <w:color w:val="auto"/>
              </w:rPr>
            </w:pPr>
            <w:r>
              <w:rPr>
                <w:rFonts w:ascii="Arial" w:cs="Arial" w:eastAsia="Arial" w:hAnsi="Arial"/>
                <w:sz w:val="18"/>
                <w:szCs w:val="18"/>
                <w:color w:val="auto"/>
              </w:rPr>
              <w:t>Less: Interest</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w:t>
            </w:r>
          </w:p>
        </w:tc>
      </w:tr>
      <w:tr>
        <w:trPr>
          <w:trHeight w:val="263"/>
        </w:trPr>
        <w:tc>
          <w:tcPr>
            <w:tcW w:w="9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w:t>
            </w:r>
          </w:p>
        </w:tc>
      </w:tr>
    </w:tbl>
    <w:p>
      <w:pPr>
        <w:spacing w:after="0" w:line="170"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00" w:type="dxa"/>
            <w:vAlign w:val="bottom"/>
          </w:tcPr>
          <w:p>
            <w:pPr>
              <w:spacing w:after="0"/>
              <w:rPr>
                <w:sz w:val="16"/>
                <w:szCs w:val="16"/>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r>
      <w:tr>
        <w:trPr>
          <w:trHeight w:val="223"/>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1380" w:type="dxa"/>
            <w:vAlign w:val="bottom"/>
            <w:shd w:val="clear" w:color="auto" w:fill="CFF0FC"/>
          </w:tcPr>
          <w:p>
            <w:pPr>
              <w:jc w:val="right"/>
              <w:ind w:right="1199"/>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Land</w:t>
            </w:r>
          </w:p>
        </w:tc>
        <w:tc>
          <w:tcPr>
            <w:tcW w:w="138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w:t>
            </w:r>
          </w:p>
        </w:tc>
      </w:tr>
      <w:tr>
        <w:trPr>
          <w:trHeight w:val="229"/>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13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Total ROU assets</w:t>
            </w:r>
          </w:p>
        </w:tc>
        <w:tc>
          <w:tcPr>
            <w:tcW w:w="1380" w:type="dxa"/>
            <w:vAlign w:val="bottom"/>
          </w:tcPr>
          <w:p>
            <w:pPr>
              <w:jc w:val="right"/>
              <w:ind w:right="119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18</w:t>
            </w:r>
          </w:p>
        </w:tc>
      </w:tr>
      <w:tr>
        <w:trPr>
          <w:trHeight w:val="20"/>
        </w:trPr>
        <w:tc>
          <w:tcPr>
            <w:tcW w:w="75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-179070</wp:posOffset>
            </wp:positionV>
            <wp:extent cx="120015"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179705"/>
                    </a:xfrm>
                    <a:prstGeom prst="rect">
                      <a:avLst/>
                    </a:prstGeom>
                    <a:noFill/>
                  </pic:spPr>
                </pic:pic>
              </a:graphicData>
            </a:graphic>
          </wp:anchor>
        </w:drawing>
      </w:r>
    </w:p>
    <w:p>
      <w:pPr>
        <w:spacing w:after="0" w:line="150" w:lineRule="exact"/>
        <w:rPr>
          <w:sz w:val="20"/>
          <w:szCs w:val="20"/>
          <w:color w:val="auto"/>
        </w:rPr>
      </w:pPr>
    </w:p>
    <w:p>
      <w:pPr>
        <w:ind w:right="840" w:firstLine="494"/>
        <w:spacing w:after="0" w:line="271" w:lineRule="auto"/>
        <w:rPr>
          <w:sz w:val="20"/>
          <w:szCs w:val="20"/>
          <w:color w:val="auto"/>
        </w:rPr>
      </w:pPr>
      <w:r>
        <w:rPr>
          <w:rFonts w:ascii="Arial" w:cs="Arial" w:eastAsia="Arial" w:hAnsi="Arial"/>
          <w:sz w:val="18"/>
          <w:szCs w:val="18"/>
          <w:color w:val="auto"/>
        </w:rPr>
        <w:t>The weighted average remaining lease term as of December 31, 2022 and December 31, 2021 was 6.3 years and 6.8 years, respectively.</w:t>
      </w:r>
    </w:p>
    <w:p>
      <w:pPr>
        <w:spacing w:after="0" w:line="99"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Operating lease expense was $5 million and $6 million for the years ended December 31, 2022 and 2021, respectively, and was recorded within Selling, general and administrative expense and Engineering — research and development on the Company's Consolidated Statements of Comprehensive Income. There was no material short-term operating lease expense for either of the years ended December 31, 2022 or 2021.</w:t>
      </w:r>
    </w:p>
    <w:p>
      <w:pPr>
        <w:spacing w:after="0" w:line="122" w:lineRule="exact"/>
        <w:rPr>
          <w:sz w:val="20"/>
          <w:szCs w:val="20"/>
          <w:color w:val="auto"/>
        </w:rPr>
      </w:pPr>
    </w:p>
    <w:p>
      <w:pPr>
        <w:jc w:val="both"/>
        <w:ind w:right="180" w:firstLine="494"/>
        <w:spacing w:after="0" w:line="252" w:lineRule="auto"/>
        <w:rPr>
          <w:sz w:val="20"/>
          <w:szCs w:val="20"/>
          <w:color w:val="auto"/>
        </w:rPr>
      </w:pPr>
      <w:r>
        <w:rPr>
          <w:rFonts w:ascii="Arial" w:cs="Arial" w:eastAsia="Arial" w:hAnsi="Arial"/>
          <w:sz w:val="18"/>
          <w:szCs w:val="18"/>
          <w:color w:val="auto"/>
        </w:rPr>
        <w:t>The calculation of the Company's ROU assets and lease liabilities did not include cash consideration as of either December 31, 2022 or 2021. During the years ended December 31, 2022 and 2021, the Company recorded $4 million and $2 million, respectively, of new ROU assets obtained in exchange for lease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(EXPENSE) INCOME, NET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(expense) income, net consists of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2"/>
        </w:trPr>
        <w:tc>
          <w:tcPr>
            <w:tcW w:w="4660" w:type="dxa"/>
            <w:vAlign w:val="bottom"/>
          </w:tcPr>
          <w:p>
            <w:pPr>
              <w:spacing w:after="0"/>
              <w:rPr>
                <w:sz w:val="15"/>
                <w:szCs w:val="15"/>
                <w:color w:val="auto"/>
              </w:rPr>
            </w:pPr>
          </w:p>
        </w:tc>
        <w:tc>
          <w:tcPr>
            <w:tcW w:w="29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gain on marketable securities</w:t>
            </w:r>
          </w:p>
        </w:tc>
        <w:tc>
          <w:tcPr>
            <w:tcW w:w="194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(22 )</w:t>
            </w:r>
          </w:p>
        </w:tc>
        <w:tc>
          <w:tcPr>
            <w:tcW w:w="1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Loss on foreign exchange</w:t>
            </w:r>
          </w:p>
        </w:tc>
        <w:tc>
          <w:tcPr>
            <w:tcW w:w="1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Post-retirement benefit plan amendment credits</w:t>
            </w:r>
          </w:p>
        </w:tc>
        <w:tc>
          <w:tcPr>
            <w:tcW w:w="1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Technology-related investments gain</w:t>
            </w:r>
          </w:p>
        </w:tc>
        <w:tc>
          <w:tcPr>
            <w:tcW w:w="1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 related to long-term debt refinancing</w:t>
            </w:r>
          </w:p>
        </w:tc>
        <w:tc>
          <w:tcPr>
            <w:tcW w:w="1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r>
      <w:tr>
        <w:trPr>
          <w:trHeight w:val="263"/>
        </w:trPr>
        <w:tc>
          <w:tcPr>
            <w:tcW w:w="4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632"/>
        </w:trPr>
        <w:tc>
          <w:tcPr>
            <w:tcW w:w="4660" w:type="dxa"/>
            <w:vAlign w:val="bottom"/>
          </w:tcPr>
          <w:p>
            <w:pPr>
              <w:spacing w:after="0"/>
              <w:rPr>
                <w:sz w:val="24"/>
                <w:szCs w:val="24"/>
                <w:color w:val="auto"/>
              </w:rPr>
            </w:pPr>
          </w:p>
        </w:tc>
        <w:tc>
          <w:tcPr>
            <w:tcW w:w="1940" w:type="dxa"/>
            <w:vAlign w:val="bottom"/>
          </w:tcPr>
          <w:p>
            <w:pPr>
              <w:jc w:val="right"/>
              <w:ind w:right="799"/>
              <w:spacing w:after="0"/>
              <w:rPr>
                <w:sz w:val="20"/>
                <w:szCs w:val="20"/>
                <w:color w:val="auto"/>
              </w:rPr>
            </w:pPr>
            <w:r>
              <w:rPr>
                <w:rFonts w:ascii="Arial" w:cs="Arial" w:eastAsia="Arial" w:hAnsi="Arial"/>
                <w:sz w:val="18"/>
                <w:szCs w:val="18"/>
                <w:color w:val="auto"/>
              </w:rPr>
              <w:t>76</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7"/>
        </w:trPr>
        <w:tc>
          <w:tcPr>
            <w:tcW w:w="466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-513080</wp:posOffset>
            </wp:positionV>
            <wp:extent cx="939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-495935</wp:posOffset>
            </wp:positionV>
            <wp:extent cx="939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-513080</wp:posOffset>
            </wp:positionV>
            <wp:extent cx="939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-495935</wp:posOffset>
            </wp:positionV>
            <wp:extent cx="939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CURRENT LIABILITIES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jc w:val="right"/>
              <w:ind w:right="393"/>
              <w:spacing w:after="0"/>
              <w:rPr>
                <w:sz w:val="20"/>
                <w:szCs w:val="20"/>
                <w:color w:val="auto"/>
              </w:rPr>
            </w:pPr>
            <w:r>
              <w:rPr>
                <w:rFonts w:ascii="Arial" w:cs="Arial" w:eastAsia="Arial" w:hAnsi="Arial"/>
                <w:sz w:val="14"/>
                <w:szCs w:val="14"/>
                <w:b w:val="1"/>
                <w:bCs w:val="1"/>
                <w:color w:val="auto"/>
              </w:rPr>
              <w:t>As of December 31,</w:t>
            </w:r>
          </w:p>
        </w:tc>
      </w:tr>
      <w:tr>
        <w:trPr>
          <w:trHeight w:val="185"/>
        </w:trPr>
        <w:tc>
          <w:tcPr>
            <w:tcW w:w="6640" w:type="dxa"/>
            <w:vAlign w:val="bottom"/>
          </w:tcPr>
          <w:p>
            <w:pPr>
              <w:spacing w:after="0"/>
              <w:rPr>
                <w:sz w:val="16"/>
                <w:szCs w:val="16"/>
                <w:color w:val="auto"/>
              </w:rPr>
            </w:pP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2021</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costs</w:t>
            </w:r>
          </w:p>
        </w:tc>
        <w:tc>
          <w:tcPr>
            <w:tcW w:w="1760" w:type="dxa"/>
            <w:vAlign w:val="bottom"/>
            <w:shd w:val="clear" w:color="auto" w:fill="CFF0FC"/>
          </w:tcPr>
          <w:p>
            <w:pPr>
              <w:jc w:val="right"/>
              <w:ind w:right="1559"/>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Sales allowances</w:t>
            </w:r>
          </w:p>
        </w:tc>
        <w:tc>
          <w:tcPr>
            <w:tcW w:w="176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ind w:right="33"/>
              <w:spacing w:after="0"/>
              <w:rPr>
                <w:sz w:val="20"/>
                <w:szCs w:val="20"/>
                <w:color w:val="auto"/>
              </w:rPr>
            </w:pPr>
            <w:r>
              <w:rPr>
                <w:rFonts w:ascii="Arial" w:cs="Arial" w:eastAsia="Arial" w:hAnsi="Arial"/>
                <w:sz w:val="18"/>
                <w:szCs w:val="18"/>
                <w:color w:val="auto"/>
              </w:rPr>
              <w:t>39</w:t>
            </w: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payable</w:t>
            </w:r>
          </w:p>
        </w:tc>
        <w:tc>
          <w:tcPr>
            <w:tcW w:w="17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76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ind w:right="33"/>
              <w:spacing w:after="0"/>
              <w:rPr>
                <w:sz w:val="20"/>
                <w:szCs w:val="20"/>
                <w:color w:val="auto"/>
              </w:rPr>
            </w:pPr>
            <w:r>
              <w:rPr>
                <w:rFonts w:ascii="Arial" w:cs="Arial" w:eastAsia="Arial" w:hAnsi="Arial"/>
                <w:sz w:val="18"/>
                <w:szCs w:val="18"/>
                <w:color w:val="auto"/>
              </w:rPr>
              <w:t>24</w:t>
            </w: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Vendor buyback obligation</w:t>
            </w:r>
          </w:p>
        </w:tc>
        <w:tc>
          <w:tcPr>
            <w:tcW w:w="17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76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liabilities</w:t>
            </w:r>
          </w:p>
        </w:tc>
        <w:tc>
          <w:tcPr>
            <w:tcW w:w="17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Other accruals</w:t>
            </w:r>
          </w:p>
        </w:tc>
        <w:tc>
          <w:tcPr>
            <w:tcW w:w="1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w:t>
            </w:r>
          </w:p>
        </w:tc>
      </w:tr>
      <w:tr>
        <w:trPr>
          <w:trHeight w:val="263"/>
        </w:trPr>
        <w:tc>
          <w:tcPr>
            <w:tcW w:w="6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FF0FC"/>
          </w:tcPr>
          <w:p>
            <w:pPr>
              <w:jc w:val="right"/>
              <w:ind w:right="155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208</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-24765</wp:posOffset>
            </wp:positionV>
            <wp:extent cx="1200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1200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157"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The Company provides defined benefit pension plans, defined contribution plans and/or other postretirement benefit plans to certain employees globally. However, contributions to the Company’s various international benefit plans are not material for the periods presented. The Company’s defined benefit pension plans generally provide benefits of negotiated, stated amounts for each year of service as well as significant supplemental benefits for eligible employees. The Company sponsors defined contribution retirement savings plans for eligible employees, based on employee location and status. The Company’s salaried defined contribution retirement savings plans provide for a Company match of employee contributions up to certain limits based upon eligible base salary. The charge to expense for the Company’s defined contribution retirement savings plans was $16 million, $14 million and $12 million for the years ended December 31, 2022, 2021 and 2020, respectively. The Company is also responsible for OPEB costs (medical, dental, vision, and life insurance) for hourly employees hired prior to May 19, 2008, excluding those employees eligible to retire at the time of the sale of the Company. The plan is unfunded and any future payments will be funded by the Company’s operating cash flows.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Funded Status and Recognition in the Consolidated Balance Sheets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the changes in the benefit obligations, funded status and amounts recognized in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for the years ended December 31, 2022 and 2021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Post-retirement Benefits</w:t>
            </w:r>
          </w:p>
        </w:tc>
      </w:tr>
      <w:tr>
        <w:trPr>
          <w:trHeight w:val="160"/>
        </w:trPr>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193"/>
              <w:spacing w:after="0" w:line="159"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193"/>
              <w:spacing w:after="0" w:line="15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173"/>
              <w:spacing w:after="0" w:line="15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173"/>
              <w:spacing w:after="0" w:line="159" w:lineRule="exact"/>
              <w:rPr>
                <w:sz w:val="20"/>
                <w:szCs w:val="20"/>
                <w:color w:val="auto"/>
              </w:rPr>
            </w:pPr>
            <w:r>
              <w:rPr>
                <w:rFonts w:ascii="Arial" w:cs="Arial" w:eastAsia="Arial" w:hAnsi="Arial"/>
                <w:sz w:val="14"/>
                <w:szCs w:val="14"/>
                <w:b w:val="1"/>
                <w:bCs w:val="1"/>
                <w:color w:val="auto"/>
              </w:rPr>
              <w:t>Year ended</w:t>
            </w:r>
          </w:p>
        </w:tc>
      </w:tr>
      <w:tr>
        <w:trPr>
          <w:trHeight w:val="162"/>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19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9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7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7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2021</w:t>
            </w:r>
          </w:p>
        </w:tc>
      </w:tr>
      <w:tr>
        <w:trPr>
          <w:trHeight w:val="22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Benefit Obligations:</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b w:val="1"/>
                <w:bCs w:val="1"/>
                <w:color w:val="auto"/>
              </w:rPr>
              <w:t>220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235</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102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107</w:t>
            </w: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w:t>
            </w: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Actuarial gain</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(29 )</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Benefit obligation at end of year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161</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73</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102</w:t>
            </w: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Fair Value of Plan 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213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Employer contributions</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63"/>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158</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color w:val="auto"/>
              </w:rPr>
              <w:t>Net Funded Status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(7 )</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(73 )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Amounts Recognized in Balance Sheet:</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(69 )</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r>
      <w:tr>
        <w:trPr>
          <w:trHeight w:val="263"/>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(73 )</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(102 )</w:t>
            </w: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63"/>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51</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-2482215</wp:posOffset>
            </wp:positionV>
            <wp:extent cx="212344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23440" cy="17145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-1574800</wp:posOffset>
            </wp:positionV>
            <wp:extent cx="2123440" cy="196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23440" cy="19685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-641350</wp:posOffset>
            </wp:positionV>
            <wp:extent cx="212344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23440" cy="17145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-24765</wp:posOffset>
            </wp:positionV>
            <wp:extent cx="939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-7620</wp:posOffset>
            </wp:positionV>
            <wp:extent cx="939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857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85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3" w:lineRule="exact"/>
        <w:rPr>
          <w:sz w:val="20"/>
          <w:szCs w:val="20"/>
          <w:color w:val="auto"/>
        </w:rPr>
      </w:pPr>
    </w:p>
    <w:p>
      <w:pPr>
        <w:ind w:right="300" w:firstLine="494"/>
        <w:spacing w:after="0" w:line="271" w:lineRule="auto"/>
        <w:rPr>
          <w:sz w:val="20"/>
          <w:szCs w:val="20"/>
          <w:color w:val="auto"/>
        </w:rPr>
      </w:pPr>
      <w:r>
        <w:rPr>
          <w:rFonts w:ascii="Arial" w:cs="Arial" w:eastAsia="Arial" w:hAnsi="Arial"/>
          <w:sz w:val="18"/>
          <w:szCs w:val="18"/>
          <w:color w:val="auto"/>
        </w:rPr>
        <w:t>The accumulated benefit obligation for the Company's pension plans as of December 31, 2022 and 2021 was $159 million and $216 million, respectively.</w:t>
      </w:r>
    </w:p>
    <w:p>
      <w:pPr>
        <w:spacing w:after="0" w:line="99" w:lineRule="exact"/>
        <w:rPr>
          <w:sz w:val="20"/>
          <w:szCs w:val="20"/>
          <w:color w:val="auto"/>
        </w:rPr>
      </w:pPr>
    </w:p>
    <w:p>
      <w:pPr>
        <w:ind w:right="120" w:firstLine="494"/>
        <w:spacing w:after="0" w:line="301" w:lineRule="auto"/>
        <w:rPr>
          <w:sz w:val="20"/>
          <w:szCs w:val="20"/>
          <w:color w:val="auto"/>
        </w:rPr>
      </w:pPr>
      <w:r>
        <w:rPr>
          <w:rFonts w:ascii="Arial" w:cs="Arial" w:eastAsia="Arial" w:hAnsi="Arial"/>
          <w:sz w:val="17"/>
          <w:szCs w:val="17"/>
          <w:color w:val="auto"/>
        </w:rPr>
        <w:t>The Company's Pension and OPEB benefit obligations decreased for the year ended December 31, 2022 compared to the year ended December 31, 2021 principally driven by the increase in weighted-average discount rates used to value each respective benefit obligation.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table below provides the weighted-average actuarial assumptions used to determine the benefit obligations of the Company’s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Pension Plans</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Post-retirement Benefits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20" w:type="dxa"/>
            <w:vAlign w:val="bottom"/>
            <w:vMerge w:val="restart"/>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tcPr>
          <w:p>
            <w:pPr>
              <w:spacing w:after="0"/>
              <w:rPr>
                <w:sz w:val="15"/>
                <w:szCs w:val="15"/>
                <w:color w:val="auto"/>
              </w:rPr>
            </w:pPr>
          </w:p>
        </w:tc>
        <w:tc>
          <w:tcPr>
            <w:tcW w:w="13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b w:val="1"/>
                <w:bCs w:val="1"/>
                <w:color w:val="auto"/>
              </w:rPr>
              <w:t>5.20 %</w:t>
            </w:r>
          </w:p>
        </w:tc>
        <w:tc>
          <w:tcPr>
            <w:tcW w:w="4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2.70 %</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5.20 %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47"/>
        </w:trPr>
        <w:tc>
          <w:tcPr>
            <w:tcW w:w="4420" w:type="dxa"/>
            <w:vAlign w:val="bottom"/>
          </w:tcPr>
          <w:p>
            <w:pPr>
              <w:ind w:left="20"/>
              <w:spacing w:after="0"/>
              <w:rPr>
                <w:sz w:val="20"/>
                <w:szCs w:val="20"/>
                <w:color w:val="auto"/>
              </w:rPr>
            </w:pPr>
            <w:r>
              <w:rPr>
                <w:rFonts w:ascii="Arial" w:cs="Arial" w:eastAsia="Arial" w:hAnsi="Arial"/>
                <w:sz w:val="18"/>
                <w:szCs w:val="18"/>
                <w:color w:val="auto"/>
              </w:rPr>
              <w:t>Rate of compensation increase (salaried)</w:t>
            </w:r>
          </w:p>
        </w:tc>
        <w:tc>
          <w:tcPr>
            <w:tcW w:w="2740" w:type="dxa"/>
            <w:vAlign w:val="bottom"/>
            <w:gridSpan w:val="3"/>
          </w:tcPr>
          <w:p>
            <w:pPr>
              <w:ind w:left="2120"/>
              <w:spacing w:after="0"/>
              <w:rPr>
                <w:sz w:val="20"/>
                <w:szCs w:val="20"/>
                <w:color w:val="auto"/>
              </w:rPr>
            </w:pPr>
            <w:r>
              <w:rPr>
                <w:rFonts w:ascii="Arial" w:cs="Arial" w:eastAsia="Arial" w:hAnsi="Arial"/>
                <w:sz w:val="18"/>
                <w:szCs w:val="18"/>
                <w:b w:val="1"/>
                <w:bCs w:val="1"/>
                <w:color w:val="auto"/>
              </w:rPr>
              <w:t>3.00 %</w:t>
            </w:r>
          </w:p>
        </w:tc>
        <w:tc>
          <w:tcPr>
            <w:tcW w:w="4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3.00 %</w:t>
            </w:r>
          </w:p>
        </w:tc>
        <w:tc>
          <w:tcPr>
            <w:tcW w:w="1380" w:type="dxa"/>
            <w:vAlign w:val="bottom"/>
            <w:gridSpan w:val="2"/>
          </w:tcPr>
          <w:p>
            <w:pPr>
              <w:ind w:left="840"/>
              <w:spacing w:after="0"/>
              <w:rPr>
                <w:sz w:val="20"/>
                <w:szCs w:val="20"/>
                <w:color w:val="auto"/>
              </w:rPr>
            </w:pPr>
            <w:r>
              <w:rPr>
                <w:rFonts w:ascii="Arial" w:cs="Arial" w:eastAsia="Arial" w:hAnsi="Arial"/>
                <w:sz w:val="18"/>
                <w:szCs w:val="18"/>
                <w:b w:val="1"/>
                <w:bCs w:val="1"/>
                <w:color w:val="auto"/>
              </w:rPr>
              <w:t>N/A</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34"/>
        </w:trPr>
        <w:tc>
          <w:tcPr>
            <w:tcW w:w="4420" w:type="dxa"/>
            <w:vAlign w:val="bottom"/>
          </w:tcPr>
          <w:p>
            <w:pPr>
              <w:spacing w:after="0"/>
              <w:rPr>
                <w:sz w:val="24"/>
                <w:szCs w:val="24"/>
                <w:color w:val="auto"/>
              </w:rPr>
            </w:pPr>
          </w:p>
        </w:tc>
        <w:tc>
          <w:tcPr>
            <w:tcW w:w="2620" w:type="dxa"/>
            <w:vAlign w:val="bottom"/>
            <w:gridSpan w:val="2"/>
          </w:tcPr>
          <w:p>
            <w:pPr>
              <w:jc w:val="right"/>
              <w:ind w:right="124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4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145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2"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280" w:firstLine="494"/>
        <w:spacing w:after="0" w:line="246" w:lineRule="auto"/>
        <w:rPr>
          <w:sz w:val="20"/>
          <w:szCs w:val="20"/>
          <w:color w:val="auto"/>
        </w:rPr>
      </w:pPr>
      <w:r>
        <w:rPr>
          <w:rFonts w:ascii="Arial" w:cs="Arial" w:eastAsia="Arial" w:hAnsi="Arial"/>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2022. The Company reviews all actuarial assumptions on an annual basis and in the case of remeasurement.</w:t>
      </w:r>
    </w:p>
    <w:p>
      <w:pPr>
        <w:spacing w:after="0" w:line="122" w:lineRule="exact"/>
        <w:rPr>
          <w:sz w:val="20"/>
          <w:szCs w:val="20"/>
          <w:color w:val="auto"/>
        </w:rPr>
      </w:pPr>
    </w:p>
    <w:p>
      <w:pPr>
        <w:ind w:right="460" w:firstLine="494"/>
        <w:spacing w:after="0" w:line="252" w:lineRule="auto"/>
        <w:rPr>
          <w:sz w:val="20"/>
          <w:szCs w:val="20"/>
          <w:color w:val="auto"/>
        </w:rPr>
      </w:pPr>
      <w:r>
        <w:rPr>
          <w:rFonts w:ascii="Arial" w:cs="Arial" w:eastAsia="Arial" w:hAnsi="Arial"/>
          <w:sz w:val="18"/>
          <w:szCs w:val="18"/>
          <w:color w:val="auto"/>
        </w:rPr>
        <w:t>As of December 31, 2022 and 2021,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40" w:type="dxa"/>
            <w:vAlign w:val="bottom"/>
          </w:tcPr>
          <w:p>
            <w:pPr>
              <w:spacing w:after="0"/>
              <w:rPr>
                <w:sz w:val="16"/>
                <w:szCs w:val="16"/>
                <w:color w:val="auto"/>
              </w:rPr>
            </w:pPr>
          </w:p>
        </w:tc>
        <w:tc>
          <w:tcPr>
            <w:tcW w:w="194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Hourly Plan</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color w:val="auto"/>
              </w:rPr>
              <w:t>Salary Plan</w:t>
            </w:r>
          </w:p>
        </w:tc>
      </w:tr>
      <w:tr>
        <w:trPr>
          <w:trHeight w:val="182"/>
        </w:trPr>
        <w:tc>
          <w:tcPr>
            <w:tcW w:w="7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82"/>
        </w:trPr>
        <w:tc>
          <w:tcPr>
            <w:tcW w:w="72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0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r>
      <w:tr>
        <w:trPr>
          <w:trHeight w:val="22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Plans with projected benefit obligation in excess of plan assets:</w:t>
            </w: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880" w:type="dxa"/>
            <w:vAlign w:val="bottom"/>
          </w:tcPr>
          <w:p>
            <w:pPr>
              <w:jc w:val="center"/>
              <w:spacing w:after="0" w:line="229" w:lineRule="exact"/>
              <w:rPr>
                <w:sz w:val="20"/>
                <w:szCs w:val="20"/>
                <w:color w:val="auto"/>
              </w:rPr>
            </w:pPr>
            <w:r>
              <w:rPr>
                <w:rFonts w:ascii="Arial" w:cs="Arial" w:eastAsia="Arial" w:hAnsi="Arial"/>
                <w:sz w:val="18"/>
                <w:szCs w:val="18"/>
                <w:b w:val="1"/>
                <w:bCs w:val="1"/>
                <w:color w:val="auto"/>
                <w:w w:val="93"/>
              </w:rPr>
              <w:t xml:space="preserve">N/A </w:t>
            </w:r>
            <w:r>
              <w:rPr>
                <w:rFonts w:ascii="Arial" w:cs="Arial" w:eastAsia="Arial" w:hAnsi="Arial"/>
                <w:sz w:val="24"/>
                <w:szCs w:val="24"/>
                <w:b w:val="1"/>
                <w:bCs w:val="1"/>
                <w:color w:val="auto"/>
                <w:w w:val="93"/>
                <w:vertAlign w:val="superscript"/>
              </w:rPr>
              <w:t>1</w:t>
            </w:r>
          </w:p>
        </w:tc>
        <w:tc>
          <w:tcPr>
            <w:tcW w:w="180" w:type="dxa"/>
            <w:vAlign w:val="bottom"/>
          </w:tcPr>
          <w:p>
            <w:pPr>
              <w:spacing w:after="0"/>
              <w:rPr>
                <w:sz w:val="19"/>
                <w:szCs w:val="19"/>
                <w:color w:val="auto"/>
              </w:rPr>
            </w:pPr>
          </w:p>
        </w:tc>
        <w:tc>
          <w:tcPr>
            <w:tcW w:w="880" w:type="dxa"/>
            <w:vAlign w:val="bottom"/>
          </w:tcPr>
          <w:p>
            <w:pPr>
              <w:ind w:left="240"/>
              <w:spacing w:after="0" w:line="229"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4"/>
                <w:szCs w:val="24"/>
                <w:color w:val="auto"/>
                <w:vertAlign w:val="superscript"/>
              </w:rPr>
              <w:t>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360"/>
              <w:spacing w:after="0"/>
              <w:rPr>
                <w:sz w:val="20"/>
                <w:szCs w:val="20"/>
                <w:color w:val="auto"/>
              </w:rPr>
            </w:pPr>
            <w:r>
              <w:rPr>
                <w:rFonts w:ascii="Arial" w:cs="Arial" w:eastAsia="Arial" w:hAnsi="Arial"/>
                <w:sz w:val="18"/>
                <w:szCs w:val="18"/>
                <w:b w:val="1"/>
                <w:bCs w:val="1"/>
                <w:color w:val="auto"/>
              </w:rPr>
              <w:t>79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110</w:t>
            </w:r>
          </w:p>
        </w:tc>
      </w:t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plan assets</w:t>
            </w:r>
          </w:p>
        </w:tc>
        <w:tc>
          <w:tcPr>
            <w:tcW w:w="880" w:type="dxa"/>
            <w:vAlign w:val="bottom"/>
            <w:shd w:val="clear" w:color="auto" w:fill="CFF0FC"/>
          </w:tcPr>
          <w:p>
            <w:pPr>
              <w:jc w:val="center"/>
              <w:spacing w:after="0" w:line="229" w:lineRule="exact"/>
              <w:rPr>
                <w:sz w:val="20"/>
                <w:szCs w:val="20"/>
                <w:color w:val="auto"/>
              </w:rPr>
            </w:pPr>
            <w:r>
              <w:rPr>
                <w:rFonts w:ascii="Arial" w:cs="Arial" w:eastAsia="Arial" w:hAnsi="Arial"/>
                <w:sz w:val="18"/>
                <w:szCs w:val="18"/>
                <w:b w:val="1"/>
                <w:bCs w:val="1"/>
                <w:color w:val="auto"/>
                <w:w w:val="93"/>
              </w:rPr>
              <w:t xml:space="preserve">N/A </w:t>
            </w:r>
            <w:r>
              <w:rPr>
                <w:rFonts w:ascii="Arial" w:cs="Arial" w:eastAsia="Arial" w:hAnsi="Arial"/>
                <w:sz w:val="24"/>
                <w:szCs w:val="24"/>
                <w:b w:val="1"/>
                <w:bCs w:val="1"/>
                <w:color w:val="auto"/>
                <w:w w:val="93"/>
                <w:vertAlign w:val="superscript"/>
              </w:rPr>
              <w:t>1</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ind w:left="240"/>
              <w:spacing w:after="0" w:line="229"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4"/>
                <w:szCs w:val="24"/>
                <w:color w:val="auto"/>
                <w:vertAlign w:val="superscript"/>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ind w:left="360"/>
              <w:spacing w:after="0"/>
              <w:rPr>
                <w:sz w:val="20"/>
                <w:szCs w:val="20"/>
                <w:color w:val="auto"/>
              </w:rPr>
            </w:pPr>
            <w:r>
              <w:rPr>
                <w:rFonts w:ascii="Arial" w:cs="Arial" w:eastAsia="Arial" w:hAnsi="Arial"/>
                <w:sz w:val="18"/>
                <w:szCs w:val="18"/>
                <w:b w:val="1"/>
                <w:bCs w:val="1"/>
                <w:color w:val="auto"/>
              </w:rPr>
              <w:t>73</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101</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Plans with accumulated benefit obligation in excess of plan assets: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benefit obligation</w:t>
            </w:r>
          </w:p>
        </w:tc>
        <w:tc>
          <w:tcPr>
            <w:tcW w:w="880" w:type="dxa"/>
            <w:vAlign w:val="bottom"/>
            <w:shd w:val="clear" w:color="auto" w:fill="CFF0FC"/>
          </w:tcPr>
          <w:p>
            <w:pPr>
              <w:jc w:val="center"/>
              <w:spacing w:after="0" w:line="229" w:lineRule="exact"/>
              <w:rPr>
                <w:sz w:val="20"/>
                <w:szCs w:val="20"/>
                <w:color w:val="auto"/>
              </w:rPr>
            </w:pPr>
            <w:r>
              <w:rPr>
                <w:rFonts w:ascii="Arial" w:cs="Arial" w:eastAsia="Arial" w:hAnsi="Arial"/>
                <w:sz w:val="18"/>
                <w:szCs w:val="18"/>
                <w:b w:val="1"/>
                <w:bCs w:val="1"/>
                <w:color w:val="auto"/>
                <w:w w:val="93"/>
              </w:rPr>
              <w:t xml:space="preserve">N/A </w:t>
            </w:r>
            <w:r>
              <w:rPr>
                <w:rFonts w:ascii="Arial" w:cs="Arial" w:eastAsia="Arial" w:hAnsi="Arial"/>
                <w:sz w:val="24"/>
                <w:szCs w:val="24"/>
                <w:b w:val="1"/>
                <w:bCs w:val="1"/>
                <w:color w:val="auto"/>
                <w:w w:val="93"/>
                <w:vertAlign w:val="superscript"/>
              </w:rPr>
              <w:t>1</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ind w:left="240"/>
              <w:spacing w:after="0" w:line="229"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4"/>
                <w:szCs w:val="24"/>
                <w:color w:val="auto"/>
                <w:vertAlign w:val="superscript"/>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ind w:left="360"/>
              <w:spacing w:after="0"/>
              <w:rPr>
                <w:sz w:val="20"/>
                <w:szCs w:val="20"/>
                <w:color w:val="auto"/>
              </w:rPr>
            </w:pPr>
            <w:r>
              <w:rPr>
                <w:rFonts w:ascii="Arial" w:cs="Arial" w:eastAsia="Arial" w:hAnsi="Arial"/>
                <w:sz w:val="18"/>
                <w:szCs w:val="18"/>
                <w:b w:val="1"/>
                <w:bCs w:val="1"/>
                <w:color w:val="auto"/>
              </w:rPr>
              <w:t>76</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105</w:t>
            </w:r>
          </w:p>
        </w:tc>
      </w:tr>
      <w:tr>
        <w:trPr>
          <w:trHeight w:val="232"/>
        </w:trPr>
        <w:tc>
          <w:tcPr>
            <w:tcW w:w="72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880" w:type="dxa"/>
            <w:vAlign w:val="bottom"/>
          </w:tcPr>
          <w:p>
            <w:pPr>
              <w:jc w:val="center"/>
              <w:spacing w:after="0" w:line="233" w:lineRule="exact"/>
              <w:rPr>
                <w:sz w:val="20"/>
                <w:szCs w:val="20"/>
                <w:color w:val="auto"/>
              </w:rPr>
            </w:pPr>
            <w:r>
              <w:rPr>
                <w:rFonts w:ascii="Arial" w:cs="Arial" w:eastAsia="Arial" w:hAnsi="Arial"/>
                <w:sz w:val="18"/>
                <w:szCs w:val="18"/>
                <w:b w:val="1"/>
                <w:bCs w:val="1"/>
                <w:color w:val="auto"/>
                <w:w w:val="93"/>
              </w:rPr>
              <w:t xml:space="preserve">N/A </w:t>
            </w:r>
            <w:r>
              <w:rPr>
                <w:rFonts w:ascii="Arial" w:cs="Arial" w:eastAsia="Arial" w:hAnsi="Arial"/>
                <w:sz w:val="24"/>
                <w:szCs w:val="24"/>
                <w:b w:val="1"/>
                <w:bCs w:val="1"/>
                <w:color w:val="auto"/>
                <w:w w:val="93"/>
                <w:vertAlign w:val="superscript"/>
              </w:rPr>
              <w:t>1</w:t>
            </w:r>
          </w:p>
        </w:tc>
        <w:tc>
          <w:tcPr>
            <w:tcW w:w="180" w:type="dxa"/>
            <w:vAlign w:val="bottom"/>
          </w:tcPr>
          <w:p>
            <w:pPr>
              <w:spacing w:after="0"/>
              <w:rPr>
                <w:sz w:val="20"/>
                <w:szCs w:val="20"/>
                <w:color w:val="auto"/>
              </w:rPr>
            </w:pPr>
          </w:p>
        </w:tc>
        <w:tc>
          <w:tcPr>
            <w:tcW w:w="880" w:type="dxa"/>
            <w:vAlign w:val="bottom"/>
          </w:tcPr>
          <w:p>
            <w:pPr>
              <w:ind w:left="240"/>
              <w:spacing w:after="0" w:line="233"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4"/>
                <w:szCs w:val="24"/>
                <w:color w:val="auto"/>
                <w:vertAlign w:val="superscript"/>
              </w:rPr>
              <w:t>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360"/>
              <w:spacing w:after="0"/>
              <w:rPr>
                <w:sz w:val="20"/>
                <w:szCs w:val="20"/>
                <w:color w:val="auto"/>
              </w:rPr>
            </w:pPr>
            <w:r>
              <w:rPr>
                <w:rFonts w:ascii="Arial" w:cs="Arial" w:eastAsia="Arial" w:hAnsi="Arial"/>
                <w:sz w:val="18"/>
                <w:szCs w:val="18"/>
                <w:b w:val="1"/>
                <w:bCs w:val="1"/>
                <w:color w:val="auto"/>
              </w:rPr>
              <w:t>73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101</w:t>
            </w:r>
          </w:p>
        </w:tc>
      </w:tr>
    </w:tbl>
    <w:p>
      <w:pPr>
        <w:ind w:left="500" w:right="680" w:hanging="371"/>
        <w:spacing w:after="0" w:line="214" w:lineRule="auto"/>
        <w:tabs>
          <w:tab w:leader="none" w:pos="50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As of December 31, 2022 and 2021, the hourly defined pension plan had plan assets greater than the projected benefit obligation and the accumulated benefit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Benefit Cost</w:t>
      </w:r>
    </w:p>
    <w:p>
      <w:pPr>
        <w:spacing w:after="0" w:line="155" w:lineRule="exact"/>
        <w:rPr>
          <w:sz w:val="20"/>
          <w:szCs w:val="20"/>
          <w:color w:val="auto"/>
        </w:rPr>
      </w:pPr>
    </w:p>
    <w:p>
      <w:pPr>
        <w:ind w:right="440" w:firstLine="494"/>
        <w:spacing w:after="0" w:line="271" w:lineRule="auto"/>
        <w:rPr>
          <w:sz w:val="20"/>
          <w:szCs w:val="20"/>
          <w:color w:val="auto"/>
        </w:rPr>
      </w:pPr>
      <w:r>
        <w:rPr>
          <w:rFonts w:ascii="Arial" w:cs="Arial" w:eastAsia="Arial" w:hAnsi="Arial"/>
          <w:sz w:val="18"/>
          <w:szCs w:val="18"/>
          <w:color w:val="auto"/>
        </w:rPr>
        <w:t>Information about the net periodic benefit cost (credit) and other changes recognized in AOCL for the pension and post-retirement benefit plans is as follows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4"/>
                <w:szCs w:val="14"/>
                <w:b w:val="1"/>
                <w:bCs w:val="1"/>
                <w:color w:val="auto"/>
              </w:rPr>
              <w:t>Pension Plans</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auto"/>
              </w:rPr>
              <w:t>Post-retirement Benefits</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right"/>
              <w:ind w:right="93"/>
              <w:spacing w:after="0" w:line="159" w:lineRule="exact"/>
              <w:rPr>
                <w:sz w:val="20"/>
                <w:szCs w:val="20"/>
                <w:color w:val="auto"/>
              </w:rPr>
            </w:pPr>
            <w:r>
              <w:rPr>
                <w:rFonts w:ascii="Arial" w:cs="Arial" w:eastAsia="Arial" w:hAnsi="Arial"/>
                <w:sz w:val="14"/>
                <w:szCs w:val="14"/>
                <w:b w:val="1"/>
                <w:bCs w:val="1"/>
                <w:color w:val="auto"/>
              </w:rPr>
              <w:t>Year ended</w:t>
            </w:r>
          </w:p>
        </w:tc>
        <w:tc>
          <w:tcPr>
            <w:tcW w:w="1080" w:type="dxa"/>
            <w:vAlign w:val="bottom"/>
            <w:gridSpan w:val="2"/>
          </w:tcPr>
          <w:p>
            <w:pPr>
              <w:jc w:val="right"/>
              <w:ind w:right="114"/>
              <w:spacing w:after="0" w:line="159" w:lineRule="exact"/>
              <w:rPr>
                <w:sz w:val="20"/>
                <w:szCs w:val="20"/>
                <w:color w:val="auto"/>
              </w:rPr>
            </w:pPr>
            <w:r>
              <w:rPr>
                <w:rFonts w:ascii="Arial" w:cs="Arial" w:eastAsia="Arial" w:hAnsi="Arial"/>
                <w:sz w:val="14"/>
                <w:szCs w:val="14"/>
                <w:b w:val="1"/>
                <w:bCs w:val="1"/>
                <w:color w:val="auto"/>
              </w:rPr>
              <w:t>Year ended</w:t>
            </w: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Year ended</w:t>
            </w:r>
          </w:p>
        </w:tc>
        <w:tc>
          <w:tcPr>
            <w:tcW w:w="1040" w:type="dxa"/>
            <w:vAlign w:val="bottom"/>
            <w:gridSpan w:val="2"/>
          </w:tcPr>
          <w:p>
            <w:pPr>
              <w:jc w:val="right"/>
              <w:ind w:right="93"/>
              <w:spacing w:after="0" w:line="15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04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December</w:t>
            </w:r>
          </w:p>
        </w:tc>
        <w:tc>
          <w:tcPr>
            <w:tcW w:w="108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December</w:t>
            </w:r>
          </w:p>
        </w:tc>
        <w:tc>
          <w:tcPr>
            <w:tcW w:w="106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December</w:t>
            </w:r>
          </w:p>
        </w:tc>
        <w:tc>
          <w:tcPr>
            <w:tcW w:w="104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73"/>
              <w:spacing w:after="0"/>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rPr>
                <w:sz w:val="14"/>
                <w:szCs w:val="14"/>
                <w:color w:val="auto"/>
              </w:rPr>
            </w:pPr>
          </w:p>
        </w:tc>
        <w:tc>
          <w:tcPr>
            <w:tcW w:w="840" w:type="dxa"/>
            <w:vAlign w:val="bottom"/>
          </w:tcPr>
          <w:p>
            <w:pPr>
              <w:jc w:val="right"/>
              <w:ind w:right="394"/>
              <w:spacing w:after="0"/>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4"/>
                <w:szCs w:val="14"/>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31,</w:t>
            </w:r>
          </w:p>
        </w:tc>
        <w:tc>
          <w:tcPr>
            <w:tcW w:w="280" w:type="dxa"/>
            <w:vAlign w:val="bottom"/>
          </w:tcPr>
          <w:p>
            <w:pPr>
              <w:spacing w:after="0"/>
              <w:rPr>
                <w:sz w:val="14"/>
                <w:szCs w:val="14"/>
                <w:color w:val="auto"/>
              </w:rPr>
            </w:pPr>
          </w:p>
        </w:tc>
        <w:tc>
          <w:tcPr>
            <w:tcW w:w="760" w:type="dxa"/>
            <w:vAlign w:val="bottom"/>
          </w:tcPr>
          <w:p>
            <w:pPr>
              <w:jc w:val="right"/>
              <w:ind w:right="373"/>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2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24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jc w:val="right"/>
              <w:ind w:right="2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7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(9 )</w:t>
            </w:r>
          </w:p>
        </w:tc>
        <w:tc>
          <w:tcPr>
            <w:tcW w:w="2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 loss</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Recognized actuarial loss</w:t>
            </w:r>
          </w:p>
        </w:tc>
        <w:tc>
          <w:tcPr>
            <w:tcW w:w="7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Net Periodic Benefit Cost (Credit)</w:t>
            </w: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2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24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 xml:space="preserve">(6 ) </w:t>
            </w:r>
            <w:r>
              <w:rPr>
                <w:rFonts w:ascii="Arial" w:cs="Arial" w:eastAsia="Arial" w:hAnsi="Arial"/>
                <w:sz w:val="18"/>
                <w:szCs w:val="18"/>
                <w:color w:val="auto"/>
              </w:rPr>
              <w:t>$</w:t>
            </w:r>
          </w:p>
        </w:tc>
        <w:tc>
          <w:tcPr>
            <w:tcW w:w="1120" w:type="dxa"/>
            <w:vAlign w:val="bottom"/>
            <w:gridSpan w:val="2"/>
          </w:tcPr>
          <w:p>
            <w:pPr>
              <w:jc w:val="right"/>
              <w:ind w:right="79"/>
              <w:spacing w:after="0"/>
              <w:rPr>
                <w:sz w:val="20"/>
                <w:szCs w:val="20"/>
                <w:color w:val="auto"/>
              </w:rPr>
            </w:pPr>
            <w:r>
              <w:rPr>
                <w:rFonts w:ascii="Arial" w:cs="Arial" w:eastAsia="Arial" w:hAnsi="Arial"/>
                <w:sz w:val="18"/>
                <w:szCs w:val="18"/>
                <w:color w:val="auto"/>
              </w:rPr>
              <w:t>(6 ) $</w:t>
            </w:r>
          </w:p>
        </w:tc>
        <w:tc>
          <w:tcPr>
            <w:tcW w:w="7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97"/>
        </w:trPr>
        <w:tc>
          <w:tcPr>
            <w:tcW w:w="47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Other changes recognized in other</w:t>
            </w: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Net (gain) loss</w:t>
            </w: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4"/>
          </w:tcPr>
          <w:p>
            <w:pPr>
              <w:jc w:val="right"/>
              <w:ind w:right="28"/>
              <w:spacing w:after="0"/>
              <w:rPr>
                <w:sz w:val="20"/>
                <w:szCs w:val="20"/>
                <w:color w:val="auto"/>
              </w:rPr>
            </w:pPr>
            <w:r>
              <w:rPr>
                <w:rFonts w:ascii="Arial" w:cs="Arial" w:eastAsia="Arial" w:hAnsi="Arial"/>
                <w:sz w:val="18"/>
                <w:szCs w:val="18"/>
                <w:b w:val="1"/>
                <w:bCs w:val="1"/>
                <w:color w:val="auto"/>
              </w:rPr>
              <w:t xml:space="preserve">(6 ) </w:t>
            </w:r>
            <w:r>
              <w:rPr>
                <w:rFonts w:ascii="Arial" w:cs="Arial" w:eastAsia="Arial" w:hAnsi="Arial"/>
                <w:sz w:val="18"/>
                <w:szCs w:val="18"/>
                <w:color w:val="auto"/>
              </w:rPr>
              <w:t>$</w:t>
            </w: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(6 ) $</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24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 xml:space="preserve">(29 ) </w:t>
            </w:r>
            <w:r>
              <w:rPr>
                <w:rFonts w:ascii="Arial" w:cs="Arial" w:eastAsia="Arial" w:hAnsi="Arial"/>
                <w:sz w:val="18"/>
                <w:szCs w:val="18"/>
                <w:color w:val="auto"/>
              </w:rPr>
              <w:t>$</w:t>
            </w:r>
          </w:p>
        </w:tc>
        <w:tc>
          <w:tcPr>
            <w:tcW w:w="1120" w:type="dxa"/>
            <w:vAlign w:val="bottom"/>
            <w:gridSpan w:val="2"/>
          </w:tcPr>
          <w:p>
            <w:pPr>
              <w:jc w:val="right"/>
              <w:ind w:right="79"/>
              <w:spacing w:after="0"/>
              <w:rPr>
                <w:sz w:val="20"/>
                <w:szCs w:val="20"/>
                <w:color w:val="auto"/>
              </w:rPr>
            </w:pPr>
            <w:r>
              <w:rPr>
                <w:rFonts w:ascii="Arial" w:cs="Arial" w:eastAsia="Arial" w:hAnsi="Arial"/>
                <w:sz w:val="18"/>
                <w:szCs w:val="18"/>
                <w:color w:val="auto"/>
              </w:rPr>
              <w:t>(5 ) $</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Amortizations</w:t>
            </w:r>
          </w:p>
        </w:tc>
        <w:tc>
          <w:tcPr>
            <w:tcW w:w="7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line="190" w:lineRule="exact"/>
              <w:rPr>
                <w:sz w:val="20"/>
                <w:szCs w:val="20"/>
                <w:color w:val="auto"/>
              </w:rPr>
            </w:pPr>
            <w:r>
              <w:rPr>
                <w:rFonts w:ascii="Arial" w:cs="Arial" w:eastAsia="Arial" w:hAnsi="Arial"/>
                <w:sz w:val="18"/>
                <w:szCs w:val="18"/>
                <w:color w:val="auto"/>
              </w:rPr>
              <w:t>Total recognized – other</w:t>
            </w:r>
          </w:p>
        </w:tc>
        <w:tc>
          <w:tcPr>
            <w:tcW w:w="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4"/>
            <w:vMerge w:val="restart"/>
          </w:tcPr>
          <w:p>
            <w:pPr>
              <w:jc w:val="right"/>
              <w:ind w:right="28"/>
              <w:spacing w:after="0"/>
              <w:rPr>
                <w:sz w:val="20"/>
                <w:szCs w:val="20"/>
                <w:color w:val="auto"/>
              </w:rPr>
            </w:pPr>
            <w:r>
              <w:rPr>
                <w:rFonts w:ascii="Arial" w:cs="Arial" w:eastAsia="Arial" w:hAnsi="Arial"/>
                <w:sz w:val="18"/>
                <w:szCs w:val="18"/>
                <w:b w:val="1"/>
                <w:bCs w:val="1"/>
                <w:color w:val="auto"/>
              </w:rPr>
              <w:t xml:space="preserve">(6 ) </w:t>
            </w:r>
            <w:r>
              <w:rPr>
                <w:rFonts w:ascii="Arial" w:cs="Arial" w:eastAsia="Arial" w:hAnsi="Arial"/>
                <w:sz w:val="18"/>
                <w:szCs w:val="18"/>
                <w:color w:val="auto"/>
              </w:rPr>
              <w:t>$</w:t>
            </w:r>
          </w:p>
        </w:tc>
        <w:tc>
          <w:tcPr>
            <w:tcW w:w="1120" w:type="dxa"/>
            <w:vAlign w:val="bottom"/>
            <w:gridSpan w:val="3"/>
            <w:vMerge w:val="restart"/>
          </w:tcPr>
          <w:p>
            <w:pPr>
              <w:jc w:val="right"/>
              <w:ind w:right="28"/>
              <w:spacing w:after="0"/>
              <w:rPr>
                <w:sz w:val="20"/>
                <w:szCs w:val="20"/>
                <w:color w:val="auto"/>
              </w:rPr>
            </w:pPr>
            <w:r>
              <w:rPr>
                <w:rFonts w:ascii="Arial" w:cs="Arial" w:eastAsia="Arial" w:hAnsi="Arial"/>
                <w:sz w:val="18"/>
                <w:szCs w:val="18"/>
                <w:color w:val="auto"/>
              </w:rPr>
              <w:t>(7 ) $</w:t>
            </w:r>
          </w:p>
        </w:tc>
        <w:tc>
          <w:tcPr>
            <w:tcW w:w="820" w:type="dxa"/>
            <w:vAlign w:val="bottom"/>
            <w:vMerge w:val="restart"/>
          </w:tcPr>
          <w:p>
            <w:pPr>
              <w:jc w:val="right"/>
              <w:ind w:right="13"/>
              <w:spacing w:after="0"/>
              <w:rPr>
                <w:sz w:val="20"/>
                <w:szCs w:val="20"/>
                <w:color w:val="auto"/>
              </w:rPr>
            </w:pPr>
            <w:r>
              <w:rPr>
                <w:rFonts w:ascii="Arial" w:cs="Arial" w:eastAsia="Arial" w:hAnsi="Arial"/>
                <w:sz w:val="18"/>
                <w:szCs w:val="18"/>
                <w:color w:val="auto"/>
              </w:rPr>
              <w:t>10</w:t>
            </w:r>
          </w:p>
        </w:tc>
        <w:tc>
          <w:tcPr>
            <w:tcW w:w="240" w:type="dxa"/>
            <w:vAlign w:val="bottom"/>
            <w:vMerge w:val="restart"/>
          </w:tcPr>
          <w:p>
            <w:pPr>
              <w:jc w:val="right"/>
              <w:ind w:right="16"/>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vMerge w:val="restart"/>
          </w:tcPr>
          <w:p>
            <w:pPr>
              <w:jc w:val="right"/>
              <w:ind w:right="22"/>
              <w:spacing w:after="0"/>
              <w:rPr>
                <w:sz w:val="20"/>
                <w:szCs w:val="20"/>
                <w:color w:val="auto"/>
              </w:rPr>
            </w:pPr>
            <w:r>
              <w:rPr>
                <w:rFonts w:ascii="Arial" w:cs="Arial" w:eastAsia="Arial" w:hAnsi="Arial"/>
                <w:sz w:val="18"/>
                <w:szCs w:val="18"/>
                <w:b w:val="1"/>
                <w:bCs w:val="1"/>
                <w:color w:val="auto"/>
              </w:rPr>
              <w:t xml:space="preserve">(19 ) </w:t>
            </w:r>
            <w:r>
              <w:rPr>
                <w:rFonts w:ascii="Arial" w:cs="Arial" w:eastAsia="Arial" w:hAnsi="Arial"/>
                <w:sz w:val="18"/>
                <w:szCs w:val="18"/>
                <w:color w:val="auto"/>
              </w:rPr>
              <w:t>$</w:t>
            </w:r>
          </w:p>
        </w:tc>
        <w:tc>
          <w:tcPr>
            <w:tcW w:w="840" w:type="dxa"/>
            <w:vAlign w:val="bottom"/>
            <w:vMerge w:val="restart"/>
          </w:tcPr>
          <w:p>
            <w:pPr>
              <w:jc w:val="right"/>
              <w:ind w:right="13"/>
              <w:spacing w:after="0"/>
              <w:rPr>
                <w:sz w:val="20"/>
                <w:szCs w:val="20"/>
                <w:color w:val="auto"/>
              </w:rPr>
            </w:pPr>
            <w:r>
              <w:rPr>
                <w:rFonts w:ascii="Arial" w:cs="Arial" w:eastAsia="Arial" w:hAnsi="Arial"/>
                <w:sz w:val="18"/>
                <w:szCs w:val="18"/>
                <w:color w:val="auto"/>
              </w:rPr>
              <w:t>5</w:t>
            </w:r>
          </w:p>
        </w:tc>
        <w:tc>
          <w:tcPr>
            <w:tcW w:w="280" w:type="dxa"/>
            <w:vAlign w:val="bottom"/>
            <w:vMerge w:val="restart"/>
          </w:tcPr>
          <w:p>
            <w:pPr>
              <w:jc w:val="right"/>
              <w:ind w:right="79"/>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4"/>
        </w:trPr>
        <w:tc>
          <w:tcPr>
            <w:tcW w:w="4780" w:type="dxa"/>
            <w:vAlign w:val="bottom"/>
          </w:tcPr>
          <w:p>
            <w:pPr>
              <w:ind w:left="180"/>
              <w:spacing w:after="0" w:line="195" w:lineRule="exact"/>
              <w:rPr>
                <w:sz w:val="20"/>
                <w:szCs w:val="20"/>
                <w:color w:val="auto"/>
              </w:rPr>
            </w:pPr>
            <w:r>
              <w:rPr>
                <w:rFonts w:ascii="Arial" w:cs="Arial" w:eastAsia="Arial" w:hAnsi="Arial"/>
                <w:sz w:val="18"/>
                <w:szCs w:val="18"/>
                <w:color w:val="auto"/>
              </w:rPr>
              <w:t>comprehensive (income) loss</w:t>
            </w:r>
          </w:p>
        </w:tc>
        <w:tc>
          <w:tcPr>
            <w:tcW w:w="72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-1001395</wp:posOffset>
            </wp:positionV>
            <wp:extent cx="825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-1001395</wp:posOffset>
            </wp:positionV>
            <wp:extent cx="8255"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-281940</wp:posOffset>
            </wp:positionV>
            <wp:extent cx="8255" cy="2825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-281940</wp:posOffset>
            </wp:positionV>
            <wp:extent cx="8255" cy="2825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282575"/>
                    </a:xfrm>
                    <a:prstGeom prst="rect">
                      <a:avLst/>
                    </a:prstGeom>
                    <a:noFill/>
                  </pic:spPr>
                </pic:pic>
              </a:graphicData>
            </a:graphic>
          </wp:anchor>
        </w:drawing>
      </w:r>
    </w:p>
    <w:p>
      <w:pPr>
        <w:spacing w:after="0" w:line="150"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components of net periodic benefit costs other than the service cost component are included in Other (expense) income, net in the Consolidated Statements of Comprehensive Income.</w:t>
      </w:r>
    </w:p>
    <w:p>
      <w:pPr>
        <w:spacing w:after="0" w:line="99"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The voluntary and involuntary separation programs in the second quarter of 2020 resulted in a one-time, non-cash settlement charge of $2 million recorded in Other (expense) income, net in the 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net periodic benefit cost (credit).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Pension Plans</w:t>
            </w: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Post-retirement Benefits</w:t>
            </w:r>
          </w:p>
        </w:tc>
        <w:tc>
          <w:tcPr>
            <w:tcW w:w="1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58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color w:val="auto"/>
              </w:rPr>
              <w:t>Year ended</w:t>
            </w:r>
          </w:p>
        </w:tc>
        <w:tc>
          <w:tcPr>
            <w:tcW w:w="1500" w:type="dxa"/>
            <w:vAlign w:val="bottom"/>
            <w:gridSpan w:val="3"/>
          </w:tcPr>
          <w:p>
            <w:pPr>
              <w:jc w:val="center"/>
              <w:ind w:right="300"/>
              <w:spacing w:after="0" w:line="159" w:lineRule="exact"/>
              <w:rPr>
                <w:sz w:val="20"/>
                <w:szCs w:val="20"/>
                <w:color w:val="auto"/>
              </w:rPr>
            </w:pPr>
            <w:r>
              <w:rPr>
                <w:rFonts w:ascii="Arial" w:cs="Arial" w:eastAsia="Arial" w:hAnsi="Arial"/>
                <w:sz w:val="14"/>
                <w:szCs w:val="14"/>
                <w:b w:val="1"/>
                <w:bCs w:val="1"/>
                <w:color w:val="auto"/>
              </w:rPr>
              <w:t>Year ended</w:t>
            </w:r>
          </w:p>
        </w:tc>
        <w:tc>
          <w:tcPr>
            <w:tcW w:w="1420" w:type="dxa"/>
            <w:vAlign w:val="bottom"/>
            <w:gridSpan w:val="3"/>
          </w:tcPr>
          <w:p>
            <w:pPr>
              <w:jc w:val="center"/>
              <w:ind w:right="340"/>
              <w:spacing w:after="0" w:line="159" w:lineRule="exact"/>
              <w:rPr>
                <w:sz w:val="20"/>
                <w:szCs w:val="20"/>
                <w:color w:val="auto"/>
              </w:rPr>
            </w:pPr>
            <w:r>
              <w:rPr>
                <w:rFonts w:ascii="Arial" w:cs="Arial" w:eastAsia="Arial" w:hAnsi="Arial"/>
                <w:sz w:val="14"/>
                <w:szCs w:val="14"/>
                <w:b w:val="1"/>
                <w:bCs w:val="1"/>
                <w:color w:val="auto"/>
              </w:rPr>
              <w:t>Year ended</w:t>
            </w:r>
          </w:p>
        </w:tc>
        <w:tc>
          <w:tcPr>
            <w:tcW w:w="1460" w:type="dxa"/>
            <w:vAlign w:val="bottom"/>
          </w:tcPr>
          <w:p>
            <w:pPr>
              <w:jc w:val="center"/>
              <w:ind w:right="280"/>
              <w:spacing w:after="0" w:line="159" w:lineRule="exact"/>
              <w:rPr>
                <w:sz w:val="20"/>
                <w:szCs w:val="20"/>
                <w:color w:val="auto"/>
              </w:rPr>
            </w:pPr>
            <w:r>
              <w:rPr>
                <w:rFonts w:ascii="Arial" w:cs="Arial" w:eastAsia="Arial" w:hAnsi="Arial"/>
                <w:sz w:val="14"/>
                <w:szCs w:val="14"/>
                <w:b w:val="1"/>
                <w:bCs w:val="1"/>
                <w:color w:val="auto"/>
              </w:rPr>
              <w:t>Year ended</w:t>
            </w:r>
          </w:p>
        </w:tc>
        <w:tc>
          <w:tcPr>
            <w:tcW w:w="1420" w:type="dxa"/>
            <w:vAlign w:val="bottom"/>
          </w:tcPr>
          <w:p>
            <w:pPr>
              <w:jc w:val="center"/>
              <w:ind w:right="279"/>
              <w:spacing w:after="0" w:line="159" w:lineRule="exact"/>
              <w:rPr>
                <w:sz w:val="20"/>
                <w:szCs w:val="20"/>
                <w:color w:val="auto"/>
              </w:rPr>
            </w:pPr>
            <w:r>
              <w:rPr>
                <w:rFonts w:ascii="Arial" w:cs="Arial" w:eastAsia="Arial" w:hAnsi="Arial"/>
                <w:sz w:val="14"/>
                <w:szCs w:val="14"/>
                <w:b w:val="1"/>
                <w:bCs w:val="1"/>
                <w:color w:val="auto"/>
              </w:rPr>
              <w:t>Year ended</w:t>
            </w:r>
          </w:p>
        </w:tc>
        <w:tc>
          <w:tcPr>
            <w:tcW w:w="12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Pr>
          <w:p>
            <w:pPr>
              <w:jc w:val="center"/>
              <w:ind w:right="279"/>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640" w:type="dxa"/>
            <w:vAlign w:val="bottom"/>
            <w:vMerge w:val="restart"/>
          </w:tcPr>
          <w:p>
            <w:pPr>
              <w:ind w:left="20"/>
              <w:spacing w:after="0"/>
              <w:rPr>
                <w:sz w:val="20"/>
                <w:szCs w:val="20"/>
                <w:color w:val="auto"/>
              </w:rPr>
            </w:pPr>
            <w:r>
              <w:rPr>
                <w:rFonts w:ascii="Arial" w:cs="Arial" w:eastAsia="Arial" w:hAnsi="Arial"/>
                <w:sz w:val="18"/>
                <w:szCs w:val="18"/>
                <w:color w:val="auto"/>
              </w:rPr>
              <w:t>Discount rate</w:t>
            </w: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2022</w:t>
            </w:r>
          </w:p>
        </w:tc>
        <w:tc>
          <w:tcPr>
            <w:tcW w:w="14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6"/>
              </w:rPr>
              <w:t>2021</w:t>
            </w: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40" w:type="dxa"/>
            <w:vAlign w:val="bottom"/>
            <w:vMerge w:val="continue"/>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2.70 %</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2.30 %</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3.20 %</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2.80 %</w:t>
            </w:r>
          </w:p>
        </w:tc>
        <w:tc>
          <w:tcPr>
            <w:tcW w:w="1420" w:type="dxa"/>
            <w:vAlign w:val="bottom"/>
          </w:tcPr>
          <w:p>
            <w:pPr>
              <w:jc w:val="right"/>
              <w:spacing w:after="0"/>
              <w:rPr>
                <w:sz w:val="20"/>
                <w:szCs w:val="20"/>
                <w:color w:val="auto"/>
              </w:rPr>
            </w:pPr>
            <w:r>
              <w:rPr>
                <w:rFonts w:ascii="Arial" w:cs="Arial" w:eastAsia="Arial" w:hAnsi="Arial"/>
                <w:sz w:val="18"/>
                <w:szCs w:val="18"/>
                <w:color w:val="auto"/>
              </w:rPr>
              <w:t>2.40 %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197"/>
        </w:trPr>
        <w:tc>
          <w:tcPr>
            <w:tcW w:w="2640" w:type="dxa"/>
            <w:vAlign w:val="bottom"/>
          </w:tcPr>
          <w:p>
            <w:pPr>
              <w:ind w:left="20"/>
              <w:spacing w:after="0" w:line="197" w:lineRule="exact"/>
              <w:rPr>
                <w:sz w:val="20"/>
                <w:szCs w:val="20"/>
                <w:color w:val="auto"/>
              </w:rPr>
            </w:pPr>
            <w:r>
              <w:rPr>
                <w:rFonts w:ascii="Arial" w:cs="Arial" w:eastAsia="Arial" w:hAnsi="Arial"/>
                <w:sz w:val="18"/>
                <w:szCs w:val="18"/>
                <w:color w:val="auto"/>
              </w:rPr>
              <w:t>Rate of compensation</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40" w:type="dxa"/>
            <w:vAlign w:val="bottom"/>
          </w:tcPr>
          <w:p>
            <w:pPr>
              <w:ind w:left="180"/>
              <w:spacing w:after="0"/>
              <w:rPr>
                <w:sz w:val="20"/>
                <w:szCs w:val="20"/>
                <w:color w:val="auto"/>
              </w:rPr>
            </w:pPr>
            <w:r>
              <w:rPr>
                <w:rFonts w:ascii="Arial" w:cs="Arial" w:eastAsia="Arial" w:hAnsi="Arial"/>
                <w:sz w:val="18"/>
                <w:szCs w:val="18"/>
                <w:color w:val="auto"/>
              </w:rPr>
              <w:t>increase (salaried)</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3.00 %</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3.00 %</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3.00 %</w:t>
            </w:r>
          </w:p>
        </w:tc>
        <w:tc>
          <w:tcPr>
            <w:tcW w:w="1460" w:type="dxa"/>
            <w:vAlign w:val="bottom"/>
          </w:tcPr>
          <w:p>
            <w:pPr>
              <w:ind w:left="900"/>
              <w:spacing w:after="0"/>
              <w:rPr>
                <w:sz w:val="20"/>
                <w:szCs w:val="20"/>
                <w:color w:val="auto"/>
              </w:rPr>
            </w:pPr>
            <w:r>
              <w:rPr>
                <w:rFonts w:ascii="Arial" w:cs="Arial" w:eastAsia="Arial" w:hAnsi="Arial"/>
                <w:sz w:val="18"/>
                <w:szCs w:val="18"/>
                <w:b w:val="1"/>
                <w:bCs w:val="1"/>
                <w:color w:val="auto"/>
              </w:rPr>
              <w:t>N/A</w:t>
            </w:r>
          </w:p>
        </w:tc>
        <w:tc>
          <w:tcPr>
            <w:tcW w:w="1420" w:type="dxa"/>
            <w:vAlign w:val="bottom"/>
          </w:tcPr>
          <w:p>
            <w:pPr>
              <w:ind w:left="88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assets</w:t>
            </w:r>
          </w:p>
        </w:tc>
        <w:tc>
          <w:tcPr>
            <w:tcW w:w="15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3.80 %</w:t>
            </w:r>
          </w:p>
        </w:tc>
        <w:tc>
          <w:tcPr>
            <w:tcW w:w="15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3.70 %</w:t>
            </w:r>
          </w:p>
        </w:tc>
        <w:tc>
          <w:tcPr>
            <w:tcW w:w="14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4.00 %</w:t>
            </w:r>
          </w:p>
        </w:tc>
        <w:tc>
          <w:tcPr>
            <w:tcW w:w="1460" w:type="dxa"/>
            <w:vAlign w:val="bottom"/>
            <w:shd w:val="clear" w:color="auto" w:fill="CFF0FC"/>
          </w:tcPr>
          <w:p>
            <w:pPr>
              <w:ind w:left="900"/>
              <w:spacing w:after="0"/>
              <w:rPr>
                <w:sz w:val="20"/>
                <w:szCs w:val="20"/>
                <w:color w:val="auto"/>
              </w:rPr>
            </w:pPr>
            <w:r>
              <w:rPr>
                <w:rFonts w:ascii="Arial" w:cs="Arial" w:eastAsia="Arial" w:hAnsi="Arial"/>
                <w:sz w:val="18"/>
                <w:szCs w:val="18"/>
                <w:b w:val="1"/>
                <w:bCs w:val="1"/>
                <w:color w:val="auto"/>
              </w:rPr>
              <w:t>N/A</w:t>
            </w:r>
          </w:p>
        </w:tc>
        <w:tc>
          <w:tcPr>
            <w:tcW w:w="14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N/A</w:t>
            </w:r>
          </w:p>
        </w:tc>
        <w:tc>
          <w:tcPr>
            <w:tcW w:w="1220" w:type="dxa"/>
            <w:vAlign w:val="bottom"/>
            <w:shd w:val="clear" w:color="auto" w:fill="CFF0FC"/>
          </w:tcPr>
          <w:p>
            <w:pPr>
              <w:ind w:left="8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-564515</wp:posOffset>
            </wp:positionV>
            <wp:extent cx="7132320" cy="1454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2" w:lineRule="exact"/>
        <w:rPr>
          <w:sz w:val="20"/>
          <w:szCs w:val="20"/>
          <w:color w:val="auto"/>
        </w:rPr>
      </w:pPr>
    </w:p>
    <w:p>
      <w:pPr>
        <w:ind w:right="180" w:firstLine="494"/>
        <w:spacing w:after="0" w:line="243"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 Health care cost trends are used to project future post-retirement benefits payable from the Company’s plans. As of December 31, 2022, future post-retirement health care costs were forecasted assuming an initial annual increase of up to 7.80%, decreasing to an annual increase of up to 4.00% by the year 2046. The Company reviews all actuarial assumptions on an annual basis and in the case of remeasurement.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155" w:lineRule="exact"/>
        <w:rPr>
          <w:sz w:val="20"/>
          <w:szCs w:val="20"/>
          <w:color w:val="auto"/>
        </w:rPr>
      </w:pPr>
    </w:p>
    <w:p>
      <w:pPr>
        <w:ind w:right="440" w:firstLine="494"/>
        <w:spacing w:after="0" w:line="271" w:lineRule="auto"/>
        <w:rPr>
          <w:sz w:val="20"/>
          <w:szCs w:val="20"/>
          <w:color w:val="auto"/>
        </w:rPr>
      </w:pPr>
      <w:r>
        <w:rPr>
          <w:rFonts w:ascii="Arial" w:cs="Arial" w:eastAsia="Arial" w:hAnsi="Arial"/>
          <w:sz w:val="18"/>
          <w:szCs w:val="18"/>
          <w:color w:val="auto"/>
        </w:rPr>
        <w:t>The Company’s pension plan assets mostly consist of diversified equity securities and diversified debt securities. The fair values of plan assets for the Company’s pension plans as of December 31, 2022 and 2021 are as follows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60"/>
        </w:trPr>
        <w:tc>
          <w:tcPr>
            <w:tcW w:w="4680" w:type="dxa"/>
            <w:vAlign w:val="bottom"/>
          </w:tcPr>
          <w:p>
            <w:pPr>
              <w:spacing w:after="0"/>
              <w:rPr>
                <w:sz w:val="13"/>
                <w:szCs w:val="13"/>
                <w:color w:val="auto"/>
              </w:rPr>
            </w:pPr>
          </w:p>
        </w:tc>
        <w:tc>
          <w:tcPr>
            <w:tcW w:w="1820" w:type="dxa"/>
            <w:vAlign w:val="bottom"/>
            <w:gridSpan w:val="4"/>
          </w:tcPr>
          <w:p>
            <w:pPr>
              <w:jc w:val="center"/>
              <w:ind w:left="142"/>
              <w:spacing w:after="0" w:line="159" w:lineRule="exact"/>
              <w:rPr>
                <w:sz w:val="20"/>
                <w:szCs w:val="20"/>
                <w:color w:val="auto"/>
              </w:rPr>
            </w:pPr>
            <w:r>
              <w:rPr>
                <w:rFonts w:ascii="Arial" w:cs="Arial" w:eastAsia="Arial" w:hAnsi="Arial"/>
                <w:sz w:val="14"/>
                <w:szCs w:val="14"/>
                <w:b w:val="1"/>
                <w:bCs w:val="1"/>
                <w:color w:val="auto"/>
              </w:rPr>
              <w:t>Quoted Prices in Active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194"/>
              <w:spacing w:after="0" w:line="159"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4680" w:type="dxa"/>
            <w:vAlign w:val="bottom"/>
          </w:tcPr>
          <w:p>
            <w:pPr>
              <w:spacing w:after="0"/>
              <w:rPr>
                <w:sz w:val="14"/>
                <w:szCs w:val="14"/>
                <w:color w:val="auto"/>
              </w:rPr>
            </w:pPr>
          </w:p>
        </w:tc>
        <w:tc>
          <w:tcPr>
            <w:tcW w:w="1820" w:type="dxa"/>
            <w:vAlign w:val="bottom"/>
            <w:gridSpan w:val="4"/>
          </w:tcPr>
          <w:p>
            <w:pPr>
              <w:jc w:val="center"/>
              <w:ind w:left="142"/>
              <w:spacing w:after="0"/>
              <w:rPr>
                <w:sz w:val="20"/>
                <w:szCs w:val="20"/>
                <w:color w:val="auto"/>
              </w:rPr>
            </w:pPr>
            <w:r>
              <w:rPr>
                <w:rFonts w:ascii="Arial" w:cs="Arial" w:eastAsia="Arial" w:hAnsi="Arial"/>
                <w:sz w:val="14"/>
                <w:szCs w:val="14"/>
                <w:b w:val="1"/>
                <w:bCs w:val="1"/>
                <w:color w:val="auto"/>
              </w:rPr>
              <w:t>Markets for Identical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5"/>
        </w:trPr>
        <w:tc>
          <w:tcPr>
            <w:tcW w:w="4680" w:type="dxa"/>
            <w:vAlign w:val="bottom"/>
          </w:tcPr>
          <w:p>
            <w:pPr>
              <w:spacing w:after="0"/>
              <w:rPr>
                <w:sz w:val="16"/>
                <w:szCs w:val="16"/>
                <w:color w:val="auto"/>
              </w:rPr>
            </w:pPr>
          </w:p>
        </w:tc>
        <w:tc>
          <w:tcPr>
            <w:tcW w:w="1820" w:type="dxa"/>
            <w:vAlign w:val="bottom"/>
            <w:tcBorders>
              <w:bottom w:val="single" w:sz="8" w:color="auto"/>
            </w:tcBorders>
            <w:gridSpan w:val="4"/>
          </w:tcPr>
          <w:p>
            <w:pPr>
              <w:jc w:val="center"/>
              <w:ind w:left="142"/>
              <w:spacing w:after="0"/>
              <w:rPr>
                <w:sz w:val="20"/>
                <w:szCs w:val="20"/>
                <w:color w:val="auto"/>
              </w:rPr>
            </w:pPr>
            <w:r>
              <w:rPr>
                <w:rFonts w:ascii="Arial" w:cs="Arial" w:eastAsia="Arial" w:hAnsi="Arial"/>
                <w:sz w:val="14"/>
                <w:szCs w:val="14"/>
                <w:b w:val="1"/>
                <w:bCs w:val="1"/>
                <w:color w:val="auto"/>
              </w:rPr>
              <w:t>Assets (Level 1)</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tcPr>
          <w:p>
            <w:pPr>
              <w:spacing w:after="0"/>
              <w:rPr>
                <w:sz w:val="16"/>
                <w:szCs w:val="16"/>
                <w:color w:val="auto"/>
              </w:rPr>
            </w:pPr>
          </w:p>
        </w:tc>
      </w:tr>
      <w:tr>
        <w:trPr>
          <w:trHeight w:val="182"/>
        </w:trPr>
        <w:tc>
          <w:tcPr>
            <w:tcW w:w="4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r>
      <w:tr>
        <w:trPr>
          <w:trHeight w:val="22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Diversified debt securities</w:t>
            </w:r>
          </w:p>
        </w:tc>
        <w:tc>
          <w:tcPr>
            <w:tcW w:w="640" w:type="dxa"/>
            <w:vAlign w:val="bottom"/>
            <w:tcBorders>
              <w:top w:val="single" w:sz="8" w:color="auto"/>
            </w:tcBorders>
            <w:shd w:val="clear" w:color="auto" w:fill="CFF0FC"/>
          </w:tcPr>
          <w:p>
            <w:pPr>
              <w:jc w:val="right"/>
              <w:ind w:right="462"/>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w:t>
            </w: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174</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Diversified equity securities</w:t>
            </w:r>
          </w:p>
        </w:tc>
        <w:tc>
          <w:tcPr>
            <w:tcW w:w="640" w:type="dxa"/>
            <w:vAlign w:val="bottom"/>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33</w:t>
            </w:r>
          </w:p>
        </w:tc>
      </w:tr>
      <w:tr>
        <w:trPr>
          <w:trHeight w:val="229"/>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6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w:t>
            </w:r>
          </w:p>
        </w:tc>
      </w:tr>
      <w:tr>
        <w:trPr>
          <w:trHeight w:val="223"/>
        </w:trPr>
        <w:tc>
          <w:tcPr>
            <w:tcW w:w="4680" w:type="dxa"/>
            <w:vAlign w:val="bottom"/>
          </w:tcPr>
          <w:p>
            <w:pPr>
              <w:ind w:left="28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462"/>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28</w:t>
            </w:r>
          </w:p>
        </w:tc>
        <w:tc>
          <w:tcPr>
            <w:tcW w:w="8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44</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130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169</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6"/>
              <w:spacing w:after="0"/>
              <w:rPr>
                <w:sz w:val="20"/>
                <w:szCs w:val="20"/>
                <w:color w:val="auto"/>
              </w:rPr>
            </w:pPr>
            <w:r>
              <w:rPr>
                <w:rFonts w:ascii="Arial" w:cs="Arial" w:eastAsia="Arial" w:hAnsi="Arial"/>
                <w:sz w:val="18"/>
                <w:szCs w:val="18"/>
                <w:b w:val="1"/>
                <w:bCs w:val="1"/>
                <w:color w:val="auto"/>
              </w:rPr>
              <w:t>158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213</w:t>
            </w:r>
          </w:p>
        </w:tc>
      </w:tr>
      <w:tr>
        <w:trPr>
          <w:trHeight w:val="20"/>
        </w:trPr>
        <w:tc>
          <w:tcPr>
            <w:tcW w:w="4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-179070</wp:posOffset>
            </wp:positionV>
            <wp:extent cx="76835"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-179070</wp:posOffset>
            </wp:positionV>
            <wp:extent cx="68580"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-179070</wp:posOffset>
            </wp:positionV>
            <wp:extent cx="68580" cy="179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-179070</wp:posOffset>
            </wp:positionV>
            <wp:extent cx="68580" cy="179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-179070</wp:posOffset>
            </wp:positionV>
            <wp:extent cx="6858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0" w:lineRule="exact"/>
        <w:rPr>
          <w:sz w:val="20"/>
          <w:szCs w:val="20"/>
          <w:color w:val="auto"/>
        </w:rPr>
      </w:pPr>
    </w:p>
    <w:p>
      <w:pPr>
        <w:ind w:right="720" w:firstLine="494"/>
        <w:spacing w:after="0" w:line="246" w:lineRule="auto"/>
        <w:rPr>
          <w:sz w:val="20"/>
          <w:szCs w:val="20"/>
          <w:color w:val="auto"/>
        </w:rPr>
      </w:pPr>
      <w:r>
        <w:rPr>
          <w:rFonts w:ascii="Arial" w:cs="Arial" w:eastAsia="Arial" w:hAnsi="Arial"/>
          <w:sz w:val="18"/>
          <w:szCs w:val="18"/>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rPr>
              <w:t>Target</w:t>
            </w:r>
          </w:p>
        </w:tc>
        <w:tc>
          <w:tcPr>
            <w:tcW w:w="14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Category</w:t>
            </w:r>
          </w:p>
        </w:tc>
        <w:tc>
          <w:tcPr>
            <w:tcW w:w="3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Hourly</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Salary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3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Diversified equity securities</w:t>
            </w:r>
          </w:p>
        </w:tc>
        <w:tc>
          <w:tcPr>
            <w:tcW w:w="5520" w:type="dxa"/>
            <w:vAlign w:val="bottom"/>
            <w:gridSpan w:val="3"/>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Diversified debt securities</w:t>
            </w:r>
          </w:p>
        </w:tc>
        <w:tc>
          <w:tcPr>
            <w:tcW w:w="3760" w:type="dxa"/>
            <w:vAlign w:val="bottom"/>
            <w:tcBorders>
              <w:bottom w:val="single" w:sz="8" w:color="CFF0FC"/>
            </w:tcBorders>
            <w:gridSpan w:val="2"/>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80"/>
              <w:spacing w:after="0"/>
              <w:rPr>
                <w:sz w:val="20"/>
                <w:szCs w:val="20"/>
                <w:color w:val="auto"/>
              </w:rPr>
            </w:pPr>
            <w:r>
              <w:rPr>
                <w:rFonts w:ascii="Arial" w:cs="Arial" w:eastAsia="Arial" w:hAnsi="Arial"/>
                <w:sz w:val="18"/>
                <w:szCs w:val="18"/>
                <w:color w:val="auto"/>
              </w:rPr>
              <w:t>Total</w:t>
            </w:r>
          </w:p>
        </w:tc>
        <w:tc>
          <w:tcPr>
            <w:tcW w:w="5620" w:type="dxa"/>
            <w:vAlign w:val="bottom"/>
            <w:gridSpan w:val="4"/>
          </w:tcPr>
          <w:p>
            <w:pPr>
              <w:jc w:val="right"/>
              <w:ind w:right="40"/>
              <w:spacing w:after="0"/>
              <w:rPr>
                <w:sz w:val="20"/>
                <w:szCs w:val="20"/>
                <w:color w:val="auto"/>
              </w:rPr>
            </w:pPr>
            <w:r>
              <w:rPr>
                <w:rFonts w:ascii="Arial" w:cs="Arial" w:eastAsia="Arial" w:hAnsi="Arial"/>
                <w:sz w:val="18"/>
                <w:szCs w:val="18"/>
                <w:color w:val="auto"/>
              </w:rPr>
              <w:t>100 %</w:t>
            </w:r>
          </w:p>
        </w:tc>
        <w:tc>
          <w:tcPr>
            <w:tcW w:w="3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640" w:type="dxa"/>
            <w:vAlign w:val="bottom"/>
            <w:vMerge w:val="restart"/>
          </w:tcPr>
          <w:p>
            <w:pPr>
              <w:jc w:val="right"/>
              <w:ind w:right="169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8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86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145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-667385</wp:posOffset>
            </wp:positionV>
            <wp:extent cx="68580"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760" w:firstLine="494"/>
        <w:spacing w:after="0" w:line="271" w:lineRule="auto"/>
        <w:rPr>
          <w:sz w:val="20"/>
          <w:szCs w:val="20"/>
          <w:color w:val="auto"/>
        </w:rPr>
      </w:pPr>
      <w:r>
        <w:rPr>
          <w:rFonts w:ascii="Arial" w:cs="Arial" w:eastAsia="Arial" w:hAnsi="Arial"/>
          <w:sz w:val="18"/>
          <w:szCs w:val="18"/>
          <w:color w:val="auto"/>
        </w:rPr>
        <w:t>Throughout 2022, the Company’s investment committee has continued to evaluate the investments and take steps toward the established targets.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Contributions and Benefit Payments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240" w:type="dxa"/>
            <w:vAlign w:val="bottom"/>
          </w:tcPr>
          <w:p>
            <w:pPr>
              <w:jc w:val="center"/>
              <w:ind w:left="282"/>
              <w:spacing w:after="0"/>
              <w:rPr>
                <w:sz w:val="20"/>
                <w:szCs w:val="20"/>
                <w:color w:val="auto"/>
              </w:rPr>
            </w:pPr>
            <w:r>
              <w:rPr>
                <w:rFonts w:ascii="Arial" w:cs="Arial" w:eastAsia="Arial" w:hAnsi="Arial"/>
                <w:sz w:val="14"/>
                <w:szCs w:val="14"/>
                <w:b w:val="1"/>
                <w:bCs w:val="1"/>
                <w:color w:val="auto"/>
              </w:rPr>
              <w:t>Pension</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274"/>
              <w:spacing w:after="0"/>
              <w:rPr>
                <w:sz w:val="20"/>
                <w:szCs w:val="20"/>
                <w:color w:val="auto"/>
              </w:rPr>
            </w:pPr>
            <w:r>
              <w:rPr>
                <w:rFonts w:ascii="Arial" w:cs="Arial" w:eastAsia="Arial" w:hAnsi="Arial"/>
                <w:sz w:val="14"/>
                <w:szCs w:val="14"/>
                <w:b w:val="1"/>
                <w:bCs w:val="1"/>
                <w:color w:val="auto"/>
              </w:rPr>
              <w:t>Post-retirement</w:t>
            </w:r>
          </w:p>
        </w:tc>
      </w:tr>
      <w:tr>
        <w:trPr>
          <w:trHeight w:val="185"/>
        </w:trPr>
        <w:tc>
          <w:tcPr>
            <w:tcW w:w="7660" w:type="dxa"/>
            <w:vAlign w:val="bottom"/>
          </w:tcPr>
          <w:p>
            <w:pPr>
              <w:spacing w:after="0"/>
              <w:rPr>
                <w:sz w:val="16"/>
                <w:szCs w:val="16"/>
                <w:color w:val="auto"/>
              </w:rPr>
            </w:pPr>
          </w:p>
        </w:tc>
        <w:tc>
          <w:tcPr>
            <w:tcW w:w="124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rPr>
              <w:t>Plans</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Benefits</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Employer Contributions:</w:t>
            </w: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2023 expected contributions</w:t>
            </w:r>
          </w:p>
        </w:tc>
        <w:tc>
          <w:tcPr>
            <w:tcW w:w="1240" w:type="dxa"/>
            <w:vAlign w:val="bottom"/>
          </w:tcPr>
          <w:p>
            <w:pPr>
              <w:jc w:val="right"/>
              <w:ind w:right="104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Benefit Payments:</w:t>
            </w: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2023</w:t>
            </w:r>
          </w:p>
        </w:tc>
        <w:tc>
          <w:tcPr>
            <w:tcW w:w="124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2025</w:t>
            </w:r>
          </w:p>
        </w:tc>
        <w:tc>
          <w:tcPr>
            <w:tcW w:w="124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2027</w:t>
            </w:r>
          </w:p>
        </w:tc>
        <w:tc>
          <w:tcPr>
            <w:tcW w:w="124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2028-2032</w:t>
            </w: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w:t>
            </w:r>
          </w:p>
        </w:tc>
      </w:tr>
    </w:tbl>
    <w:p>
      <w:pPr>
        <w:spacing w:after="0" w:line="170"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155" w:lineRule="exact"/>
        <w:rPr>
          <w:sz w:val="20"/>
          <w:szCs w:val="20"/>
          <w:color w:val="auto"/>
        </w:rPr>
      </w:pPr>
    </w:p>
    <w:p>
      <w:pPr>
        <w:ind w:right="100" w:firstLine="494"/>
        <w:spacing w:after="0" w:line="239" w:lineRule="auto"/>
        <w:rPr>
          <w:sz w:val="20"/>
          <w:szCs w:val="20"/>
          <w:color w:val="auto"/>
        </w:rPr>
      </w:pPr>
      <w:r>
        <w:rPr>
          <w:rFonts w:ascii="Arial" w:cs="Arial" w:eastAsia="Arial" w:hAnsi="Arial"/>
          <w:sz w:val="18"/>
          <w:szCs w:val="18"/>
          <w:color w:val="auto"/>
        </w:rPr>
        <w:t>The Company maintains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no charge to the Consolidated Statements of Comprehensive Income for any of the years ended December 31, 2022, 2021 and 2020, and the fair value of the rabbi trust plan assets and deferred compensation obligation was $15 million and $19 million as of December 31, 2022 and 2021,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income taxes included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2"/>
        </w:trPr>
        <w:tc>
          <w:tcPr>
            <w:tcW w:w="3400" w:type="dxa"/>
            <w:vAlign w:val="bottom"/>
          </w:tcPr>
          <w:p>
            <w:pPr>
              <w:spacing w:after="0"/>
              <w:rPr>
                <w:sz w:val="15"/>
                <w:szCs w:val="15"/>
                <w:color w:val="auto"/>
              </w:rPr>
            </w:pPr>
          </w:p>
        </w:tc>
        <w:tc>
          <w:tcPr>
            <w:tcW w:w="4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income</w:t>
            </w:r>
          </w:p>
        </w:tc>
        <w:tc>
          <w:tcPr>
            <w:tcW w:w="322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621</w:t>
            </w: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364</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Foreign income</w:t>
            </w:r>
          </w:p>
        </w:tc>
        <w:tc>
          <w:tcPr>
            <w:tcW w:w="32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w:t>
            </w:r>
          </w:p>
        </w:tc>
      </w:tr>
      <w:tr>
        <w:trPr>
          <w:trHeight w:val="263"/>
        </w:trPr>
        <w:tc>
          <w:tcPr>
            <w:tcW w:w="34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32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645</w:t>
            </w:r>
          </w:p>
        </w:tc>
        <w:tc>
          <w:tcPr>
            <w:tcW w:w="14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572</w:t>
            </w:r>
          </w:p>
        </w:tc>
        <w:tc>
          <w:tcPr>
            <w:tcW w:w="1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393</w:t>
            </w:r>
          </w:p>
        </w:tc>
      </w:tr>
      <w:tr>
        <w:trPr>
          <w:trHeight w:val="632"/>
        </w:trPr>
        <w:tc>
          <w:tcPr>
            <w:tcW w:w="3400" w:type="dxa"/>
            <w:vAlign w:val="bottom"/>
          </w:tcPr>
          <w:p>
            <w:pPr>
              <w:spacing w:after="0"/>
              <w:rPr>
                <w:sz w:val="24"/>
                <w:szCs w:val="24"/>
                <w:color w:val="auto"/>
              </w:rPr>
            </w:pPr>
          </w:p>
        </w:tc>
        <w:tc>
          <w:tcPr>
            <w:tcW w:w="3220" w:type="dxa"/>
            <w:vAlign w:val="bottom"/>
          </w:tcPr>
          <w:p>
            <w:pPr>
              <w:jc w:val="right"/>
              <w:ind w:right="819"/>
              <w:spacing w:after="0"/>
              <w:rPr>
                <w:sz w:val="20"/>
                <w:szCs w:val="20"/>
                <w:color w:val="auto"/>
              </w:rPr>
            </w:pPr>
            <w:r>
              <w:rPr>
                <w:rFonts w:ascii="Arial" w:cs="Arial" w:eastAsia="Arial" w:hAnsi="Arial"/>
                <w:sz w:val="18"/>
                <w:szCs w:val="18"/>
                <w:color w:val="auto"/>
              </w:rPr>
              <w:t>81</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4"/>
        </w:trPr>
        <w:tc>
          <w:tcPr>
            <w:tcW w:w="340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-504825</wp:posOffset>
            </wp:positionV>
            <wp:extent cx="93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-487680</wp:posOffset>
            </wp:positionV>
            <wp:extent cx="939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-504825</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-487680</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income tax expense was estimated as follows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current income taxes:</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U.S. federal</w:t>
            </w:r>
          </w:p>
        </w:tc>
        <w:tc>
          <w:tcPr>
            <w:tcW w:w="940" w:type="dxa"/>
            <w:vAlign w:val="bottom"/>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b w:val="1"/>
                <w:bCs w:val="1"/>
                <w:color w:val="auto"/>
              </w:rPr>
              <w:t>98</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w:t>
            </w: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state and local</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r>
      <w:tr>
        <w:trPr>
          <w:trHeight w:val="223"/>
        </w:trPr>
        <w:tc>
          <w:tcPr>
            <w:tcW w:w="66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Deferred income tax expense, net:</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federal</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U.S. state and local</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w:t>
            </w: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23"/>
        </w:trPr>
        <w:tc>
          <w:tcPr>
            <w:tcW w:w="662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Deferred</w:t>
            </w:r>
          </w:p>
        </w:tc>
        <w:tc>
          <w:tcPr>
            <w:tcW w:w="9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w:t>
            </w:r>
          </w:p>
        </w:tc>
        <w:tc>
          <w:tcPr>
            <w:tcW w:w="140" w:type="dxa"/>
            <w:vAlign w:val="bottom"/>
            <w:tcBorders>
              <w:top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income tax expense</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114</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-333375</wp:posOffset>
            </wp:positionV>
            <wp:extent cx="93980" cy="162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-333375</wp:posOffset>
            </wp:positionV>
            <wp:extent cx="85725" cy="162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939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939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3"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A reconciliation of the provision for income tax expense compared with the amounts at the U.S. federal statutory rate is as follows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00" w:type="dxa"/>
            <w:vAlign w:val="bottom"/>
          </w:tcPr>
          <w:p>
            <w:pPr>
              <w:spacing w:after="0"/>
              <w:rPr>
                <w:sz w:val="15"/>
                <w:szCs w:val="15"/>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at U.S. statutory income tax rate</w:t>
            </w: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Effect of tax rate changes</w:t>
            </w:r>
          </w:p>
        </w:tc>
        <w:tc>
          <w:tcPr>
            <w:tcW w:w="940" w:type="dxa"/>
            <w:vAlign w:val="bottom"/>
          </w:tcPr>
          <w:p>
            <w:pPr>
              <w:spacing w:after="0"/>
              <w:rPr>
                <w:sz w:val="19"/>
                <w:szCs w:val="19"/>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(15 )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tax expense</w:t>
            </w: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940" w:type="dxa"/>
            <w:vAlign w:val="bottom"/>
          </w:tcPr>
          <w:p>
            <w:pPr>
              <w:spacing w:after="0"/>
              <w:rPr>
                <w:sz w:val="19"/>
                <w:szCs w:val="19"/>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(9 )</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(6 )</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Foreign rate differential</w:t>
            </w:r>
          </w:p>
        </w:tc>
        <w:tc>
          <w:tcPr>
            <w:tcW w:w="940" w:type="dxa"/>
            <w:vAlign w:val="bottom"/>
          </w:tcPr>
          <w:p>
            <w:pPr>
              <w:spacing w:after="0"/>
              <w:rPr>
                <w:sz w:val="19"/>
                <w:szCs w:val="19"/>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(4 )</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Uncertain tax position</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(3 )</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adjustments</w:t>
            </w: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r>
      <w:tr>
        <w:trPr>
          <w:trHeight w:val="223"/>
        </w:trPr>
        <w:tc>
          <w:tcPr>
            <w:tcW w:w="660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income tax expense</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FF0FC"/>
            </w:tcBorders>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-179070</wp:posOffset>
            </wp:positionV>
            <wp:extent cx="76835"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-179070</wp:posOffset>
            </wp:positionV>
            <wp:extent cx="68580" cy="179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0"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The effective tax rate for the years ended December 31, 2022 and 2021 was 18% and 23%, respectively. The change in the effective tax rate in 2022 was due to enacted state tax rate legislation that resulted in a deferred tax benefit.</w:t>
      </w:r>
    </w:p>
    <w:p>
      <w:pPr>
        <w:spacing w:after="0" w:line="99"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Deferred income tax assets and liabilities as of December 31, 2022 and 2021 reflect the effect of temporary differences between amounts of assets, liabilities and equity for financial reporting purposes and the bases of such assets, liabilities and equity as measured by tax laws, as well as tax loss and tax credit carry forwards. Net deferred tax assets and liabilities are classified as non-current in the Consolidated Balance Sheets. As described above, the deferred tax assets and liabilities are measured based on the enacted tax rates that will apply in the years in which the temporary differences are expected to be recovered or paid.</w:t>
      </w:r>
    </w:p>
    <w:p>
      <w:pPr>
        <w:spacing w:after="0" w:line="125"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The Company has not recognized any deferred tax liabilities associated with earnings in foreign subsidiaries, except for its subsidiary located in China, as they are intended to be permanently reinvested and used to support foreign operations or have no associated tax requirements. As of December 31, 2022, the Company has recorded a deferred tax liability of $3 million for the tax liability associated with the remittance of previously taxed income and unremitted earnings for its subsidiary located in China.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ind w:right="292"/>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jc w:val="right"/>
              <w:ind w:right="292"/>
              <w:spacing w:after="0"/>
              <w:rPr>
                <w:sz w:val="20"/>
                <w:szCs w:val="20"/>
                <w:color w:val="auto"/>
              </w:rPr>
            </w:pPr>
            <w:r>
              <w:rPr>
                <w:rFonts w:ascii="Arial" w:cs="Arial" w:eastAsia="Arial" w:hAnsi="Arial"/>
                <w:sz w:val="14"/>
                <w:szCs w:val="14"/>
                <w:b w:val="1"/>
                <w:bCs w:val="1"/>
                <w:color w:val="auto"/>
              </w:rPr>
              <w:t>As of December 31,</w:t>
            </w:r>
          </w:p>
        </w:tc>
      </w:tr>
      <w:tr>
        <w:trPr>
          <w:trHeight w:val="185"/>
        </w:trPr>
        <w:tc>
          <w:tcPr>
            <w:tcW w:w="7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2021</w:t>
            </w: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Pr>
          <w:p>
            <w:pPr>
              <w:jc w:val="right"/>
              <w:ind w:right="32"/>
              <w:spacing w:after="0"/>
              <w:rPr>
                <w:sz w:val="20"/>
                <w:szCs w:val="20"/>
                <w:color w:val="auto"/>
              </w:rPr>
            </w:pPr>
            <w:r>
              <w:rPr>
                <w:rFonts w:ascii="Arial" w:cs="Arial" w:eastAsia="Arial" w:hAnsi="Arial"/>
                <w:sz w:val="18"/>
                <w:szCs w:val="18"/>
                <w:b w:val="1"/>
                <w:bCs w:val="1"/>
                <w:color w:val="auto"/>
              </w:rPr>
              <w:t>30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35</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Capitalized research</w:t>
            </w:r>
          </w:p>
        </w:tc>
        <w:tc>
          <w:tcPr>
            <w:tcW w:w="20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Warranty accrual</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10</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Sales allowances and rebates</w:t>
            </w:r>
          </w:p>
        </w:tc>
        <w:tc>
          <w:tcPr>
            <w:tcW w:w="20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7</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 credits</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Operating loss carryforwards</w:t>
            </w:r>
          </w:p>
        </w:tc>
        <w:tc>
          <w:tcPr>
            <w:tcW w:w="20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Technology-related investments</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Unrealized loss on Interest rate hedges</w:t>
            </w:r>
          </w:p>
        </w:tc>
        <w:tc>
          <w:tcPr>
            <w:tcW w:w="20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7</w:t>
            </w:r>
          </w:p>
        </w:tc>
      </w:tr>
      <w:tr>
        <w:trPr>
          <w:trHeight w:val="229"/>
        </w:trPr>
        <w:tc>
          <w:tcPr>
            <w:tcW w:w="7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9</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133</w:t>
            </w:r>
          </w:p>
        </w:tc>
      </w:tr>
      <w:tr>
        <w:trPr>
          <w:trHeight w:val="22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Valuation allowances</w:t>
            </w:r>
          </w:p>
        </w:tc>
        <w:tc>
          <w:tcPr>
            <w:tcW w:w="2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(413 )</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(405 )</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(179 )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(173 )</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(53 )</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Intangibles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Post-retirement</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(665 )</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(634 )</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(528 )</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(512 )</w:t>
            </w:r>
          </w:p>
        </w:tc>
      </w:tr>
      <w:tr>
        <w:trPr>
          <w:trHeight w:val="20"/>
        </w:trPr>
        <w:tc>
          <w:tcPr>
            <w:tcW w:w="7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-1668780</wp:posOffset>
            </wp:positionV>
            <wp:extent cx="111125" cy="162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-1360805</wp:posOffset>
            </wp:positionV>
            <wp:extent cx="111125"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-179070</wp:posOffset>
            </wp:positionV>
            <wp:extent cx="111125" cy="1797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312" w:lineRule="exact"/>
        <w:rPr>
          <w:sz w:val="20"/>
          <w:szCs w:val="20"/>
          <w:color w:val="auto"/>
        </w:rPr>
      </w:pPr>
    </w:p>
    <w:p>
      <w:pPr>
        <w:jc w:val="both"/>
        <w:ind w:right="80" w:firstLine="494"/>
        <w:spacing w:after="0" w:line="252"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foreign deferred tax assets will not be realized; therefore, these deferred tax assets are offset with a valuation allowance of $7 million as of December 31, 2022 and $11 million as of December 31, 2021.</w:t>
      </w:r>
    </w:p>
    <w:p>
      <w:pPr>
        <w:spacing w:after="0" w:line="117" w:lineRule="exact"/>
        <w:rPr>
          <w:sz w:val="20"/>
          <w:szCs w:val="20"/>
          <w:color w:val="auto"/>
        </w:rPr>
      </w:pPr>
    </w:p>
    <w:p>
      <w:pPr>
        <w:ind w:right="100" w:firstLine="494"/>
        <w:spacing w:after="0" w:line="252" w:lineRule="auto"/>
        <w:rPr>
          <w:sz w:val="20"/>
          <w:szCs w:val="20"/>
          <w:color w:val="auto"/>
        </w:rPr>
      </w:pPr>
      <w:r>
        <w:rPr>
          <w:rFonts w:ascii="Arial" w:cs="Arial" w:eastAsia="Arial" w:hAnsi="Arial"/>
          <w:sz w:val="18"/>
          <w:szCs w:val="18"/>
          <w:color w:val="auto"/>
        </w:rPr>
        <w:t>The 2017 U.S. Tax Cuts and Jobs Act requires taxpayers to capitalize and amortize specified research and development expenditures over a period of five years for domestic or 15 years for foreign research, beginning with the tax years after December 31, 2021. As a result, the Company recognized a deferred tax asset of $29 million as of December 31, 2022.</w:t>
      </w:r>
    </w:p>
    <w:p>
      <w:pPr>
        <w:spacing w:after="0" w:line="117"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All of the Company's tax returns, once filed, will remain subject to examination by the various taxing authorities for the duration of the applicable statute of limitations (generally three years from the earlier of the date of filing or the due date of the return).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components of AOCL consisted of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94"/>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4"/>
                <w:szCs w:val="14"/>
                <w:b w:val="1"/>
                <w:bCs w:val="1"/>
                <w:color w:val="auto"/>
              </w:rPr>
              <w:t>and OPEB</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273"/>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254"/>
              <w:spacing w:after="0"/>
              <w:rPr>
                <w:sz w:val="20"/>
                <w:szCs w:val="20"/>
                <w:color w:val="auto"/>
              </w:rPr>
            </w:pPr>
            <w:r>
              <w:rPr>
                <w:rFonts w:ascii="Arial" w:cs="Arial" w:eastAsia="Arial" w:hAnsi="Arial"/>
                <w:sz w:val="14"/>
                <w:szCs w:val="14"/>
                <w:b w:val="1"/>
                <w:bCs w:val="1"/>
                <w:color w:val="auto"/>
              </w:rPr>
              <w:t>liability</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452"/>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273"/>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AOCL as of December 31, 2019</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rate swaps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(34 )</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197"/>
        </w:trPr>
        <w:tc>
          <w:tcPr>
            <w:tcW w:w="50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Other comprehensive (loss) income before</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9"/>
        </w:trPr>
        <w:tc>
          <w:tcPr>
            <w:tcW w:w="5060" w:type="dxa"/>
            <w:vAlign w:val="bottom"/>
          </w:tcPr>
          <w:p>
            <w:pPr>
              <w:ind w:left="280"/>
              <w:spacing w:after="0"/>
              <w:rPr>
                <w:sz w:val="20"/>
                <w:szCs w:val="20"/>
                <w:color w:val="auto"/>
              </w:rPr>
            </w:pPr>
            <w:r>
              <w:rPr>
                <w:rFonts w:ascii="Arial" w:cs="Arial" w:eastAsia="Arial" w:hAnsi="Arial"/>
                <w:sz w:val="18"/>
                <w:szCs w:val="18"/>
                <w:color w:val="auto"/>
              </w:rPr>
              <w:t>Amounts reclassified from AOCL</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2020</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1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1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197"/>
        </w:trPr>
        <w:tc>
          <w:tcPr>
            <w:tcW w:w="5060" w:type="dxa"/>
            <w:vAlign w:val="bottom"/>
          </w:tcPr>
          <w:p>
            <w:pPr>
              <w:ind w:left="280"/>
              <w:spacing w:after="0" w:line="197" w:lineRule="exact"/>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060" w:type="dxa"/>
            <w:vAlign w:val="bottom"/>
          </w:tcPr>
          <w:p>
            <w:pPr>
              <w:ind w:left="28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0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AOCL as of December 31,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(32 )</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97"/>
        </w:trPr>
        <w:tc>
          <w:tcPr>
            <w:tcW w:w="50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Other comprehensive income (loss) before</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44</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29"/>
        </w:trPr>
        <w:tc>
          <w:tcPr>
            <w:tcW w:w="5060" w:type="dxa"/>
            <w:vAlign w:val="bottom"/>
          </w:tcPr>
          <w:p>
            <w:pPr>
              <w:ind w:left="280"/>
              <w:spacing w:after="0"/>
              <w:rPr>
                <w:sz w:val="20"/>
                <w:szCs w:val="20"/>
                <w:color w:val="auto"/>
              </w:rPr>
            </w:pPr>
            <w:r>
              <w:rPr>
                <w:rFonts w:ascii="Arial" w:cs="Arial" w:eastAsia="Arial" w:hAnsi="Arial"/>
                <w:sz w:val="18"/>
                <w:szCs w:val="18"/>
                <w:color w:val="auto"/>
              </w:rPr>
              <w:t>Amounts reclassified from AOCL</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(11 )</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(18 )</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54"/>
              <w:spacing w:after="0"/>
              <w:rPr>
                <w:sz w:val="20"/>
                <w:szCs w:val="20"/>
                <w:color w:val="auto"/>
              </w:rPr>
            </w:pPr>
            <w:r>
              <w:rPr>
                <w:rFonts w:ascii="Arial" w:cs="Arial" w:eastAsia="Arial" w:hAnsi="Arial"/>
                <w:sz w:val="18"/>
                <w:szCs w:val="18"/>
                <w:b w:val="1"/>
                <w:bCs w:val="1"/>
                <w:color w:val="auto"/>
              </w:rPr>
              <w:t>22</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39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5</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15</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-2080260</wp:posOffset>
            </wp:positionV>
            <wp:extent cx="102870" cy="162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-2080260</wp:posOffset>
            </wp:positionV>
            <wp:extent cx="93980" cy="162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-2080260</wp:posOffset>
            </wp:positionV>
            <wp:extent cx="93980" cy="162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-1052830</wp:posOffset>
            </wp:positionV>
            <wp:extent cx="10287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-1052830</wp:posOffset>
            </wp:positionV>
            <wp:extent cx="9398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-1052830</wp:posOffset>
            </wp:positionV>
            <wp:extent cx="9398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-333375</wp:posOffset>
            </wp:positionV>
            <wp:extent cx="102870" cy="162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-333375</wp:posOffset>
            </wp:positionV>
            <wp:extent cx="93980" cy="162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-333375</wp:posOffset>
            </wp:positionV>
            <wp:extent cx="93980" cy="162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-24765</wp:posOffset>
            </wp:positionV>
            <wp:extent cx="1028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-7620</wp:posOffset>
            </wp:positionV>
            <wp:extent cx="1028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-24765</wp:posOffset>
            </wp:positionV>
            <wp:extent cx="939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939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9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9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location in the Consolidated Statements of Comprehensive Income affected by reclassifications from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AOCL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40" w:type="dxa"/>
            <w:vAlign w:val="bottom"/>
            <w:tcBorders>
              <w:bottom w:val="single" w:sz="8" w:color="auto"/>
            </w:tcBorders>
            <w:gridSpan w:val="4"/>
          </w:tcPr>
          <w:p>
            <w:pPr>
              <w:ind w:left="1500"/>
              <w:spacing w:after="0"/>
              <w:rPr>
                <w:sz w:val="20"/>
                <w:szCs w:val="20"/>
                <w:color w:val="auto"/>
              </w:rPr>
            </w:pPr>
            <w:r>
              <w:rPr>
                <w:rFonts w:ascii="Arial" w:cs="Arial" w:eastAsia="Arial" w:hAnsi="Arial"/>
                <w:sz w:val="14"/>
                <w:szCs w:val="14"/>
                <w:b w:val="1"/>
                <w:bCs w:val="1"/>
                <w:color w:val="auto"/>
              </w:rPr>
              <w:t>For the year ended December 31, 2020</w:t>
            </w:r>
          </w:p>
        </w:tc>
      </w:tr>
      <w:tr>
        <w:trPr>
          <w:trHeight w:val="160"/>
        </w:trPr>
        <w:tc>
          <w:tcPr>
            <w:tcW w:w="4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Affected line item in the</w:t>
            </w:r>
          </w:p>
        </w:tc>
      </w:tr>
      <w:tr>
        <w:trPr>
          <w:trHeight w:val="162"/>
        </w:trPr>
        <w:tc>
          <w:tcPr>
            <w:tcW w:w="4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jc w:val="center"/>
              <w:ind w:left="221"/>
              <w:spacing w:after="0"/>
              <w:rPr>
                <w:sz w:val="20"/>
                <w:szCs w:val="20"/>
                <w:color w:val="auto"/>
              </w:rPr>
            </w:pPr>
            <w:r>
              <w:rPr>
                <w:rFonts w:ascii="Arial" w:cs="Arial" w:eastAsia="Arial" w:hAnsi="Arial"/>
                <w:sz w:val="14"/>
                <w:szCs w:val="14"/>
                <w:b w:val="1"/>
                <w:bCs w:val="1"/>
                <w:color w:val="auto"/>
              </w:rPr>
              <w:t>Amounts reclassified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 comprehensive</w:t>
            </w:r>
          </w:p>
        </w:tc>
      </w:tr>
      <w:tr>
        <w:trPr>
          <w:trHeight w:val="185"/>
        </w:trPr>
        <w:tc>
          <w:tcPr>
            <w:tcW w:w="4440" w:type="dxa"/>
            <w:vAlign w:val="bottom"/>
          </w:tcPr>
          <w:p>
            <w:pPr>
              <w:ind w:left="2040"/>
              <w:spacing w:after="0"/>
              <w:rPr>
                <w:sz w:val="20"/>
                <w:szCs w:val="20"/>
                <w:color w:val="auto"/>
              </w:rPr>
            </w:pPr>
            <w:r>
              <w:rPr>
                <w:rFonts w:ascii="Arial" w:cs="Arial" w:eastAsia="Arial" w:hAnsi="Arial"/>
                <w:sz w:val="14"/>
                <w:szCs w:val="14"/>
                <w:b w:val="1"/>
                <w:bCs w:val="1"/>
                <w:color w:val="auto"/>
              </w:rPr>
              <w:t>AOCL Components</w:t>
            </w:r>
          </w:p>
        </w:tc>
        <w:tc>
          <w:tcPr>
            <w:tcW w:w="1160" w:type="dxa"/>
            <w:vAlign w:val="bottom"/>
          </w:tcPr>
          <w:p>
            <w:pPr>
              <w:spacing w:after="0"/>
              <w:rPr>
                <w:sz w:val="16"/>
                <w:szCs w:val="16"/>
                <w:color w:val="auto"/>
              </w:rPr>
            </w:pPr>
          </w:p>
        </w:tc>
        <w:tc>
          <w:tcPr>
            <w:tcW w:w="1800" w:type="dxa"/>
            <w:vAlign w:val="bottom"/>
            <w:tcBorders>
              <w:bottom w:val="single" w:sz="8" w:color="auto"/>
            </w:tcBorders>
          </w:tcPr>
          <w:p>
            <w:pPr>
              <w:jc w:val="center"/>
              <w:ind w:left="261"/>
              <w:spacing w:after="0"/>
              <w:rPr>
                <w:sz w:val="20"/>
                <w:szCs w:val="20"/>
                <w:color w:val="auto"/>
              </w:rPr>
            </w:pPr>
            <w:r>
              <w:rPr>
                <w:rFonts w:ascii="Arial" w:cs="Arial" w:eastAsia="Arial" w:hAnsi="Arial"/>
                <w:sz w:val="14"/>
                <w:szCs w:val="14"/>
                <w:b w:val="1"/>
                <w:bCs w:val="1"/>
                <w:color w:val="auto"/>
              </w:rPr>
              <w:t>from AOCL</w:t>
            </w:r>
          </w:p>
        </w:tc>
        <w:tc>
          <w:tcPr>
            <w:tcW w:w="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r>
      <w:tr>
        <w:trPr>
          <w:trHeight w:val="223"/>
        </w:trPr>
        <w:tc>
          <w:tcPr>
            <w:tcW w:w="4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62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(11 )</w:t>
            </w:r>
          </w:p>
        </w:tc>
        <w:tc>
          <w:tcPr>
            <w:tcW w:w="180" w:type="dxa"/>
            <w:vAlign w:val="bottom"/>
            <w:shd w:val="clear" w:color="auto" w:fill="CFF0FC"/>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r>
      <w:tr>
        <w:trPr>
          <w:trHeight w:val="229"/>
        </w:trPr>
        <w:tc>
          <w:tcPr>
            <w:tcW w:w="444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16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(expense) income, net</w:t>
            </w:r>
          </w:p>
        </w:tc>
      </w:tr>
      <w:tr>
        <w:trPr>
          <w:trHeight w:val="22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reclassifications, before tax</w:t>
            </w:r>
          </w:p>
        </w:tc>
        <w:tc>
          <w:tcPr>
            <w:tcW w:w="1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16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Income tax expense</w:t>
            </w:r>
          </w:p>
        </w:tc>
      </w:tr>
      <w:tr>
        <w:trPr>
          <w:trHeight w:val="263"/>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reclassifications</w:t>
            </w:r>
          </w:p>
        </w:tc>
        <w:tc>
          <w:tcPr>
            <w:tcW w:w="1160" w:type="dxa"/>
            <w:vAlign w:val="bottom"/>
            <w:tcBorders>
              <w:bottom w:val="single" w:sz="8" w:color="CFF0FC"/>
            </w:tcBorders>
            <w:shd w:val="clear" w:color="auto" w:fill="CFF0FC"/>
          </w:tcPr>
          <w:p>
            <w:pPr>
              <w:spacing w:after="0"/>
              <w:rPr>
                <w:sz w:val="22"/>
                <w:szCs w:val="22"/>
                <w:color w:val="auto"/>
              </w:rPr>
            </w:pPr>
          </w:p>
        </w:tc>
        <w:tc>
          <w:tcPr>
            <w:tcW w:w="1800" w:type="dxa"/>
            <w:vAlign w:val="bottom"/>
            <w:tcBorders>
              <w:bottom w:val="single" w:sz="8" w:color="auto"/>
            </w:tcBorders>
            <w:shd w:val="clear" w:color="auto" w:fill="CFF0FC"/>
          </w:tcPr>
          <w:p>
            <w:pPr>
              <w:jc w:val="right"/>
              <w:ind w:right="162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2"/>
                <w:szCs w:val="22"/>
                <w:color w:val="auto"/>
              </w:rPr>
            </w:pPr>
          </w:p>
        </w:tc>
        <w:tc>
          <w:tcPr>
            <w:tcW w:w="3240" w:type="dxa"/>
            <w:vAlign w:val="bottom"/>
            <w:tcBorders>
              <w:bottom w:val="single" w:sz="8" w:color="CFF0FC"/>
            </w:tcBorders>
            <w:shd w:val="clear" w:color="auto" w:fill="CFF0FC"/>
          </w:tcPr>
          <w:p>
            <w:pPr>
              <w:spacing w:after="0"/>
              <w:rPr>
                <w:sz w:val="22"/>
                <w:szCs w:val="22"/>
                <w:color w:val="auto"/>
              </w:rPr>
            </w:pPr>
          </w:p>
        </w:tc>
      </w:tr>
      <w:tr>
        <w:trPr>
          <w:trHeight w:val="358"/>
        </w:trPr>
        <w:tc>
          <w:tcPr>
            <w:tcW w:w="4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40" w:type="dxa"/>
            <w:vAlign w:val="bottom"/>
            <w:tcBorders>
              <w:bottom w:val="single" w:sz="8" w:color="auto"/>
            </w:tcBorders>
            <w:gridSpan w:val="4"/>
          </w:tcPr>
          <w:p>
            <w:pPr>
              <w:ind w:left="1500"/>
              <w:spacing w:after="0"/>
              <w:rPr>
                <w:sz w:val="20"/>
                <w:szCs w:val="20"/>
                <w:color w:val="auto"/>
              </w:rPr>
            </w:pPr>
            <w:r>
              <w:rPr>
                <w:rFonts w:ascii="Arial" w:cs="Arial" w:eastAsia="Arial" w:hAnsi="Arial"/>
                <w:sz w:val="14"/>
                <w:szCs w:val="14"/>
                <w:b w:val="1"/>
                <w:bCs w:val="1"/>
                <w:color w:val="auto"/>
              </w:rPr>
              <w:t>For the year ended December 31, 2021</w:t>
            </w:r>
          </w:p>
        </w:tc>
      </w:tr>
      <w:tr>
        <w:trPr>
          <w:trHeight w:val="160"/>
        </w:trPr>
        <w:tc>
          <w:tcPr>
            <w:tcW w:w="4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Affected line item in the</w:t>
            </w:r>
          </w:p>
        </w:tc>
      </w:tr>
      <w:tr>
        <w:trPr>
          <w:trHeight w:val="162"/>
        </w:trPr>
        <w:tc>
          <w:tcPr>
            <w:tcW w:w="4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jc w:val="center"/>
              <w:ind w:left="221"/>
              <w:spacing w:after="0"/>
              <w:rPr>
                <w:sz w:val="20"/>
                <w:szCs w:val="20"/>
                <w:color w:val="auto"/>
              </w:rPr>
            </w:pPr>
            <w:r>
              <w:rPr>
                <w:rFonts w:ascii="Arial" w:cs="Arial" w:eastAsia="Arial" w:hAnsi="Arial"/>
                <w:sz w:val="14"/>
                <w:szCs w:val="14"/>
                <w:b w:val="1"/>
                <w:bCs w:val="1"/>
                <w:color w:val="auto"/>
              </w:rPr>
              <w:t>Amounts reclassified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 comprehensive</w:t>
            </w:r>
          </w:p>
        </w:tc>
      </w:tr>
      <w:tr>
        <w:trPr>
          <w:trHeight w:val="185"/>
        </w:trPr>
        <w:tc>
          <w:tcPr>
            <w:tcW w:w="4440" w:type="dxa"/>
            <w:vAlign w:val="bottom"/>
          </w:tcPr>
          <w:p>
            <w:pPr>
              <w:ind w:left="2040"/>
              <w:spacing w:after="0"/>
              <w:rPr>
                <w:sz w:val="20"/>
                <w:szCs w:val="20"/>
                <w:color w:val="auto"/>
              </w:rPr>
            </w:pPr>
            <w:r>
              <w:rPr>
                <w:rFonts w:ascii="Arial" w:cs="Arial" w:eastAsia="Arial" w:hAnsi="Arial"/>
                <w:sz w:val="14"/>
                <w:szCs w:val="14"/>
                <w:b w:val="1"/>
                <w:bCs w:val="1"/>
                <w:color w:val="auto"/>
              </w:rPr>
              <w:t>AOCL Components</w:t>
            </w:r>
          </w:p>
        </w:tc>
        <w:tc>
          <w:tcPr>
            <w:tcW w:w="1160" w:type="dxa"/>
            <w:vAlign w:val="bottom"/>
          </w:tcPr>
          <w:p>
            <w:pPr>
              <w:spacing w:after="0"/>
              <w:rPr>
                <w:sz w:val="16"/>
                <w:szCs w:val="16"/>
                <w:color w:val="auto"/>
              </w:rPr>
            </w:pPr>
          </w:p>
        </w:tc>
        <w:tc>
          <w:tcPr>
            <w:tcW w:w="1800" w:type="dxa"/>
            <w:vAlign w:val="bottom"/>
            <w:tcBorders>
              <w:bottom w:val="single" w:sz="8" w:color="auto"/>
            </w:tcBorders>
          </w:tcPr>
          <w:p>
            <w:pPr>
              <w:jc w:val="center"/>
              <w:ind w:left="261"/>
              <w:spacing w:after="0"/>
              <w:rPr>
                <w:sz w:val="20"/>
                <w:szCs w:val="20"/>
                <w:color w:val="auto"/>
              </w:rPr>
            </w:pPr>
            <w:r>
              <w:rPr>
                <w:rFonts w:ascii="Arial" w:cs="Arial" w:eastAsia="Arial" w:hAnsi="Arial"/>
                <w:sz w:val="14"/>
                <w:szCs w:val="14"/>
                <w:b w:val="1"/>
                <w:bCs w:val="1"/>
                <w:color w:val="auto"/>
              </w:rPr>
              <w:t>from AOCL</w:t>
            </w:r>
          </w:p>
        </w:tc>
        <w:tc>
          <w:tcPr>
            <w:tcW w:w="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r>
      <w:tr>
        <w:trPr>
          <w:trHeight w:val="223"/>
        </w:trPr>
        <w:tc>
          <w:tcPr>
            <w:tcW w:w="4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62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(15 )</w:t>
            </w:r>
          </w:p>
        </w:tc>
        <w:tc>
          <w:tcPr>
            <w:tcW w:w="180" w:type="dxa"/>
            <w:vAlign w:val="bottom"/>
            <w:shd w:val="clear" w:color="auto" w:fill="CFF0FC"/>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r>
      <w:tr>
        <w:trPr>
          <w:trHeight w:val="229"/>
        </w:trPr>
        <w:tc>
          <w:tcPr>
            <w:tcW w:w="444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(expense) income, net</w:t>
            </w:r>
          </w:p>
        </w:tc>
      </w:tr>
      <w:tr>
        <w:trPr>
          <w:trHeight w:val="229"/>
        </w:trPr>
        <w:tc>
          <w:tcPr>
            <w:tcW w:w="4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Recognized actuarial loss</w:t>
            </w:r>
          </w:p>
        </w:tc>
        <w:tc>
          <w:tcPr>
            <w:tcW w:w="116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FF0FC"/>
            </w:tcBorders>
            <w:shd w:val="clear" w:color="auto" w:fill="CFF0FC"/>
          </w:tcPr>
          <w:p>
            <w:pPr>
              <w:spacing w:after="0"/>
              <w:rPr>
                <w:sz w:val="19"/>
                <w:szCs w:val="19"/>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(expense) income, net</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 reclassifications, before tax</w:t>
            </w:r>
          </w:p>
        </w:tc>
        <w:tc>
          <w:tcPr>
            <w:tcW w:w="1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Income before income taxes</w:t>
            </w:r>
          </w:p>
        </w:tc>
      </w:tr>
      <w:tr>
        <w:trPr>
          <w:trHeight w:val="229"/>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116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19"/>
                <w:szCs w:val="19"/>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 reclassifications</w:t>
            </w:r>
          </w:p>
        </w:tc>
        <w:tc>
          <w:tcPr>
            <w:tcW w:w="1160" w:type="dxa"/>
            <w:vAlign w:val="bottom"/>
          </w:tcPr>
          <w:p>
            <w:pPr>
              <w:spacing w:after="0"/>
              <w:rPr>
                <w:sz w:val="19"/>
                <w:szCs w:val="19"/>
                <w:color w:val="auto"/>
              </w:rPr>
            </w:pPr>
          </w:p>
        </w:tc>
        <w:tc>
          <w:tcPr>
            <w:tcW w:w="1800" w:type="dxa"/>
            <w:vAlign w:val="bottom"/>
            <w:tcBorders>
              <w:bottom w:val="single" w:sz="8" w:color="auto"/>
            </w:tcBorders>
          </w:tcPr>
          <w:p>
            <w:pPr>
              <w:jc w:val="right"/>
              <w:ind w:right="162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632"/>
        </w:trPr>
        <w:tc>
          <w:tcPr>
            <w:tcW w:w="4440" w:type="dxa"/>
            <w:vAlign w:val="bottom"/>
          </w:tcPr>
          <w:p>
            <w:pPr>
              <w:spacing w:after="0"/>
              <w:rPr>
                <w:sz w:val="24"/>
                <w:szCs w:val="24"/>
                <w:color w:val="auto"/>
              </w:rPr>
            </w:pPr>
          </w:p>
        </w:tc>
        <w:tc>
          <w:tcPr>
            <w:tcW w:w="2960" w:type="dxa"/>
            <w:vAlign w:val="bottom"/>
            <w:gridSpan w:val="2"/>
          </w:tcPr>
          <w:p>
            <w:pPr>
              <w:jc w:val="right"/>
              <w:ind w:right="1601"/>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4"/>
        </w:trPr>
        <w:tc>
          <w:tcPr>
            <w:tcW w:w="44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-2002790</wp:posOffset>
            </wp:positionV>
            <wp:extent cx="1111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-1985645</wp:posOffset>
            </wp:positionV>
            <wp:extent cx="1111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-958215</wp:posOffset>
            </wp:positionV>
            <wp:extent cx="111125"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-658495</wp:posOffset>
            </wp:positionV>
            <wp:extent cx="111125" cy="179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5640" w:type="dxa"/>
            <w:vAlign w:val="bottom"/>
            <w:tcBorders>
              <w:bottom w:val="single" w:sz="8" w:color="auto"/>
            </w:tcBorders>
            <w:gridSpan w:val="4"/>
          </w:tcPr>
          <w:p>
            <w:pPr>
              <w:ind w:left="1500"/>
              <w:spacing w:after="0"/>
              <w:rPr>
                <w:sz w:val="20"/>
                <w:szCs w:val="20"/>
                <w:color w:val="auto"/>
              </w:rPr>
            </w:pPr>
            <w:r>
              <w:rPr>
                <w:rFonts w:ascii="Arial" w:cs="Arial" w:eastAsia="Arial" w:hAnsi="Arial"/>
                <w:sz w:val="14"/>
                <w:szCs w:val="14"/>
                <w:b w:val="1"/>
                <w:bCs w:val="1"/>
                <w:color w:val="auto"/>
              </w:rPr>
              <w:t>For the year ended December 31, 2022</w:t>
            </w:r>
          </w:p>
        </w:tc>
      </w:tr>
      <w:tr>
        <w:trPr>
          <w:trHeight w:val="160"/>
        </w:trPr>
        <w:tc>
          <w:tcPr>
            <w:tcW w:w="56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Affected line item in the</w:t>
            </w:r>
          </w:p>
        </w:tc>
      </w:tr>
      <w:tr>
        <w:trPr>
          <w:trHeight w:val="162"/>
        </w:trPr>
        <w:tc>
          <w:tcPr>
            <w:tcW w:w="56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Amounts reclassified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w:t>
            </w:r>
          </w:p>
        </w:tc>
      </w:tr>
      <w:tr>
        <w:trPr>
          <w:trHeight w:val="185"/>
        </w:trPr>
        <w:tc>
          <w:tcPr>
            <w:tcW w:w="5600" w:type="dxa"/>
            <w:vAlign w:val="bottom"/>
          </w:tcPr>
          <w:p>
            <w:pPr>
              <w:ind w:left="2040"/>
              <w:spacing w:after="0"/>
              <w:rPr>
                <w:sz w:val="20"/>
                <w:szCs w:val="20"/>
                <w:color w:val="auto"/>
              </w:rPr>
            </w:pPr>
            <w:r>
              <w:rPr>
                <w:rFonts w:ascii="Arial" w:cs="Arial" w:eastAsia="Arial" w:hAnsi="Arial"/>
                <w:sz w:val="14"/>
                <w:szCs w:val="14"/>
                <w:b w:val="1"/>
                <w:bCs w:val="1"/>
                <w:color w:val="auto"/>
              </w:rPr>
              <w:t>AOCL Components</w:t>
            </w:r>
          </w:p>
        </w:tc>
        <w:tc>
          <w:tcPr>
            <w:tcW w:w="1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from AOCL</w:t>
            </w:r>
          </w:p>
        </w:tc>
        <w:tc>
          <w:tcPr>
            <w:tcW w:w="3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comprehensive income</w:t>
            </w:r>
          </w:p>
        </w:tc>
      </w:tr>
      <w:tr>
        <w:trPr>
          <w:trHeight w:val="223"/>
        </w:trPr>
        <w:tc>
          <w:tcPr>
            <w:tcW w:w="5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40" w:type="dxa"/>
            <w:vAlign w:val="bottom"/>
            <w:shd w:val="clear" w:color="auto" w:fill="CFF0FC"/>
          </w:tcPr>
          <w:p>
            <w:pPr>
              <w:jc w:val="right"/>
              <w:ind w:right="1661"/>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c>
          <w:tcPr>
            <w:tcW w:w="180" w:type="dxa"/>
            <w:vAlign w:val="bottom"/>
            <w:shd w:val="clear" w:color="auto" w:fill="CFF0FC"/>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r>
      <w:tr>
        <w:trPr>
          <w:trHeight w:val="229"/>
        </w:trPr>
        <w:tc>
          <w:tcPr>
            <w:tcW w:w="560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84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(expense) income, net</w:t>
            </w:r>
          </w:p>
        </w:tc>
      </w:tr>
      <w:tr>
        <w:trPr>
          <w:trHeight w:val="229"/>
        </w:trPr>
        <w:tc>
          <w:tcPr>
            <w:tcW w:w="5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Recognized actuarial loss</w:t>
            </w:r>
          </w:p>
        </w:tc>
        <w:tc>
          <w:tcPr>
            <w:tcW w:w="1840" w:type="dxa"/>
            <w:vAlign w:val="bottom"/>
            <w:shd w:val="clear" w:color="auto" w:fill="CFF0FC"/>
          </w:tcPr>
          <w:p>
            <w:pPr>
              <w:spacing w:after="0"/>
              <w:rPr>
                <w:sz w:val="19"/>
                <w:szCs w:val="19"/>
                <w:color w:val="auto"/>
              </w:rPr>
            </w:pPr>
          </w:p>
        </w:tc>
        <w:tc>
          <w:tcPr>
            <w:tcW w:w="3800" w:type="dxa"/>
            <w:vAlign w:val="bottom"/>
            <w:gridSpan w:val="3"/>
            <w:shd w:val="clear" w:color="auto" w:fill="CFF0FC"/>
          </w:tcPr>
          <w:p>
            <w:pPr>
              <w:ind w:left="100"/>
              <w:spacing w:after="0"/>
              <w:rPr>
                <w:sz w:val="20"/>
                <w:szCs w:val="20"/>
                <w:color w:val="auto"/>
              </w:rPr>
            </w:pPr>
            <w:r>
              <w:rPr>
                <w:rFonts w:ascii="Arial" w:cs="Arial" w:eastAsia="Arial" w:hAnsi="Arial"/>
                <w:sz w:val="18"/>
                <w:szCs w:val="18"/>
                <w:b w:val="1"/>
                <w:bCs w:val="1"/>
                <w:color w:val="auto"/>
              </w:rPr>
              <w:t xml:space="preserve">(1 )  </w:t>
            </w:r>
            <w:r>
              <w:rPr>
                <w:rFonts w:ascii="Arial" w:cs="Arial" w:eastAsia="Arial" w:hAnsi="Arial"/>
                <w:sz w:val="18"/>
                <w:szCs w:val="18"/>
                <w:color w:val="auto"/>
              </w:rPr>
              <w:t>Other (expense) income, net</w:t>
            </w:r>
          </w:p>
        </w:tc>
      </w:tr>
      <w:tr>
        <w:trPr>
          <w:trHeight w:val="223"/>
        </w:trPr>
        <w:tc>
          <w:tcPr>
            <w:tcW w:w="5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reclassifications, before tax</w:t>
            </w:r>
          </w:p>
        </w:tc>
        <w:tc>
          <w:tcPr>
            <w:tcW w:w="18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180" w:type="dxa"/>
            <w:vAlign w:val="bottom"/>
            <w:tcBorders>
              <w:top w:val="single" w:sz="8" w:color="CFF0FC"/>
            </w:tcBorders>
          </w:tcPr>
          <w:p>
            <w:pPr>
              <w:spacing w:after="0"/>
              <w:rPr>
                <w:sz w:val="19"/>
                <w:szCs w:val="19"/>
                <w:color w:val="auto"/>
              </w:rPr>
            </w:pPr>
          </w:p>
        </w:tc>
        <w:tc>
          <w:tcPr>
            <w:tcW w:w="3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Income before income taxes</w:t>
            </w:r>
          </w:p>
        </w:tc>
      </w:tr>
      <w:tr>
        <w:trPr>
          <w:trHeight w:val="229"/>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8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80" w:type="dxa"/>
            <w:vAlign w:val="bottom"/>
            <w:tcBorders>
              <w:bottom w:val="single" w:sz="8" w:color="CFF0FC"/>
            </w:tcBorders>
            <w:shd w:val="clear" w:color="auto" w:fill="CFF0FC"/>
          </w:tcPr>
          <w:p>
            <w:pPr>
              <w:spacing w:after="0"/>
              <w:rPr>
                <w:sz w:val="19"/>
                <w:szCs w:val="19"/>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 reclassifications</w:t>
            </w:r>
          </w:p>
        </w:tc>
        <w:tc>
          <w:tcPr>
            <w:tcW w:w="1840" w:type="dxa"/>
            <w:vAlign w:val="bottom"/>
            <w:tcBorders>
              <w:bottom w:val="single" w:sz="8" w:color="auto"/>
            </w:tcBorders>
          </w:tcPr>
          <w:p>
            <w:pPr>
              <w:jc w:val="right"/>
              <w:ind w:right="1661"/>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-478790</wp:posOffset>
            </wp:positionV>
            <wp:extent cx="111125" cy="1543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-179070</wp:posOffset>
            </wp:positionV>
            <wp:extent cx="111125" cy="1797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150" w:lineRule="exact"/>
        <w:rPr>
          <w:sz w:val="20"/>
          <w:szCs w:val="20"/>
          <w:color w:val="auto"/>
        </w:rPr>
      </w:pPr>
    </w:p>
    <w:p>
      <w:pPr>
        <w:ind w:right="360" w:firstLine="494"/>
        <w:spacing w:after="0" w:line="246" w:lineRule="auto"/>
        <w:rPr>
          <w:sz w:val="20"/>
          <w:szCs w:val="20"/>
          <w:color w:val="auto"/>
        </w:rPr>
      </w:pPr>
      <w:r>
        <w:rPr>
          <w:rFonts w:ascii="Arial" w:cs="Arial" w:eastAsia="Arial" w:hAnsi="Arial"/>
          <w:sz w:val="18"/>
          <w:szCs w:val="18"/>
          <w:color w:val="auto"/>
        </w:rPr>
        <w:t>The Company revised its disclosure of amounts reclassified from AOCL related to its interest rate swaps and the income tax benefit (expense) attributed to those reclassifications for the periods ended December 31, 2021 and 2020, which resulted in a decrease to the previously disclosed total reclassifications from AOCL. The Company believes these revisions to the disclosures are immaterial to the consolidated financial statements.</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15.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 for additional details.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5" w:lineRule="exact"/>
        <w:rPr>
          <w:sz w:val="20"/>
          <w:szCs w:val="20"/>
          <w:color w:val="auto"/>
        </w:rPr>
      </w:pPr>
    </w:p>
    <w:p>
      <w:pPr>
        <w:ind w:right="840" w:firstLine="494"/>
        <w:spacing w:after="0" w:line="252" w:lineRule="auto"/>
        <w:rPr>
          <w:sz w:val="20"/>
          <w:szCs w:val="20"/>
          <w:color w:val="auto"/>
        </w:rPr>
      </w:pPr>
      <w:r>
        <w:rPr>
          <w:rFonts w:ascii="Arial" w:cs="Arial" w:eastAsia="Arial" w:hAnsi="Arial"/>
          <w:sz w:val="18"/>
          <w:szCs w:val="18"/>
          <w:color w:val="auto"/>
        </w:rPr>
        <w:t>The Company has an agreement with the Environmental Protection Agency to perform remedial activities at the Company’s Indianapolis, Indiana manufacturing facilities related to historical soil and groundwater contamination. As of December 31, 2022, the Company had a liability recorded in the amount of $3 million.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55" w:lineRule="exact"/>
        <w:rPr>
          <w:sz w:val="20"/>
          <w:szCs w:val="20"/>
          <w:color w:val="auto"/>
        </w:rPr>
      </w:pPr>
    </w:p>
    <w:p>
      <w:pPr>
        <w:ind w:right="280" w:firstLine="494"/>
        <w:spacing w:after="0" w:line="243"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CONCENTRATION OF RISK</w:t>
      </w:r>
    </w:p>
    <w:p>
      <w:pPr>
        <w:spacing w:after="0" w:line="157" w:lineRule="exact"/>
        <w:rPr>
          <w:sz w:val="20"/>
          <w:szCs w:val="20"/>
          <w:color w:val="auto"/>
        </w:rPr>
      </w:pPr>
    </w:p>
    <w:p>
      <w:pPr>
        <w:ind w:right="320" w:firstLine="494"/>
        <w:spacing w:after="0" w:line="246" w:lineRule="auto"/>
        <w:rPr>
          <w:sz w:val="20"/>
          <w:szCs w:val="20"/>
          <w:color w:val="auto"/>
        </w:rPr>
      </w:pPr>
      <w:r>
        <w:rPr>
          <w:rFonts w:ascii="Arial" w:cs="Arial" w:eastAsia="Arial" w:hAnsi="Arial"/>
          <w:sz w:val="18"/>
          <w:szCs w:val="18"/>
          <w:color w:val="auto"/>
        </w:rPr>
        <w:t>As of December 31, 2022 and 2021, the Company employed approximately 3,500 and 3,400 employees, respectively, with 89% and 90%, respectively, of those employees in the U.S. Approximately 46% of the Company’s U.S. employees were represented by unions and subject to a collective bargaining agreement as of December 31, 2022 and 2021. The Company is currently operating under a collective bargaining agreement with UAW Local 933 that expires in November 2023.</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Three customers accounted for 10% or more of net sales within the last three years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3260" w:type="dxa"/>
            <w:vAlign w:val="bottom"/>
            <w:tcBorders>
              <w:bottom w:val="single" w:sz="8" w:color="auto"/>
            </w:tcBorders>
            <w:gridSpan w:val="4"/>
          </w:tcPr>
          <w:p>
            <w:pPr>
              <w:jc w:val="center"/>
              <w:ind w:left="1317"/>
              <w:spacing w:after="0"/>
              <w:rPr>
                <w:sz w:val="20"/>
                <w:szCs w:val="20"/>
                <w:color w:val="auto"/>
              </w:rPr>
            </w:pPr>
            <w:r>
              <w:rPr>
                <w:rFonts w:ascii="Arial" w:cs="Arial" w:eastAsia="Arial" w:hAnsi="Arial"/>
                <w:sz w:val="14"/>
                <w:szCs w:val="14"/>
                <w:b w:val="1"/>
                <w:bCs w:val="1"/>
                <w:color w:val="auto"/>
              </w:rPr>
              <w:t>Years ended December 31,</w:t>
            </w:r>
          </w:p>
        </w:tc>
        <w:tc>
          <w:tcPr>
            <w:tcW w:w="1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6480" w:type="dxa"/>
            <w:vAlign w:val="bottom"/>
          </w:tcPr>
          <w:p>
            <w:pPr>
              <w:ind w:left="20"/>
              <w:spacing w:after="0"/>
              <w:rPr>
                <w:sz w:val="20"/>
                <w:szCs w:val="20"/>
                <w:color w:val="auto"/>
              </w:rPr>
            </w:pPr>
            <w:r>
              <w:rPr>
                <w:rFonts w:ascii="Arial" w:cs="Arial" w:eastAsia="Arial" w:hAnsi="Arial"/>
                <w:sz w:val="14"/>
                <w:szCs w:val="14"/>
                <w:i w:val="1"/>
                <w:iCs w:val="1"/>
                <w:color w:val="auto"/>
              </w:rPr>
              <w:t>% of net sales</w:t>
            </w:r>
          </w:p>
        </w:tc>
        <w:tc>
          <w:tcPr>
            <w:tcW w:w="15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color w:val="auto"/>
              </w:rPr>
              <w:t>Daimler AG</w:t>
            </w:r>
          </w:p>
        </w:tc>
        <w:tc>
          <w:tcPr>
            <w:tcW w:w="164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20 %</w:t>
            </w:r>
          </w:p>
        </w:tc>
        <w:tc>
          <w:tcPr>
            <w:tcW w:w="16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20 %</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20 %</w:t>
            </w:r>
          </w:p>
        </w:tc>
      </w:tr>
      <w:tr>
        <w:trPr>
          <w:trHeight w:val="256"/>
        </w:trPr>
        <w:tc>
          <w:tcPr>
            <w:tcW w:w="6480" w:type="dxa"/>
            <w:vAlign w:val="bottom"/>
          </w:tcPr>
          <w:p>
            <w:pPr>
              <w:ind w:left="20"/>
              <w:spacing w:after="0" w:line="256" w:lineRule="exact"/>
              <w:rPr>
                <w:sz w:val="20"/>
                <w:szCs w:val="20"/>
                <w:color w:val="auto"/>
              </w:rPr>
            </w:pPr>
            <w:r>
              <w:rPr>
                <w:rFonts w:ascii="Arial" w:cs="Arial" w:eastAsia="Arial" w:hAnsi="Arial"/>
                <w:sz w:val="18"/>
                <w:szCs w:val="18"/>
                <w:color w:val="auto"/>
              </w:rPr>
              <w:t>Traton SE</w:t>
            </w:r>
            <w:r>
              <w:rPr>
                <w:rFonts w:ascii="Arial" w:cs="Arial" w:eastAsia="Arial" w:hAnsi="Arial"/>
                <w:sz w:val="24"/>
                <w:szCs w:val="24"/>
                <w:color w:val="auto"/>
                <w:vertAlign w:val="superscript"/>
              </w:rPr>
              <w:t>1</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10 %</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PACCAR Inc.</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9 %</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500" w:right="840" w:hanging="371"/>
        <w:spacing w:after="0" w:line="218" w:lineRule="auto"/>
        <w:tabs>
          <w:tab w:leader="none" w:pos="50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Traton SE acquired Navistar International Corporation in July 2021. Percentages for 2022 and 2021 include net sales to Traton SE and Navistar International Corporation. Percentages for 2020 include net sales to Navistar International Corporation only</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Two customers accounted for 10% or more of outstanding accounts receivable within the last two years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700" w:type="dxa"/>
            <w:vAlign w:val="bottom"/>
          </w:tcPr>
          <w:p>
            <w:pPr>
              <w:jc w:val="center"/>
              <w:ind w:left="188"/>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 December 31,</w:t>
            </w:r>
          </w:p>
        </w:tc>
      </w:tr>
      <w:tr>
        <w:trPr>
          <w:trHeight w:val="185"/>
        </w:trPr>
        <w:tc>
          <w:tcPr>
            <w:tcW w:w="7020" w:type="dxa"/>
            <w:vAlign w:val="bottom"/>
          </w:tcPr>
          <w:p>
            <w:pPr>
              <w:ind w:left="20"/>
              <w:spacing w:after="0"/>
              <w:rPr>
                <w:sz w:val="20"/>
                <w:szCs w:val="20"/>
                <w:color w:val="auto"/>
              </w:rPr>
            </w:pPr>
            <w:r>
              <w:rPr>
                <w:rFonts w:ascii="Arial" w:cs="Arial" w:eastAsia="Arial" w:hAnsi="Arial"/>
                <w:sz w:val="14"/>
                <w:szCs w:val="14"/>
                <w:i w:val="1"/>
                <w:iCs w:val="1"/>
                <w:color w:val="auto"/>
              </w:rPr>
              <w:t>% of accounts receivable</w:t>
            </w:r>
          </w:p>
        </w:tc>
        <w:tc>
          <w:tcPr>
            <w:tcW w:w="17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Daimler AG</w:t>
            </w:r>
          </w:p>
        </w:tc>
        <w:tc>
          <w:tcPr>
            <w:tcW w:w="17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17 %</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Traton SE</w:t>
            </w:r>
          </w:p>
        </w:tc>
        <w:tc>
          <w:tcPr>
            <w:tcW w:w="170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11 %</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45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supplier accounted for 10% or more of materials purchased during the years ended December 31, 2022, 2021 or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COMMON STOCK</w:t>
      </w:r>
    </w:p>
    <w:p>
      <w:pPr>
        <w:spacing w:after="0" w:line="157" w:lineRule="exact"/>
        <w:rPr>
          <w:sz w:val="20"/>
          <w:szCs w:val="20"/>
          <w:color w:val="auto"/>
        </w:rPr>
      </w:pPr>
    </w:p>
    <w:p>
      <w:pPr>
        <w:jc w:val="both"/>
        <w:ind w:right="220" w:firstLine="494"/>
        <w:spacing w:after="0" w:line="252" w:lineRule="auto"/>
        <w:rPr>
          <w:sz w:val="20"/>
          <w:szCs w:val="20"/>
          <w:color w:val="auto"/>
        </w:rPr>
      </w:pPr>
      <w:r>
        <w:rPr>
          <w:rFonts w:ascii="Arial" w:cs="Arial" w:eastAsia="Arial" w:hAnsi="Arial"/>
          <w:sz w:val="18"/>
          <w:szCs w:val="18"/>
          <w:color w:val="auto"/>
        </w:rPr>
        <w:t>The Company's current stock repurchase program (the "Repurchase Program") was authorized by the Board of Directors in 2016. On February 24, 2022, the Board of Directors authorized the Company to repurchase an additional $1,000 million of its common stock, bringing the total amount authorized under the Repurchase Program to $4,000 million.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During 2022, the Company repurchased approximately $278 million of its common stock under the Repurchase Program, leaving</w:t>
      </w:r>
    </w:p>
    <w:p>
      <w:pPr>
        <w:spacing w:after="0" w:line="1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$1,035 million of authorized repurchases remaining under the Repurchase Program as of December 31, 2022.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157"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shd w:val="clear" w:color="auto" w:fill="CFF0FC"/>
          </w:tcPr>
          <w:p>
            <w:pPr>
              <w:jc w:val="right"/>
              <w:ind w:right="715"/>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531</w:t>
            </w:r>
          </w:p>
        </w:tc>
        <w:tc>
          <w:tcPr>
            <w:tcW w:w="14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442</w:t>
            </w:r>
          </w:p>
        </w:tc>
        <w:tc>
          <w:tcPr>
            <w:tcW w:w="1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effect stock-based awards</w:t>
            </w: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Diluted weighted average shares of common stock outstanding</w:t>
            </w:r>
          </w:p>
        </w:tc>
        <w:tc>
          <w:tcPr>
            <w:tcW w:w="9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900" w:type="dxa"/>
            <w:vAlign w:val="bottom"/>
            <w:tcBorders>
              <w:top w:val="single" w:sz="8" w:color="auto"/>
              <w:bottom w:val="single" w:sz="8" w:color="auto"/>
            </w:tcBorders>
            <w:shd w:val="clear" w:color="auto" w:fill="CFF0FC"/>
          </w:tcPr>
          <w:p>
            <w:pPr>
              <w:jc w:val="right"/>
              <w:ind w:right="715"/>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5.53</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4.13</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77"/>
        </w:trPr>
        <w:tc>
          <w:tcPr>
            <w:tcW w:w="6620" w:type="dxa"/>
            <w:vAlign w:val="bottom"/>
          </w:tcPr>
          <w:p>
            <w:pPr>
              <w:ind w:left="280"/>
              <w:spacing w:after="0" w:line="177" w:lineRule="exact"/>
              <w:rPr>
                <w:sz w:val="20"/>
                <w:szCs w:val="20"/>
                <w:color w:val="auto"/>
              </w:rPr>
            </w:pPr>
            <w:r>
              <w:rPr>
                <w:rFonts w:ascii="Arial" w:cs="Arial" w:eastAsia="Arial" w:hAnsi="Arial"/>
                <w:sz w:val="18"/>
                <w:szCs w:val="18"/>
                <w:color w:val="auto"/>
              </w:rPr>
              <w:t>Diluted earnings per share attributable to common</w:t>
            </w:r>
          </w:p>
        </w:tc>
        <w:tc>
          <w:tcPr>
            <w:tcW w:w="900" w:type="dxa"/>
            <w:vAlign w:val="bottom"/>
            <w:vMerge w:val="restart"/>
          </w:tcPr>
          <w:p>
            <w:pPr>
              <w:jc w:val="right"/>
              <w:ind w:right="715"/>
              <w:spacing w:after="0"/>
              <w:rPr>
                <w:sz w:val="20"/>
                <w:szCs w:val="20"/>
                <w:color w:val="auto"/>
              </w:rPr>
            </w:pPr>
            <w:r>
              <w:rPr>
                <w:rFonts w:ascii="Arial" w:cs="Arial" w:eastAsia="Arial" w:hAnsi="Arial"/>
                <w:sz w:val="18"/>
                <w:szCs w:val="18"/>
                <w:b w:val="1"/>
                <w:bCs w:val="1"/>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5.53</w:t>
            </w:r>
          </w:p>
        </w:tc>
        <w:tc>
          <w:tcPr>
            <w:tcW w:w="580" w:type="dxa"/>
            <w:vAlign w:val="bottom"/>
            <w:gridSpan w:val="3"/>
            <w:vMerge w:val="restart"/>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94"/>
        </w:trPr>
        <w:tc>
          <w:tcPr>
            <w:tcW w:w="6620" w:type="dxa"/>
            <w:vAlign w:val="bottom"/>
          </w:tcPr>
          <w:p>
            <w:pPr>
              <w:ind w:left="420"/>
              <w:spacing w:after="0" w:line="195" w:lineRule="exact"/>
              <w:rPr>
                <w:sz w:val="20"/>
                <w:szCs w:val="20"/>
                <w:color w:val="auto"/>
              </w:rPr>
            </w:pPr>
            <w:r>
              <w:rPr>
                <w:rFonts w:ascii="Arial" w:cs="Arial" w:eastAsia="Arial" w:hAnsi="Arial"/>
                <w:sz w:val="18"/>
                <w:szCs w:val="18"/>
                <w:color w:val="auto"/>
              </w:rPr>
              <w:t>stockholders</w:t>
            </w:r>
          </w:p>
        </w:tc>
        <w:tc>
          <w:tcPr>
            <w:tcW w:w="9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-941070</wp:posOffset>
            </wp:positionV>
            <wp:extent cx="1087120"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087120" cy="17145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-624205</wp:posOffset>
            </wp:positionV>
            <wp:extent cx="93980"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-624205</wp:posOffset>
            </wp:positionV>
            <wp:extent cx="85725"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-299085</wp:posOffset>
            </wp:positionV>
            <wp:extent cx="1087120" cy="2997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87120" cy="299720"/>
                    </a:xfrm>
                    <a:prstGeom prst="rect">
                      <a:avLst/>
                    </a:prstGeom>
                    <a:noFill/>
                  </pic:spPr>
                </pic:pic>
              </a:graphicData>
            </a:graphic>
          </wp:anchor>
        </w:drawing>
      </w:r>
    </w:p>
    <w:p>
      <w:pPr>
        <w:spacing w:after="0" w:line="123" w:lineRule="exact"/>
        <w:rPr>
          <w:sz w:val="20"/>
          <w:szCs w:val="20"/>
          <w:color w:val="auto"/>
        </w:rPr>
      </w:pPr>
    </w:p>
    <w:p>
      <w:pPr>
        <w:ind w:right="280" w:firstLine="494"/>
        <w:spacing w:after="0"/>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During the years ended December 31, 2022, 2021 and 2020, 2 million, 1 million and 1 million of outstanding stock options were excluded from the diluted EPS calculation because they were anti-dilutive. Basic and diluted EPS for the full-year is calculated using the weighted average shares of common stock outstanding during the year while quarterly basic and diluted EPS is calculated using the weighted average shares of common stock outstanding during the quarter; therefore, the sum of the four quarters’ EPS may not equal full-year EPS.</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GEOGRAPHIC INFORMATION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the following net sales by country, based on the location of the customer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FF0FC"/>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1,706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1,521</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China</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87</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66</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Canada</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70</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Germany</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Mexico</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61</w:t>
            </w: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384</w:t>
            </w: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319</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240</w:t>
            </w:r>
          </w:p>
        </w:tc>
      </w:tr>
      <w:tr>
        <w:trPr>
          <w:trHeight w:val="223"/>
        </w:trPr>
        <w:tc>
          <w:tcPr>
            <w:tcW w:w="6620" w:type="dxa"/>
            <w:vAlign w:val="bottom"/>
          </w:tcPr>
          <w:p>
            <w:pPr>
              <w:ind w:left="28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2,769</w:t>
            </w:r>
          </w:p>
        </w:tc>
        <w:tc>
          <w:tcPr>
            <w:tcW w:w="580" w:type="dxa"/>
            <w:vAlign w:val="bottom"/>
            <w:gridSpan w:val="5"/>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2,081</w:t>
            </w:r>
          </w:p>
        </w:tc>
      </w:tr>
      <w:tr>
        <w:trPr>
          <w:trHeight w:val="20"/>
        </w:trPr>
        <w:tc>
          <w:tcPr>
            <w:tcW w:w="6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89"/>
        </w:trPr>
        <w:tc>
          <w:tcPr>
            <w:tcW w:w="7480" w:type="dxa"/>
            <w:vAlign w:val="bottom"/>
            <w:gridSpan w:val="2"/>
          </w:tcPr>
          <w:p>
            <w:pPr>
              <w:ind w:left="500"/>
              <w:spacing w:after="0"/>
              <w:rPr>
                <w:sz w:val="20"/>
                <w:szCs w:val="20"/>
                <w:color w:val="auto"/>
              </w:rPr>
            </w:pPr>
            <w:r>
              <w:rPr>
                <w:rFonts w:ascii="Arial" w:cs="Arial" w:eastAsia="Arial" w:hAnsi="Arial"/>
                <w:sz w:val="18"/>
                <w:szCs w:val="18"/>
                <w:color w:val="auto"/>
              </w:rPr>
              <w:t>The Company had the following net long-lived assets by country (dollars in millions):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6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2"/>
        </w:trPr>
        <w:tc>
          <w:tcPr>
            <w:tcW w:w="66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730</w:t>
            </w: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spacing w:after="0"/>
              <w:rPr>
                <w:sz w:val="19"/>
                <w:szCs w:val="19"/>
                <w:color w:val="auto"/>
              </w:rPr>
            </w:pPr>
          </w:p>
        </w:tc>
        <w:tc>
          <w:tcPr>
            <w:tcW w:w="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611</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India</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Hungary</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r>
      <w:tr>
        <w:trPr>
          <w:trHeight w:val="263"/>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763</w:t>
            </w:r>
          </w:p>
        </w:tc>
        <w:tc>
          <w:tcPr>
            <w:tcW w:w="1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gridSpan w:val="2"/>
            <w:shd w:val="clear" w:color="auto" w:fill="CFF0FC"/>
          </w:tcPr>
          <w:p>
            <w:pPr>
              <w:spacing w:after="0"/>
              <w:rPr>
                <w:sz w:val="22"/>
                <w:szCs w:val="22"/>
                <w:color w:val="auto"/>
              </w:rPr>
            </w:pPr>
          </w:p>
        </w:tc>
        <w:tc>
          <w:tcPr>
            <w:tcW w:w="32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706</w:t>
            </w:r>
          </w:p>
        </w:tc>
        <w:tc>
          <w:tcPr>
            <w:tcW w:w="1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-1566545</wp:posOffset>
            </wp:positionV>
            <wp:extent cx="93980" cy="179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-1566545</wp:posOffset>
            </wp:positionV>
            <wp:extent cx="93980"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939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939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ACQUISITIONS</w:t>
      </w:r>
    </w:p>
    <w:p>
      <w:pPr>
        <w:spacing w:after="0" w:line="117" w:lineRule="exact"/>
        <w:rPr>
          <w:sz w:val="20"/>
          <w:szCs w:val="20"/>
          <w:color w:val="auto"/>
        </w:rPr>
      </w:pPr>
    </w:p>
    <w:p>
      <w:pPr>
        <w:ind w:right="120" w:firstLine="494"/>
        <w:spacing w:after="0" w:line="266" w:lineRule="auto"/>
        <w:rPr>
          <w:sz w:val="20"/>
          <w:szCs w:val="20"/>
          <w:color w:val="auto"/>
        </w:rPr>
      </w:pPr>
      <w:r>
        <w:rPr>
          <w:rFonts w:ascii="Arial" w:cs="Arial" w:eastAsia="Arial" w:hAnsi="Arial"/>
          <w:sz w:val="17"/>
          <w:szCs w:val="17"/>
          <w:color w:val="auto"/>
        </w:rPr>
        <w:t>On March 31, 2022, the Company acquired transmission portfolio assets of India-based AVTEC Ltd.'s off-highway business and AVTEC's Madras Export Procession Zone off-highway component machining business, for $23 million in cash. The Company accounted for this transaction under the acquisition method in accordance with authoritative guidance on business combinations. Control was obtained as of the purchase date through the purchase agreement. The acquired business was integrated into the Company's single operating segment.</w:t>
      </w:r>
    </w:p>
    <w:p>
      <w:pPr>
        <w:spacing w:after="0" w:line="50"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The purchase price allocation for this transaction resulted in the recognition of goodwill, intangible assets and property, plant and equipment of $13 million, $8 million and $2 million, respectively. The Company has completed its initial accounting for the fair value of the acquired assets and liabilities, and any adjustments identified in the measurement period, which will not exceed one year from the acquisition date, will be accounted for prospectively.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Investments in and advances to subsidiaries</w:t>
            </w: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874</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634</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52"/>
              <w:spacing w:after="0"/>
              <w:rPr>
                <w:sz w:val="20"/>
                <w:szCs w:val="20"/>
                <w:color w:val="auto"/>
              </w:rPr>
            </w:pPr>
            <w:r>
              <w:rPr>
                <w:rFonts w:ascii="Arial" w:cs="Arial" w:eastAsia="Arial" w:hAnsi="Arial"/>
                <w:sz w:val="18"/>
                <w:szCs w:val="18"/>
                <w:b w:val="1"/>
                <w:bCs w:val="1"/>
                <w:color w:val="auto"/>
              </w:rPr>
              <w:t>874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634</w:t>
            </w:r>
          </w:p>
        </w:tc>
      </w:tr>
      <w:tr>
        <w:trPr>
          <w:trHeight w:val="20"/>
        </w:trPr>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Capital stock</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29"/>
        </w:trPr>
        <w:tc>
          <w:tcPr>
            <w:tcW w:w="7640" w:type="dxa"/>
            <w:vAlign w:val="bottom"/>
          </w:tcPr>
          <w:p>
            <w:pPr>
              <w:ind w:left="280"/>
              <w:spacing w:after="0"/>
              <w:rPr>
                <w:sz w:val="20"/>
                <w:szCs w:val="20"/>
                <w:color w:val="auto"/>
              </w:rPr>
            </w:pPr>
            <w:r>
              <w:rPr>
                <w:rFonts w:ascii="Arial" w:cs="Arial" w:eastAsia="Arial" w:hAnsi="Arial"/>
                <w:sz w:val="18"/>
                <w:szCs w:val="18"/>
                <w:color w:val="auto"/>
              </w:rPr>
              <w:t>Paid in capital</w:t>
            </w:r>
          </w:p>
        </w:tc>
        <w:tc>
          <w:tcPr>
            <w:tcW w:w="1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b w:val="1"/>
                <w:bCs w:val="1"/>
                <w:color w:val="auto"/>
              </w:rPr>
              <w:t>1,848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1,832</w:t>
            </w:r>
          </w:p>
        </w:tc>
      </w:tr>
      <w:tr>
        <w:trPr>
          <w:trHeight w:val="22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Treasury stock</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(953 )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(1,126 )</w:t>
            </w:r>
          </w:p>
        </w:tc>
      </w:tr>
      <w:tr>
        <w:trPr>
          <w:trHeight w:val="229"/>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(22 )</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(73 )</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52"/>
              <w:spacing w:after="0"/>
              <w:rPr>
                <w:sz w:val="20"/>
                <w:szCs w:val="20"/>
                <w:color w:val="auto"/>
              </w:rPr>
            </w:pPr>
            <w:r>
              <w:rPr>
                <w:rFonts w:ascii="Arial" w:cs="Arial" w:eastAsia="Arial" w:hAnsi="Arial"/>
                <w:sz w:val="18"/>
                <w:szCs w:val="18"/>
                <w:b w:val="1"/>
                <w:bCs w:val="1"/>
                <w:color w:val="auto"/>
              </w:rPr>
              <w:t>874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634</w:t>
            </w:r>
          </w:p>
        </w:tc>
      </w:tr>
      <w:tr>
        <w:trPr>
          <w:trHeight w:val="20"/>
        </w:trPr>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-1977390</wp:posOffset>
            </wp:positionV>
            <wp:extent cx="102870"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-1677670</wp:posOffset>
            </wp:positionV>
            <wp:extent cx="102870" cy="1797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-1061085</wp:posOffset>
            </wp:positionV>
            <wp:extent cx="10287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-179070</wp:posOffset>
            </wp:positionV>
            <wp:extent cx="10287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FF0FC"/>
          </w:tcPr>
          <w:p>
            <w:pPr>
              <w:jc w:val="right"/>
              <w:ind w:right="735"/>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General and administrative fees</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income</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Equity earnings of consolidated subsidiary</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531</w:t>
            </w: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442</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299</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299</w:t>
            </w: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w:t>
            </w: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299</w:t>
            </w:r>
          </w:p>
        </w:tc>
      </w:tr>
      <w:tr>
        <w:trPr>
          <w:trHeight w:val="20"/>
        </w:trPr>
        <w:tc>
          <w:tcPr>
            <w:tcW w:w="6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920" w:type="dxa"/>
            <w:vAlign w:val="bottom"/>
            <w:tcBorders>
              <w:top w:val="single" w:sz="8" w:color="auto"/>
              <w:bottom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582</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458</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-949960</wp:posOffset>
            </wp:positionV>
            <wp:extent cx="9398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-949960</wp:posOffset>
            </wp:positionV>
            <wp:extent cx="85725"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-650240</wp:posOffset>
            </wp:positionV>
            <wp:extent cx="9398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-650240</wp:posOffset>
            </wp:positionV>
            <wp:extent cx="85725"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-350520</wp:posOffset>
            </wp:positionV>
            <wp:extent cx="93980" cy="1797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-350520</wp:posOffset>
            </wp:positionV>
            <wp:extent cx="85725" cy="1797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939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939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857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857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2"/>
        </w:trPr>
        <w:tc>
          <w:tcPr>
            <w:tcW w:w="66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52"/>
              <w:spacing w:after="0"/>
              <w:rPr>
                <w:sz w:val="20"/>
                <w:szCs w:val="20"/>
                <w:color w:val="auto"/>
              </w:rPr>
            </w:pPr>
            <w:r>
              <w:rPr>
                <w:rFonts w:ascii="Arial" w:cs="Arial" w:eastAsia="Arial" w:hAnsi="Arial"/>
                <w:sz w:val="18"/>
                <w:szCs w:val="18"/>
                <w:b w:val="1"/>
                <w:bCs w:val="1"/>
                <w:color w:val="auto"/>
              </w:rPr>
              <w:t>531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299</w:t>
            </w: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 items included in net income not providing cash:</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600" w:type="dxa"/>
            <w:vAlign w:val="bottom"/>
          </w:tcPr>
          <w:p>
            <w:pPr>
              <w:ind w:left="280"/>
              <w:spacing w:after="0"/>
              <w:rPr>
                <w:sz w:val="20"/>
                <w:szCs w:val="20"/>
                <w:color w:val="auto"/>
              </w:rPr>
            </w:pPr>
            <w:r>
              <w:rPr>
                <w:rFonts w:ascii="Arial" w:cs="Arial" w:eastAsia="Arial" w:hAnsi="Arial"/>
                <w:sz w:val="18"/>
                <w:szCs w:val="18"/>
                <w:color w:val="auto"/>
              </w:rPr>
              <w:t>Equity in earnings in consolidated subsidiary</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(531 )</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(442 )</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(299 )</w:t>
            </w:r>
          </w:p>
        </w:tc>
      </w:tr>
      <w:tr>
        <w:trPr>
          <w:trHeight w:val="223"/>
        </w:trPr>
        <w:tc>
          <w:tcPr>
            <w:tcW w:w="66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Investments in subsidiaries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6600" w:type="dxa"/>
            <w:vAlign w:val="bottom"/>
          </w:tcPr>
          <w:p>
            <w:pPr>
              <w:ind w:left="280"/>
              <w:spacing w:after="0"/>
              <w:rPr>
                <w:sz w:val="20"/>
                <w:szCs w:val="20"/>
                <w:color w:val="auto"/>
              </w:rPr>
            </w:pPr>
            <w:r>
              <w:rPr>
                <w:rFonts w:ascii="Arial" w:cs="Arial" w:eastAsia="Arial" w:hAnsi="Arial"/>
                <w:sz w:val="18"/>
                <w:szCs w:val="18"/>
                <w:color w:val="auto"/>
              </w:rPr>
              <w:t>Dividends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80</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w:t>
            </w:r>
          </w:p>
        </w:tc>
      </w:tr>
      <w:tr>
        <w:trPr>
          <w:trHeight w:val="223"/>
        </w:trPr>
        <w:tc>
          <w:tcPr>
            <w:tcW w:w="66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provided by investing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78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76</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Capital contributions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r>
      <w:tr>
        <w:trPr>
          <w:trHeight w:val="229"/>
        </w:trPr>
        <w:tc>
          <w:tcPr>
            <w:tcW w:w="6600" w:type="dxa"/>
            <w:vAlign w:val="bottom"/>
          </w:tcPr>
          <w:p>
            <w:pPr>
              <w:ind w:left="280"/>
              <w:spacing w:after="0"/>
              <w:rPr>
                <w:sz w:val="20"/>
                <w:szCs w:val="20"/>
                <w:color w:val="auto"/>
              </w:rPr>
            </w:pPr>
            <w:r>
              <w:rPr>
                <w:rFonts w:ascii="Arial" w:cs="Arial" w:eastAsia="Arial" w:hAnsi="Arial"/>
                <w:sz w:val="18"/>
                <w:szCs w:val="18"/>
                <w:color w:val="auto"/>
              </w:rPr>
              <w:t>Dividends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(80 )</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(78 )</w:t>
            </w:r>
          </w:p>
        </w:tc>
      </w:tr>
      <w:tr>
        <w:trPr>
          <w:trHeight w:val="223"/>
        </w:trPr>
        <w:tc>
          <w:tcPr>
            <w:tcW w:w="66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(78 )</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(78 )</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(76 )</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Net increase (decrease) during period</w:t>
            </w:r>
          </w:p>
        </w:tc>
        <w:tc>
          <w:tcPr>
            <w:tcW w:w="90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0"/>
        </w:trPr>
        <w:tc>
          <w:tcPr>
            <w:tcW w:w="6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-1677670</wp:posOffset>
            </wp:positionV>
            <wp:extent cx="93980"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-1677670</wp:posOffset>
            </wp:positionV>
            <wp:extent cx="85725"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-1078230</wp:posOffset>
            </wp:positionV>
            <wp:extent cx="9398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-1078230</wp:posOffset>
            </wp:positionV>
            <wp:extent cx="85725"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-478790</wp:posOffset>
            </wp:positionV>
            <wp:extent cx="93980" cy="154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-478790</wp:posOffset>
            </wp:positionV>
            <wp:extent cx="85725"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-179070</wp:posOffset>
            </wp:positionV>
            <wp:extent cx="93980" cy="1797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-179070</wp:posOffset>
            </wp:positionV>
            <wp:extent cx="85725" cy="1797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57" w:lineRule="exact"/>
        <w:rPr>
          <w:sz w:val="20"/>
          <w:szCs w:val="20"/>
          <w:color w:val="auto"/>
        </w:rPr>
      </w:pPr>
    </w:p>
    <w:p>
      <w:pPr>
        <w:ind w:right="100" w:firstLine="494"/>
        <w:spacing w:after="0" w:line="259" w:lineRule="auto"/>
        <w:rPr>
          <w:sz w:val="20"/>
          <w:szCs w:val="20"/>
          <w:color w:val="auto"/>
        </w:rPr>
      </w:pPr>
      <w:r>
        <w:rPr>
          <w:rFonts w:ascii="Arial" w:cs="Arial" w:eastAsia="Arial" w:hAnsi="Arial"/>
          <w:sz w:val="17"/>
          <w:szCs w:val="17"/>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w:t>
      </w:r>
    </w:p>
    <w:p>
      <w:pPr>
        <w:spacing w:after="0" w:line="1" w:lineRule="exact"/>
        <w:rPr>
          <w:sz w:val="20"/>
          <w:szCs w:val="20"/>
          <w:color w:val="auto"/>
        </w:rPr>
      </w:pPr>
    </w:p>
    <w:p>
      <w:pPr>
        <w:ind w:firstLine="8"/>
        <w:spacing w:after="0" w:line="23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of Notes to Consolidated Financial Statements). The entire amount of the Parent Company’s consolidated net assets was subject to restrictions on payment of dividends as of December 31, 2022, 2021 and 2020.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7"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2022.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8"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December 31, 2022,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7"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ind w:right="140" w:firstLine="494"/>
        <w:spacing w:after="0"/>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assessment of the effectiveness of our internal control over financial reporting as of December 31, 2022. In making this assessment, our management used the criteria set forth by the Committee of Sponsoring Organizations of the Treadway Commission in Internal Control—Integrated Framework (2013). Based on this assessment, management concluded that our internal control over financial reporting was effective as of December 31, 2022. PricewaterhouseCoopers LLP, our independent registered public accounting firm, has audited the effectiveness of our internal control over financial reporting as of December 31, 2022. Their report is included in Part II, Item 8., “Financial Statements and Supplementary Data” in this Annual Report on Form 10-K.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7"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57" w:lineRule="exact"/>
        <w:rPr>
          <w:sz w:val="20"/>
          <w:szCs w:val="20"/>
          <w:color w:val="auto"/>
        </w:rPr>
      </w:pPr>
    </w:p>
    <w:p>
      <w:pPr>
        <w:ind w:right="540" w:firstLine="494"/>
        <w:spacing w:after="0" w:line="246" w:lineRule="auto"/>
        <w:rPr>
          <w:sz w:val="20"/>
          <w:szCs w:val="20"/>
          <w:color w:val="auto"/>
        </w:rPr>
      </w:pPr>
      <w:r>
        <w:rPr>
          <w:rFonts w:ascii="Arial" w:cs="Arial" w:eastAsia="Arial" w:hAnsi="Arial"/>
          <w:sz w:val="18"/>
          <w:szCs w:val="18"/>
          <w:color w:val="auto"/>
        </w:rPr>
        <w:t>The information required by this Item concerning our executive officers, directors and nominees for director and Audit Committee members and financial expert(s) and disclosure of delinquent filers under Section 16(a) of the Exchange Act is incorporated herein by reference from our definitive Proxy Statement for our 2023 annual meeting of stockholders which will be filed with the SEC pursuant to Regulation 14A within 120 days after the end of our last fiscal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57" w:lineRule="exact"/>
        <w:rPr>
          <w:sz w:val="20"/>
          <w:szCs w:val="20"/>
          <w:color w:val="auto"/>
        </w:rPr>
      </w:pPr>
    </w:p>
    <w:p>
      <w:pPr>
        <w:ind w:right="120" w:firstLine="494"/>
        <w:spacing w:after="0" w:line="266" w:lineRule="auto"/>
        <w:rPr>
          <w:sz w:val="20"/>
          <w:szCs w:val="20"/>
          <w:color w:val="auto"/>
        </w:rPr>
      </w:pPr>
      <w:r>
        <w:rPr>
          <w:rFonts w:ascii="Arial" w:cs="Arial" w:eastAsia="Arial" w:hAnsi="Arial"/>
          <w:sz w:val="17"/>
          <w:szCs w:val="17"/>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https://ir.allisontransmission.com. We will post on the Investor Relations section of our website any amendment to the Allison Code of Business Conduct, or any grant of a waiver from a provision of the Allison Code of Business Conduct.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57"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and CEO pay ratio disclosure, are incorporated herein by reference to our definitive Proxy Statement for our 2023 annual meeting of stockholders which will be filed with the SEC pursuant to Regulation 14A within 120 days after the end of our last fiscal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7"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The information required by this Item concerning the stock ownership of management and five percent beneficial owners and securities authorized for issuance under equity compensation plans is incorporated herein by reference to our definitive Proxy Statement for our 2023 annual meeting of stockholders which will be filed with the SEC pursuant to Regulation 14A within 120 days after the end of our last fiscal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57" w:lineRule="exact"/>
        <w:rPr>
          <w:sz w:val="20"/>
          <w:szCs w:val="20"/>
          <w:color w:val="auto"/>
        </w:rPr>
      </w:pPr>
    </w:p>
    <w:p>
      <w:pPr>
        <w:jc w:val="both"/>
        <w:ind w:right="260" w:firstLine="494"/>
        <w:spacing w:after="0" w:line="252"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is incorporated herein by reference to our definitive Proxy Statement for our 2023 annual meeting of stockholders which will be filed with the SEC pursuant to Regulation 14A within 120 days after the end of our last fiscal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57" w:lineRule="exact"/>
        <w:rPr>
          <w:sz w:val="20"/>
          <w:szCs w:val="20"/>
          <w:color w:val="auto"/>
        </w:rPr>
      </w:pPr>
    </w:p>
    <w:p>
      <w:pPr>
        <w:ind w:right="280" w:firstLine="494"/>
        <w:spacing w:after="0" w:line="252" w:lineRule="auto"/>
        <w:rPr>
          <w:sz w:val="20"/>
          <w:szCs w:val="20"/>
          <w:color w:val="auto"/>
        </w:rPr>
      </w:pPr>
      <w:r>
        <w:rPr>
          <w:rFonts w:ascii="Arial" w:cs="Arial" w:eastAsia="Arial" w:hAnsi="Arial"/>
          <w:sz w:val="18"/>
          <w:szCs w:val="18"/>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2023 annual meeting of stockholders which will be filed with the SEC pursuant to Regulation 14A within 120 days after the end of our last fiscal year.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57" w:lineRule="exact"/>
        <w:rPr>
          <w:sz w:val="20"/>
          <w:szCs w:val="20"/>
          <w:color w:val="auto"/>
        </w:rPr>
      </w:pPr>
    </w:p>
    <w:p>
      <w:pPr>
        <w:ind w:right="240" w:firstLine="494"/>
        <w:spacing w:after="0" w:line="243" w:lineRule="auto"/>
        <w:rPr>
          <w:sz w:val="20"/>
          <w:szCs w:val="20"/>
          <w:color w:val="auto"/>
        </w:rPr>
      </w:pPr>
      <w:r>
        <w:rPr>
          <w:rFonts w:ascii="Arial" w:cs="Arial" w:eastAsia="Arial" w:hAnsi="Arial"/>
          <w:sz w:val="18"/>
          <w:szCs w:val="18"/>
          <w:color w:val="auto"/>
        </w:rPr>
        <w:t>Schedule I – Parent Company only Balance Sheets as of the years ended December 31, 2022 and 2021, Schedule I – Parent Company only Statements of Comprehensive Income for the years ended December 31, 2022, 2021 and 2020, Schedule I – Parent Company only Statements of Cash Flows for the years ended December 31, 2022, 2021 and 2020 and Schedule I – Parent Company only Footnote are included in Part II, Item 8. of this Annual Report on Form 10-K. All other schedules have been omitted because they are not required or because the information required is included in the consolidated financial statements and notes thereto.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the response to Item 15.(b)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as part of, or are incorporated by reference into, this Annual Report on Form 10-K: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800" w:type="dxa"/>
            <w:vAlign w:val="bottom"/>
            <w:tcBorders>
              <w:bottom w:val="single" w:sz="8" w:color="auto"/>
            </w:tcBorders>
            <w:gridSpan w:val="14"/>
          </w:tcPr>
          <w:p>
            <w:pPr>
              <w:ind w:left="740"/>
              <w:spacing w:after="0"/>
              <w:rPr>
                <w:sz w:val="20"/>
                <w:szCs w:val="20"/>
                <w:color w:val="auto"/>
              </w:rPr>
            </w:pPr>
            <w:r>
              <w:rPr>
                <w:rFonts w:ascii="Arial" w:cs="Arial" w:eastAsia="Arial" w:hAnsi="Arial"/>
                <w:sz w:val="14"/>
                <w:szCs w:val="14"/>
                <w:b w:val="1"/>
                <w:bCs w:val="1"/>
                <w:color w:val="auto"/>
              </w:rPr>
              <w:t>DESCRIPTION OF EXHIBIT</w:t>
            </w:r>
          </w:p>
        </w:tc>
      </w:tr>
      <w:tr>
        <w:trPr>
          <w:trHeight w:val="331"/>
        </w:trPr>
        <w:tc>
          <w:tcPr>
            <w:tcW w:w="800" w:type="dxa"/>
            <w:vAlign w:val="bottom"/>
          </w:tcPr>
          <w:p>
            <w:pPr>
              <w:jc w:val="right"/>
              <w:ind w:right="23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FF"/>
              </w:rPr>
            </w:pPr>
            <w:hyperlink r:id="rId407">
              <w:r>
                <w:rPr>
                  <w:rFonts w:ascii="Arial" w:cs="Arial" w:eastAsia="Arial" w:hAnsi="Arial"/>
                  <w:sz w:val="18"/>
                  <w:szCs w:val="18"/>
                  <w:color w:val="0000FF"/>
                </w:rPr>
                <w:t>Second Amended and Restated Certificate of Incorporation of Allison Transmission Holdings, Inc. (incorporated by reference to</w:t>
              </w:r>
            </w:hyperlink>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407">
              <w:r>
                <w:rPr>
                  <w:rFonts w:ascii="Arial" w:cs="Arial" w:eastAsia="Arial" w:hAnsi="Arial"/>
                  <w:sz w:val="18"/>
                  <w:szCs w:val="18"/>
                  <w:color w:val="0000FF"/>
                  <w:w w:val="99"/>
                </w:rPr>
                <w:t>Exhibit 3.1 to the Registrant’s Quarterly Report on Form 10-Q for the quarter ended March 31, 2012 filed April 26, 2012)</w:t>
              </w:r>
            </w:hyperlink>
          </w:p>
        </w:tc>
        <w:tc>
          <w:tcPr>
            <w:tcW w:w="20" w:type="dxa"/>
            <w:vAlign w:val="bottom"/>
            <w:tcBorders>
              <w:top w:val="single" w:sz="8" w:color="0000FF"/>
              <w:bottom w:val="single" w:sz="8" w:color="0000EE"/>
            </w:tcBorders>
          </w:tcPr>
          <w:p>
            <w:pPr>
              <w:spacing w:after="0"/>
              <w:rPr>
                <w:sz w:val="15"/>
                <w:szCs w:val="15"/>
                <w:color w:val="auto"/>
              </w:rPr>
            </w:pPr>
          </w:p>
        </w:tc>
        <w:tc>
          <w:tcPr>
            <w:tcW w:w="62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800" w:type="dxa"/>
            <w:vAlign w:val="bottom"/>
          </w:tcPr>
          <w:p>
            <w:pPr>
              <w:jc w:val="right"/>
              <w:ind w:right="23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FF"/>
              </w:rPr>
            </w:pPr>
            <w:hyperlink r:id="rId408">
              <w:r>
                <w:rPr>
                  <w:rFonts w:ascii="Arial" w:cs="Arial" w:eastAsia="Arial" w:hAnsi="Arial"/>
                  <w:sz w:val="18"/>
                  <w:szCs w:val="18"/>
                  <w:color w:val="0000FF"/>
                </w:rPr>
                <w:t>Amendment to Second Amended and Restated Certificate of Incorporation of Allison Transmission Holdings, Inc. (incorporated</w:t>
              </w:r>
            </w:hyperlink>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408">
              <w:r>
                <w:rPr>
                  <w:rFonts w:ascii="Arial" w:cs="Arial" w:eastAsia="Arial" w:hAnsi="Arial"/>
                  <w:sz w:val="18"/>
                  <w:szCs w:val="18"/>
                  <w:color w:val="0000FF"/>
                </w:rPr>
                <w:t>by reference to Exhibit 3.1 to the Registrant’s Current Report on Form 8-K filed May 18, 2016)</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00" w:type="dxa"/>
            <w:vAlign w:val="bottom"/>
          </w:tcPr>
          <w:p>
            <w:pPr>
              <w:jc w:val="right"/>
              <w:ind w:right="234"/>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FF"/>
              </w:rPr>
            </w:pPr>
            <w:hyperlink r:id="rId409">
              <w:r>
                <w:rPr>
                  <w:rFonts w:ascii="Arial" w:cs="Arial" w:eastAsia="Arial" w:hAnsi="Arial"/>
                  <w:sz w:val="18"/>
                  <w:szCs w:val="18"/>
                  <w:color w:val="0000FF"/>
                </w:rPr>
                <w:t>Sixth Amended and Restated Bylaws of Allison Transmission Holdings, Inc. (incorporated by reference to Exhibit 3.1 to the</w:t>
              </w:r>
            </w:hyperlink>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409">
              <w:r>
                <w:rPr>
                  <w:rFonts w:ascii="Arial" w:cs="Arial" w:eastAsia="Arial" w:hAnsi="Arial"/>
                  <w:sz w:val="18"/>
                  <w:szCs w:val="18"/>
                  <w:color w:val="0000FF"/>
                </w:rPr>
                <w:t>Registrant’s Current Report on Form 8-K filed May 11, 2020)</w:t>
              </w:r>
            </w:hyperlink>
          </w:p>
        </w:tc>
        <w:tc>
          <w:tcPr>
            <w:tcW w:w="16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00" w:type="dxa"/>
            <w:vAlign w:val="bottom"/>
          </w:tcPr>
          <w:p>
            <w:pPr>
              <w:jc w:val="right"/>
              <w:ind w:right="234"/>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FF"/>
              </w:rPr>
            </w:pPr>
            <w:hyperlink r:id="rId410">
              <w:r>
                <w:rPr>
                  <w:rFonts w:ascii="Arial" w:cs="Arial" w:eastAsia="Arial" w:hAnsi="Arial"/>
                  <w:sz w:val="18"/>
                  <w:szCs w:val="18"/>
                  <w:color w:val="0000FF"/>
                </w:rPr>
                <w:t>Form of Stock Certificate (incorporated by reference to Exhibit 4.1 to Amendment No. 3 to the Registrant’s Registration</w:t>
              </w:r>
            </w:hyperlink>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410">
              <w:r>
                <w:rPr>
                  <w:rFonts w:ascii="Arial" w:cs="Arial" w:eastAsia="Arial" w:hAnsi="Arial"/>
                  <w:sz w:val="18"/>
                  <w:szCs w:val="18"/>
                  <w:color w:val="0000FF"/>
                  <w:w w:val="98"/>
                </w:rPr>
                <w:t>Statement on Form S-1 filed June 17, 2011)</w:t>
              </w:r>
            </w:hyperlink>
          </w:p>
        </w:tc>
        <w:tc>
          <w:tcPr>
            <w:tcW w:w="5980" w:type="dxa"/>
            <w:vAlign w:val="bottom"/>
            <w:tcBorders>
              <w:top w:val="single" w:sz="8" w:color="0000FF"/>
            </w:tcBorders>
            <w:gridSpan w:val="3"/>
          </w:tcPr>
          <w:p>
            <w:pPr>
              <w:spacing w:after="0"/>
              <w:rPr>
                <w:sz w:val="15"/>
                <w:szCs w:val="15"/>
                <w:color w:val="auto"/>
              </w:rPr>
            </w:pPr>
          </w:p>
        </w:tc>
        <w:tc>
          <w:tcPr>
            <w:tcW w:w="480" w:type="dxa"/>
            <w:vAlign w:val="bottom"/>
            <w:gridSpan w:val="4"/>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800" w:type="dxa"/>
            <w:vAlign w:val="bottom"/>
          </w:tcPr>
          <w:p>
            <w:pPr>
              <w:jc w:val="right"/>
              <w:ind w:right="234"/>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8"/>
          </w:tcPr>
          <w:p>
            <w:pPr>
              <w:spacing w:after="0"/>
              <w:rPr>
                <w:rFonts w:ascii="Arial" w:cs="Arial" w:eastAsia="Arial" w:hAnsi="Arial"/>
                <w:sz w:val="18"/>
                <w:szCs w:val="18"/>
                <w:color w:val="0000FF"/>
                <w:w w:val="99"/>
              </w:rPr>
            </w:pPr>
            <w:hyperlink r:id="rId411">
              <w:r>
                <w:rPr>
                  <w:rFonts w:ascii="Arial" w:cs="Arial" w:eastAsia="Arial" w:hAnsi="Arial"/>
                  <w:sz w:val="18"/>
                  <w:szCs w:val="18"/>
                  <w:color w:val="0000FF"/>
                  <w:w w:val="99"/>
                </w:rPr>
                <w:t>Indenture, dated as of September 26, 2017, between the Issuer and Wilmington Trust, National Association, as Trustee</w:t>
              </w:r>
            </w:hyperlink>
          </w:p>
        </w:tc>
        <w:tc>
          <w:tcPr>
            <w:tcW w:w="780" w:type="dxa"/>
            <w:vAlign w:val="bottom"/>
            <w:gridSpan w:val="10"/>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FF"/>
              </w:rPr>
            </w:pPr>
            <w:hyperlink r:id="rId411">
              <w:r>
                <w:rPr>
                  <w:rFonts w:ascii="Arial" w:cs="Arial" w:eastAsia="Arial" w:hAnsi="Arial"/>
                  <w:sz w:val="18"/>
                  <w:szCs w:val="18"/>
                  <w:color w:val="0000FF"/>
                </w:rPr>
                <w:t>(including form of 4.75% Senior Notes due 2027) (incorporated by reference to Exhibit 4.1 to the Registrant’s Current Report on</w:t>
              </w:r>
            </w:hyperlink>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r:id="rId411">
              <w:r>
                <w:rPr>
                  <w:rFonts w:ascii="Arial" w:cs="Arial" w:eastAsia="Arial" w:hAnsi="Arial"/>
                  <w:sz w:val="18"/>
                  <w:szCs w:val="18"/>
                  <w:color w:val="0000FF"/>
                  <w:w w:val="98"/>
                </w:rPr>
                <w:t>Form 8-K filed September 26, 2017)</w:t>
              </w:r>
            </w:hyperlink>
          </w:p>
        </w:tc>
        <w:tc>
          <w:tcPr>
            <w:tcW w:w="7320" w:type="dxa"/>
            <w:vAlign w:val="bottom"/>
            <w:tcBorders>
              <w:top w:val="single" w:sz="8" w:color="0000FF"/>
            </w:tcBorders>
            <w:gridSpan w:val="1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800" w:type="dxa"/>
            <w:vAlign w:val="bottom"/>
          </w:tcPr>
          <w:p>
            <w:pPr>
              <w:jc w:val="right"/>
              <w:ind w:right="234"/>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rFonts w:ascii="Arial" w:cs="Arial" w:eastAsia="Arial" w:hAnsi="Arial"/>
                <w:sz w:val="18"/>
                <w:szCs w:val="18"/>
                <w:color w:val="0000FF"/>
                <w:w w:val="99"/>
              </w:rPr>
            </w:pPr>
            <w:hyperlink r:id="rId412">
              <w:r>
                <w:rPr>
                  <w:rFonts w:ascii="Arial" w:cs="Arial" w:eastAsia="Arial" w:hAnsi="Arial"/>
                  <w:sz w:val="18"/>
                  <w:szCs w:val="18"/>
                  <w:color w:val="0000FF"/>
                  <w:w w:val="99"/>
                </w:rPr>
                <w:t>Indenture, dated as of March 29, 2019, between the Issuer and Wilmington Trust, National Association, as Trustee (including</w:t>
              </w:r>
            </w:hyperlink>
          </w:p>
        </w:tc>
        <w:tc>
          <w:tcPr>
            <w:tcW w:w="340" w:type="dxa"/>
            <w:vAlign w:val="bottom"/>
            <w:gridSpan w:val="7"/>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FF"/>
              </w:rPr>
            </w:pPr>
            <w:hyperlink r:id="rId412">
              <w:r>
                <w:rPr>
                  <w:rFonts w:ascii="Arial" w:cs="Arial" w:eastAsia="Arial" w:hAnsi="Arial"/>
                  <w:sz w:val="18"/>
                  <w:szCs w:val="18"/>
                  <w:color w:val="0000FF"/>
                </w:rPr>
                <w:t>form of 5.875% Senior Notes due 2029) (incorporated by reference to Exhibit 4.1 to the Registrant’s Current Report on Form 8-K</w:t>
              </w:r>
            </w:hyperlink>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412">
              <w:r>
                <w:rPr>
                  <w:rFonts w:ascii="Arial" w:cs="Arial" w:eastAsia="Arial" w:hAnsi="Arial"/>
                  <w:sz w:val="18"/>
                  <w:szCs w:val="18"/>
                  <w:color w:val="0000FF"/>
                  <w:w w:val="98"/>
                </w:rPr>
                <w:t>filed March 29, 2019)</w:t>
              </w:r>
            </w:hyperlink>
          </w:p>
        </w:tc>
        <w:tc>
          <w:tcPr>
            <w:tcW w:w="856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800" w:type="dxa"/>
            <w:vAlign w:val="bottom"/>
          </w:tcPr>
          <w:p>
            <w:pPr>
              <w:jc w:val="right"/>
              <w:ind w:right="234"/>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FF"/>
              </w:rPr>
            </w:pPr>
            <w:hyperlink r:id="rId413">
              <w:r>
                <w:rPr>
                  <w:rFonts w:ascii="Arial" w:cs="Arial" w:eastAsia="Arial" w:hAnsi="Arial"/>
                  <w:sz w:val="18"/>
                  <w:szCs w:val="18"/>
                  <w:color w:val="0000FF"/>
                </w:rPr>
                <w:t>Indenture, dated as of November 19, 2020, between the Issuer and Wilmington Trust, National Association, as Trustee (including</w:t>
              </w:r>
            </w:hyperlink>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413">
              <w:r>
                <w:rPr>
                  <w:rFonts w:ascii="Arial" w:cs="Arial" w:eastAsia="Arial" w:hAnsi="Arial"/>
                  <w:sz w:val="18"/>
                  <w:szCs w:val="18"/>
                  <w:color w:val="0000FF"/>
                </w:rPr>
                <w:t>form of 3.75% Senior Notes due 2031) (incorporated by reference to Exhibit 4.1 to the Registrant’s Current Report on Form 8-K</w:t>
              </w:r>
            </w:hyperlink>
          </w:p>
        </w:tc>
        <w:tc>
          <w:tcPr>
            <w:tcW w:w="2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413">
              <w:r>
                <w:rPr>
                  <w:rFonts w:ascii="Arial" w:cs="Arial" w:eastAsia="Arial" w:hAnsi="Arial"/>
                  <w:sz w:val="18"/>
                  <w:szCs w:val="18"/>
                  <w:color w:val="0000FF"/>
                </w:rPr>
                <w:t>filed November 19, 2020)</w:t>
              </w:r>
            </w:hyperlink>
          </w:p>
        </w:tc>
        <w:tc>
          <w:tcPr>
            <w:tcW w:w="120" w:type="dxa"/>
            <w:vAlign w:val="bottom"/>
            <w:gridSpan w:val="4"/>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1">
            <w:col w:w="11240"/>
          </w:cols>
          <w:pgMar w:left="320" w:top="121" w:right="339" w:bottom="1440" w:gutter="0" w:footer="0" w:header="0"/>
        </w:sectPr>
      </w:pPr>
    </w:p>
    <w:p>
      <w:pPr>
        <w:jc w:val="right"/>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40"/>
        <w:spacing w:after="0" w:line="271" w:lineRule="auto"/>
        <w:rPr>
          <w:rFonts w:ascii="Arial" w:cs="Arial" w:eastAsia="Arial" w:hAnsi="Arial"/>
          <w:sz w:val="18"/>
          <w:szCs w:val="18"/>
          <w:u w:val="single" w:color="auto"/>
          <w:color w:val="0000FF"/>
        </w:rPr>
      </w:pPr>
      <w:hyperlink r:id="rId414">
        <w:r>
          <w:rPr>
            <w:rFonts w:ascii="Arial" w:cs="Arial" w:eastAsia="Arial" w:hAnsi="Arial"/>
            <w:sz w:val="18"/>
            <w:szCs w:val="18"/>
            <w:u w:val="single" w:color="auto"/>
            <w:color w:val="0000FF"/>
          </w:rPr>
          <w:t>Description of Securities (incorporated by reference to Exhibit 4.5 to the Registrant’s Annual Report on Form 10-K for the fiscal</w:t>
        </w:r>
      </w:hyperlink>
      <w:r>
        <w:rPr>
          <w:rFonts w:ascii="Arial" w:cs="Arial" w:eastAsia="Arial" w:hAnsi="Arial"/>
          <w:sz w:val="18"/>
          <w:szCs w:val="18"/>
          <w:u w:val="single" w:color="auto"/>
          <w:color w:val="0000FF"/>
        </w:rPr>
        <w:t xml:space="preserve"> </w:t>
      </w:r>
      <w:hyperlink r:id="rId414">
        <w:r>
          <w:rPr>
            <w:rFonts w:ascii="Arial" w:cs="Arial" w:eastAsia="Arial" w:hAnsi="Arial"/>
            <w:sz w:val="18"/>
            <w:szCs w:val="18"/>
            <w:u w:val="single" w:color="auto"/>
            <w:color w:val="0000FF"/>
          </w:rPr>
          <w:t>year ended December 31, 2019 filed February 27,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64109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64109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-44450</wp:posOffset>
            </wp:positionV>
            <wp:extent cx="28486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2848610" cy="8255"/>
                    </a:xfrm>
                    <a:prstGeom prst="rect">
                      <a:avLst/>
                    </a:prstGeom>
                    <a:noFill/>
                  </pic:spPr>
                </pic:pic>
              </a:graphicData>
            </a:graphic>
          </wp:anchor>
        </w:drawing>
      </w:r>
    </w:p>
    <w:p>
      <w:pPr>
        <w:spacing w:after="0" w:line="187" w:lineRule="exact"/>
        <w:rPr>
          <w:sz w:val="20"/>
          <w:szCs w:val="20"/>
          <w:color w:val="auto"/>
        </w:rPr>
      </w:pPr>
    </w:p>
    <w:p>
      <w:pPr>
        <w:jc w:val="both"/>
        <w:ind w:right="460"/>
        <w:spacing w:after="0" w:line="252" w:lineRule="auto"/>
        <w:rPr>
          <w:rFonts w:ascii="Arial" w:cs="Arial" w:eastAsia="Arial" w:hAnsi="Arial"/>
          <w:sz w:val="18"/>
          <w:szCs w:val="18"/>
          <w:u w:val="single" w:color="auto"/>
          <w:color w:val="0000FF"/>
        </w:rPr>
      </w:pPr>
      <w:hyperlink r:id="rId417">
        <w:r>
          <w:rPr>
            <w:rFonts w:ascii="Arial" w:cs="Arial" w:eastAsia="Arial" w:hAnsi="Arial"/>
            <w:sz w:val="18"/>
            <w:szCs w:val="18"/>
            <w:u w:val="single" w:color="auto"/>
            <w:color w:val="0000FF"/>
          </w:rPr>
          <w:t>Second Amended and Restated Credit Agreement, dated as of March 29, 2019, among Allison Transmission Holdings, Inc.,</w:t>
        </w:r>
      </w:hyperlink>
      <w:r>
        <w:rPr>
          <w:rFonts w:ascii="Arial" w:cs="Arial" w:eastAsia="Arial" w:hAnsi="Arial"/>
          <w:sz w:val="18"/>
          <w:szCs w:val="18"/>
          <w:u w:val="single" w:color="auto"/>
          <w:color w:val="0000FF"/>
        </w:rPr>
        <w:t xml:space="preserve"> </w:t>
      </w:r>
      <w:hyperlink r:id="rId417">
        <w:r>
          <w:rPr>
            <w:rFonts w:ascii="Arial" w:cs="Arial" w:eastAsia="Arial" w:hAnsi="Arial"/>
            <w:sz w:val="18"/>
            <w:szCs w:val="18"/>
            <w:u w:val="single" w:color="auto"/>
            <w:color w:val="0000FF"/>
          </w:rPr>
          <w:t>Allison Transmission, Inc., as Borrower, the several banks and other financial institutions or entities from time to time parties</w:t>
        </w:r>
      </w:hyperlink>
      <w:r>
        <w:rPr>
          <w:rFonts w:ascii="Arial" w:cs="Arial" w:eastAsia="Arial" w:hAnsi="Arial"/>
          <w:sz w:val="18"/>
          <w:szCs w:val="18"/>
          <w:u w:val="single" w:color="auto"/>
          <w:color w:val="0000FF"/>
        </w:rPr>
        <w:t xml:space="preserve"> </w:t>
      </w:r>
      <w:hyperlink r:id="rId417">
        <w:r>
          <w:rPr>
            <w:rFonts w:ascii="Arial" w:cs="Arial" w:eastAsia="Arial" w:hAnsi="Arial"/>
            <w:sz w:val="18"/>
            <w:szCs w:val="18"/>
            <w:u w:val="single" w:color="auto"/>
            <w:color w:val="0000FF"/>
          </w:rPr>
          <w:t>thereto as lenders and Citibank, N.A., as Administrative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62693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62693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-161925</wp:posOffset>
            </wp:positionV>
            <wp:extent cx="62687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62687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28289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4" w:lineRule="exact"/>
        <w:rPr>
          <w:rFonts w:ascii="Arial" w:cs="Arial" w:eastAsia="Arial" w:hAnsi="Arial"/>
          <w:sz w:val="18"/>
          <w:szCs w:val="18"/>
          <w:u w:val="single" w:color="auto"/>
          <w:color w:val="0000FF"/>
        </w:rPr>
      </w:pPr>
    </w:p>
    <w:p>
      <w:pPr>
        <w:jc w:val="center"/>
        <w:ind w:right="940"/>
        <w:spacing w:after="0"/>
        <w:rPr>
          <w:sz w:val="20"/>
          <w:szCs w:val="20"/>
          <w:color w:val="auto"/>
        </w:rPr>
      </w:pPr>
      <w:r>
        <w:rPr>
          <w:rFonts w:ascii="Arial" w:cs="Arial" w:eastAsia="Arial" w:hAnsi="Arial"/>
          <w:sz w:val="18"/>
          <w:szCs w:val="18"/>
          <w:color w:val="auto"/>
        </w:rPr>
        <w:t>95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-616585</wp:posOffset>
            </wp:positionH>
            <wp:positionV relativeFrom="paragraph">
              <wp:posOffset>64770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 w:space="480"/>
            <w:col w:w="10280"/>
          </w:cols>
          <w:pgMar w:left="320" w:top="121"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4" w:lineRule="exact"/>
        <w:rPr>
          <w:sz w:val="20"/>
          <w:szCs w:val="20"/>
          <w:color w:val="auto"/>
        </w:rPr>
      </w:pPr>
    </w:p>
    <w:p>
      <w:pPr>
        <w:jc w:val="center"/>
        <w:ind w:right="-19"/>
        <w:spacing w:after="0"/>
        <w:rPr>
          <w:rFonts w:ascii="Arial" w:cs="Arial" w:eastAsia="Arial" w:hAnsi="Arial"/>
          <w:sz w:val="18"/>
          <w:szCs w:val="18"/>
          <w:u w:val="single" w:color="auto"/>
          <w:color w:val="0000FF"/>
        </w:rPr>
      </w:pPr>
      <w:hyperlink r:id="rId417">
        <w:r>
          <w:rPr>
            <w:rFonts w:ascii="Arial" w:cs="Arial" w:eastAsia="Arial" w:hAnsi="Arial"/>
            <w:sz w:val="18"/>
            <w:szCs w:val="18"/>
            <w:u w:val="single" w:color="auto"/>
            <w:color w:val="0000FF"/>
          </w:rPr>
          <w:t>Agent (incorporated by reference to Exhibit 10.1 to the Registrant’s Current Report on Form 8-K filed March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-7620</wp:posOffset>
            </wp:positionV>
            <wp:extent cx="59289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3">
                      <a:extLst>
                        <a:ext uri="{28A0092B-C50C-407E-A947-70E740481C1C}"/>
                      </a:extLst>
                    </a:blip>
                    <a:srcRect/>
                    <a:stretch>
                      <a:fillRect/>
                    </a:stretch>
                  </pic:blipFill>
                  <pic:spPr bwMode="auto">
                    <a:xfrm>
                      <a:off x="0" y="0"/>
                      <a:ext cx="5928995" cy="8255"/>
                    </a:xfrm>
                    <a:prstGeom prst="rect">
                      <a:avLst/>
                    </a:prstGeom>
                    <a:noFill/>
                  </pic:spPr>
                </pic:pic>
              </a:graphicData>
            </a:graphic>
          </wp:anchor>
        </w:drawing>
      </w:r>
    </w:p>
    <w:p>
      <w:pPr>
        <w:spacing w:after="0" w:line="151" w:lineRule="exact"/>
        <w:rPr>
          <w:sz w:val="20"/>
          <w:szCs w:val="20"/>
          <w:color w:val="auto"/>
        </w:rPr>
      </w:pPr>
    </w:p>
    <w:p>
      <w:pPr>
        <w:ind w:left="960" w:right="180" w:hanging="830"/>
        <w:spacing w:after="0" w:line="243"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424">
        <w:r>
          <w:rPr>
            <w:rFonts w:ascii="Arial" w:cs="Arial" w:eastAsia="Arial" w:hAnsi="Arial"/>
            <w:sz w:val="18"/>
            <w:szCs w:val="18"/>
            <w:u w:val="single" w:color="auto"/>
            <w:color w:val="0000FF"/>
          </w:rPr>
          <w:t>Amendment No. 1 dated October 11, 2019, to the Second Amended and Restated Credit Agreement, dated as of March 29,</w:t>
        </w:r>
      </w:hyperlink>
      <w:r>
        <w:rPr>
          <w:rFonts w:ascii="Arial" w:cs="Arial" w:eastAsia="Arial" w:hAnsi="Arial"/>
          <w:sz w:val="18"/>
          <w:szCs w:val="18"/>
          <w:u w:val="single" w:color="auto"/>
          <w:color w:val="0000FF"/>
        </w:rPr>
        <w:t xml:space="preserve"> </w:t>
      </w:r>
      <w:hyperlink r:id="rId424">
        <w:r>
          <w:rPr>
            <w:rFonts w:ascii="Arial" w:cs="Arial" w:eastAsia="Arial" w:hAnsi="Arial"/>
            <w:sz w:val="18"/>
            <w:szCs w:val="18"/>
            <w:u w:val="single" w:color="auto"/>
            <w:color w:val="0000FF"/>
          </w:rPr>
          <w:t>2019, among Allison Transmission Holdings, Inc., Allison Transmission, Inc., as Borrower, the several banks and other financial</w:t>
        </w:r>
      </w:hyperlink>
      <w:r>
        <w:rPr>
          <w:rFonts w:ascii="Arial" w:cs="Arial" w:eastAsia="Arial" w:hAnsi="Arial"/>
          <w:sz w:val="18"/>
          <w:szCs w:val="18"/>
          <w:u w:val="single" w:color="auto"/>
          <w:color w:val="0000FF"/>
        </w:rPr>
        <w:t xml:space="preserve"> </w:t>
      </w:r>
      <w:hyperlink r:id="rId424">
        <w:r>
          <w:rPr>
            <w:rFonts w:ascii="Arial" w:cs="Arial" w:eastAsia="Arial" w:hAnsi="Arial"/>
            <w:sz w:val="18"/>
            <w:szCs w:val="18"/>
            <w:u w:val="single" w:color="auto"/>
            <w:color w:val="0000FF"/>
          </w:rPr>
          <w:t>institutions or entities from time to time parties thereto as lenders, Citibank, N.A as Administrative Agent and as the 2019</w:t>
        </w:r>
      </w:hyperlink>
      <w:r>
        <w:rPr>
          <w:rFonts w:ascii="Arial" w:cs="Arial" w:eastAsia="Arial" w:hAnsi="Arial"/>
          <w:sz w:val="18"/>
          <w:szCs w:val="18"/>
          <w:u w:val="single" w:color="auto"/>
          <w:color w:val="0000FF"/>
        </w:rPr>
        <w:t xml:space="preserve"> </w:t>
      </w:r>
      <w:hyperlink r:id="rId424">
        <w:r>
          <w:rPr>
            <w:rFonts w:ascii="Arial" w:cs="Arial" w:eastAsia="Arial" w:hAnsi="Arial"/>
            <w:sz w:val="18"/>
            <w:szCs w:val="18"/>
            <w:u w:val="single" w:color="auto"/>
            <w:color w:val="0000FF"/>
          </w:rPr>
          <w:t>refinancing term lender and the other agents and arrangers party thereto (incorporated by reference to Exhibit 10.1 to the</w:t>
        </w:r>
      </w:hyperlink>
      <w:r>
        <w:rPr>
          <w:rFonts w:ascii="Arial" w:cs="Arial" w:eastAsia="Arial" w:hAnsi="Arial"/>
          <w:sz w:val="18"/>
          <w:szCs w:val="18"/>
          <w:u w:val="single" w:color="auto"/>
          <w:color w:val="0000FF"/>
        </w:rPr>
        <w:t xml:space="preserve"> </w:t>
      </w:r>
      <w:hyperlink r:id="rId424">
        <w:r>
          <w:rPr>
            <w:rFonts w:ascii="Arial" w:cs="Arial" w:eastAsia="Arial" w:hAnsi="Arial"/>
            <w:sz w:val="18"/>
            <w:szCs w:val="18"/>
            <w:u w:val="single" w:color="auto"/>
            <w:color w:val="0000FF"/>
          </w:rPr>
          <w:t>Registrant’s Current Report on Form 8-K filed October 15,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-541655</wp:posOffset>
            </wp:positionV>
            <wp:extent cx="626554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626554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-412750</wp:posOffset>
            </wp:positionV>
            <wp:extent cx="644207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644207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-284480</wp:posOffset>
            </wp:positionV>
            <wp:extent cx="610806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610806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-156210</wp:posOffset>
            </wp:positionV>
            <wp:extent cx="61341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613410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-27940</wp:posOffset>
            </wp:positionV>
            <wp:extent cx="32454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3245485" cy="8255"/>
                    </a:xfrm>
                    <a:prstGeom prst="rect">
                      <a:avLst/>
                    </a:prstGeom>
                    <a:noFill/>
                  </pic:spPr>
                </pic:pic>
              </a:graphicData>
            </a:graphic>
          </wp:anchor>
        </w:drawing>
      </w:r>
    </w:p>
    <w:p>
      <w:pPr>
        <w:spacing w:after="0" w:line="213" w:lineRule="exact"/>
        <w:rPr>
          <w:rFonts w:ascii="Arial" w:cs="Arial" w:eastAsia="Arial" w:hAnsi="Arial"/>
          <w:sz w:val="18"/>
          <w:szCs w:val="18"/>
          <w:u w:val="single" w:color="auto"/>
          <w:color w:val="0000FF"/>
        </w:rPr>
      </w:pPr>
    </w:p>
    <w:p>
      <w:pPr>
        <w:ind w:left="960" w:hanging="830"/>
        <w:spacing w:after="0"/>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430">
        <w:r>
          <w:rPr>
            <w:rFonts w:ascii="Arial" w:cs="Arial" w:eastAsia="Arial" w:hAnsi="Arial"/>
            <w:sz w:val="18"/>
            <w:szCs w:val="18"/>
            <w:u w:val="single" w:color="auto"/>
            <w:color w:val="0000FF"/>
          </w:rPr>
          <w:t>Amendment No. 2 dated as of November 19, 2020, by and among Allison Transmission Holdings, Inc., Allison Transmission, Inc.,</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as Borrower, the several banks and other financial institutions party thereto, as 2020 Revolving Credit Lenders and Citibank,</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N.A., as Administrative Agent amending the Second Amended and Restated Credit Agreement, dated as of March 29, 2019,</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among Allison Transmission Holdings, Inc., Allison Transmission, Inc., the several banks and other financial institutions or entities</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from time to time parties thereto as lenders, Citibank, N.A., as Administrative Agent and Citicorp North America, Inc., as</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Collateral Agent (incorporated by reference to Exhibit 10.1 to the Registrant’s Current Report on Form 8-K filed November 19,</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-796290</wp:posOffset>
            </wp:positionV>
            <wp:extent cx="65246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652462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-667385</wp:posOffset>
            </wp:positionV>
            <wp:extent cx="62865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628650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-539115</wp:posOffset>
            </wp:positionV>
            <wp:extent cx="62992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629920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-410845</wp:posOffset>
            </wp:positionV>
            <wp:extent cx="65246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652462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-282575</wp:posOffset>
            </wp:positionV>
            <wp:extent cx="60572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605726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-153670</wp:posOffset>
            </wp:positionV>
            <wp:extent cx="6360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636016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-25400</wp:posOffset>
            </wp:positionV>
            <wp:extent cx="2921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122" w:lineRule="exact"/>
        <w:rPr>
          <w:rFonts w:ascii="Arial" w:cs="Arial" w:eastAsia="Arial" w:hAnsi="Arial"/>
          <w:sz w:val="18"/>
          <w:szCs w:val="18"/>
          <w:u w:val="single" w:color="auto"/>
          <w:color w:val="0000FF"/>
        </w:rPr>
      </w:pPr>
    </w:p>
    <w:p>
      <w:pPr>
        <w:ind w:left="960" w:right="160" w:hanging="830"/>
        <w:spacing w:after="0" w:line="274" w:lineRule="auto"/>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10.4</w:t>
      </w:r>
      <w:r>
        <w:rPr>
          <w:sz w:val="20"/>
          <w:szCs w:val="20"/>
          <w:color w:val="auto"/>
        </w:rPr>
        <w:tab/>
      </w:r>
      <w:hyperlink r:id="rId438">
        <w:r>
          <w:rPr>
            <w:rFonts w:ascii="Arial" w:cs="Arial" w:eastAsia="Arial" w:hAnsi="Arial"/>
            <w:sz w:val="17"/>
            <w:szCs w:val="17"/>
            <w:u w:val="single" w:color="auto"/>
            <w:color w:val="0000FF"/>
          </w:rPr>
          <w:t>Guarantee And Collateral Agreement made by Allison Transmission Holdings, Inc., Allison Transmission, Inc., as Borrower, and</w:t>
        </w:r>
      </w:hyperlink>
      <w:r>
        <w:rPr>
          <w:rFonts w:ascii="Arial" w:cs="Arial" w:eastAsia="Arial" w:hAnsi="Arial"/>
          <w:sz w:val="17"/>
          <w:szCs w:val="17"/>
          <w:u w:val="single" w:color="auto"/>
          <w:color w:val="0000FF"/>
        </w:rPr>
        <w:t xml:space="preserve"> </w:t>
      </w:r>
      <w:hyperlink r:id="rId438">
        <w:r>
          <w:rPr>
            <w:rFonts w:ascii="Arial" w:cs="Arial" w:eastAsia="Arial" w:hAnsi="Arial"/>
            <w:sz w:val="17"/>
            <w:szCs w:val="17"/>
            <w:u w:val="single" w:color="auto"/>
            <w:color w:val="0000FF"/>
          </w:rPr>
          <w:t>the Subsidiary Guarantors party thereto in favor of Citicorp North America, Inc., as Administrative Agent, dated as of August 7,</w:t>
        </w:r>
      </w:hyperlink>
      <w:r>
        <w:rPr>
          <w:rFonts w:ascii="Arial" w:cs="Arial" w:eastAsia="Arial" w:hAnsi="Arial"/>
          <w:sz w:val="17"/>
          <w:szCs w:val="17"/>
          <w:u w:val="single" w:color="auto"/>
          <w:color w:val="0000FF"/>
        </w:rPr>
        <w:t xml:space="preserve"> </w:t>
      </w:r>
      <w:hyperlink r:id="rId438">
        <w:r>
          <w:rPr>
            <w:rFonts w:ascii="Arial" w:cs="Arial" w:eastAsia="Arial" w:hAnsi="Arial"/>
            <w:sz w:val="17"/>
            <w:szCs w:val="17"/>
            <w:u w:val="single" w:color="auto"/>
            <w:color w:val="0000FF"/>
          </w:rPr>
          <w:t>2007 (incorporated by reference to Exhibit 10.3 to the Registrant’s Registration Statement on Form S-1 filed March 18, 2011)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-300990</wp:posOffset>
            </wp:positionV>
            <wp:extent cx="645477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-172720</wp:posOffset>
            </wp:positionV>
            <wp:extent cx="63938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639381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62820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6282055" cy="8255"/>
                    </a:xfrm>
                    <a:prstGeom prst="rect">
                      <a:avLst/>
                    </a:prstGeom>
                    <a:noFill/>
                  </pic:spPr>
                </pic:pic>
              </a:graphicData>
            </a:graphic>
          </wp:anchor>
        </w:drawing>
      </w:r>
    </w:p>
    <w:p>
      <w:pPr>
        <w:spacing w:after="0" w:line="93" w:lineRule="exact"/>
        <w:rPr>
          <w:rFonts w:ascii="Arial" w:cs="Arial" w:eastAsia="Arial" w:hAnsi="Arial"/>
          <w:sz w:val="17"/>
          <w:szCs w:val="17"/>
          <w:u w:val="single" w:color="auto"/>
          <w:color w:val="0000FF"/>
        </w:rPr>
      </w:pPr>
    </w:p>
    <w:p>
      <w:pPr>
        <w:ind w:left="960" w:right="120" w:hanging="830"/>
        <w:spacing w:after="0" w:line="252"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442">
        <w:r>
          <w:rPr>
            <w:rFonts w:ascii="Arial" w:cs="Arial" w:eastAsia="Arial" w:hAnsi="Arial"/>
            <w:sz w:val="18"/>
            <w:szCs w:val="18"/>
            <w:u w:val="single" w:color="auto"/>
            <w:color w:val="0000FF"/>
          </w:rPr>
          <w:t>Trademark Security Agreement made by Allison Transmission, Inc. in favor of Citicorp North America, Inc., as Administrative</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Agent, dated as of August 7, 2007 (incorporated by reference to Exhibit 10.4 to the Registrant’s Registration Statement on Form</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S-1 filed March 18, 2011)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-290195</wp:posOffset>
            </wp:positionV>
            <wp:extent cx="62953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-161925</wp:posOffset>
            </wp:positionV>
            <wp:extent cx="648081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-33020</wp:posOffset>
            </wp:positionV>
            <wp:extent cx="12725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60" w:hanging="830"/>
        <w:spacing w:after="0" w:line="252"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46">
        <w:r>
          <w:rPr>
            <w:rFonts w:ascii="Arial" w:cs="Arial" w:eastAsia="Arial" w:hAnsi="Arial"/>
            <w:sz w:val="18"/>
            <w:szCs w:val="18"/>
            <w:u w:val="single" w:color="auto"/>
            <w:color w:val="0000FF"/>
          </w:rPr>
          <w:t>Copyright Security Agreement made by Allison Transmission, Inc. in favor of Citicorp North America, Inc., as Administrative</w:t>
        </w:r>
      </w:hyperlink>
      <w:r>
        <w:rPr>
          <w:rFonts w:ascii="Arial" w:cs="Arial" w:eastAsia="Arial" w:hAnsi="Arial"/>
          <w:sz w:val="18"/>
          <w:szCs w:val="18"/>
          <w:u w:val="single" w:color="auto"/>
          <w:color w:val="0000FF"/>
        </w:rPr>
        <w:t xml:space="preserve"> </w:t>
      </w:r>
      <w:hyperlink r:id="rId446">
        <w:r>
          <w:rPr>
            <w:rFonts w:ascii="Arial" w:cs="Arial" w:eastAsia="Arial" w:hAnsi="Arial"/>
            <w:sz w:val="18"/>
            <w:szCs w:val="18"/>
            <w:u w:val="single" w:color="auto"/>
            <w:color w:val="0000FF"/>
          </w:rPr>
          <w:t>Agent, dated as of August 7, 2007 (incorporated by reference to Exhibit 10.5 to Amendment No. 2 to the Registrant’s Registration</w:t>
        </w:r>
      </w:hyperlink>
      <w:r>
        <w:rPr>
          <w:rFonts w:ascii="Arial" w:cs="Arial" w:eastAsia="Arial" w:hAnsi="Arial"/>
          <w:sz w:val="18"/>
          <w:szCs w:val="18"/>
          <w:u w:val="single" w:color="auto"/>
          <w:color w:val="0000FF"/>
        </w:rPr>
        <w:t xml:space="preserve"> </w:t>
      </w:r>
      <w:hyperlink r:id="rId446">
        <w:r>
          <w:rPr>
            <w:rFonts w:ascii="Arial" w:cs="Arial" w:eastAsia="Arial" w:hAnsi="Arial"/>
            <w:sz w:val="18"/>
            <w:szCs w:val="18"/>
            <w:u w:val="single" w:color="auto"/>
            <w:color w:val="0000FF"/>
          </w:rPr>
          <w:t>Statement on Form S-1 filed May 16, 2011)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-290195</wp:posOffset>
            </wp:positionV>
            <wp:extent cx="62363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7">
                      <a:extLst>
                        <a:ext uri="{28A0092B-C50C-407E-A947-70E740481C1C}"/>
                      </a:extLst>
                    </a:blip>
                    <a:srcRect/>
                    <a:stretch>
                      <a:fillRect/>
                    </a:stretch>
                  </pic:blipFill>
                  <pic:spPr bwMode="auto">
                    <a:xfrm>
                      <a:off x="0" y="0"/>
                      <a:ext cx="623633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-161925</wp:posOffset>
            </wp:positionV>
            <wp:extent cx="65246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8">
                      <a:extLst>
                        <a:ext uri="{28A0092B-C50C-407E-A947-70E740481C1C}"/>
                      </a:extLst>
                    </a:blip>
                    <a:srcRect/>
                    <a:stretch>
                      <a:fillRect/>
                    </a:stretch>
                  </pic:blipFill>
                  <pic:spPr bwMode="auto">
                    <a:xfrm>
                      <a:off x="0" y="0"/>
                      <a:ext cx="652462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-33020</wp:posOffset>
            </wp:positionV>
            <wp:extent cx="21799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9">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60" w:right="92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450">
        <w:r>
          <w:rPr>
            <w:rFonts w:ascii="Arial" w:cs="Arial" w:eastAsia="Arial" w:hAnsi="Arial"/>
            <w:sz w:val="18"/>
            <w:szCs w:val="18"/>
            <w:u w:val="single" w:color="auto"/>
            <w:color w:val="0000FF"/>
          </w:rPr>
          <w:t>Allison Transmission Holdings, Inc. 2015 Equity Incentive Award Plan (incorporated by reference to Appendix A to the</w:t>
        </w:r>
      </w:hyperlink>
      <w:r>
        <w:rPr>
          <w:rFonts w:ascii="Arial" w:cs="Arial" w:eastAsia="Arial" w:hAnsi="Arial"/>
          <w:sz w:val="18"/>
          <w:szCs w:val="18"/>
          <w:u w:val="single" w:color="auto"/>
          <w:color w:val="0000FF"/>
        </w:rPr>
        <w:t xml:space="preserve"> </w:t>
      </w:r>
      <w:hyperlink r:id="rId450">
        <w:r>
          <w:rPr>
            <w:rFonts w:ascii="Arial" w:cs="Arial" w:eastAsia="Arial" w:hAnsi="Arial"/>
            <w:sz w:val="18"/>
            <w:szCs w:val="18"/>
            <w:u w:val="single" w:color="auto"/>
            <w:color w:val="0000FF"/>
          </w:rPr>
          <w:t>Registrant’s Definitive Proxy Statement on Schedule 14A filed April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596265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596265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382905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3829050" cy="8255"/>
                    </a:xfrm>
                    <a:prstGeom prst="rect">
                      <a:avLst/>
                    </a:prstGeom>
                    <a:noFill/>
                  </pic:spPr>
                </pic:pic>
              </a:graphicData>
            </a:graphic>
          </wp:anchor>
        </w:drawing>
      </w:r>
    </w:p>
    <w:p>
      <w:pPr>
        <w:spacing w:after="0" w:line="92" w:lineRule="exact"/>
        <w:rPr>
          <w:sz w:val="20"/>
          <w:szCs w:val="20"/>
          <w:color w:val="auto"/>
        </w:rPr>
      </w:pPr>
    </w:p>
    <w:p>
      <w:pPr>
        <w:ind w:left="960" w:right="24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450">
        <w:r>
          <w:rPr>
            <w:rFonts w:ascii="Arial" w:cs="Arial" w:eastAsia="Arial" w:hAnsi="Arial"/>
            <w:sz w:val="18"/>
            <w:szCs w:val="18"/>
            <w:u w:val="single" w:color="auto"/>
            <w:color w:val="0000FF"/>
          </w:rPr>
          <w:t>Allison Transmission Holdings, Inc. 2016 Incentive Plan (incorporated by reference to Appendix B to the Registrant’s Definitive</w:t>
        </w:r>
      </w:hyperlink>
      <w:r>
        <w:rPr>
          <w:rFonts w:ascii="Arial" w:cs="Arial" w:eastAsia="Arial" w:hAnsi="Arial"/>
          <w:sz w:val="18"/>
          <w:szCs w:val="18"/>
          <w:u w:val="single" w:color="auto"/>
          <w:color w:val="0000FF"/>
        </w:rPr>
        <w:t xml:space="preserve"> </w:t>
      </w:r>
      <w:hyperlink r:id="rId450">
        <w:r>
          <w:rPr>
            <w:rFonts w:ascii="Arial" w:cs="Arial" w:eastAsia="Arial" w:hAnsi="Arial"/>
            <w:sz w:val="18"/>
            <w:szCs w:val="18"/>
            <w:u w:val="single" w:color="auto"/>
            <w:color w:val="0000FF"/>
          </w:rPr>
          <w:t>Proxy Statement on Schedule 14A filed April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3938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639381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269621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92" w:lineRule="exact"/>
        <w:rPr>
          <w:sz w:val="20"/>
          <w:szCs w:val="20"/>
          <w:color w:val="auto"/>
        </w:rPr>
      </w:pPr>
    </w:p>
    <w:p>
      <w:pPr>
        <w:ind w:left="960" w:right="68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55">
        <w:r>
          <w:rPr>
            <w:rFonts w:ascii="Arial" w:cs="Arial" w:eastAsia="Arial" w:hAnsi="Arial"/>
            <w:sz w:val="18"/>
            <w:szCs w:val="18"/>
            <w:u w:val="single" w:color="auto"/>
            <w:color w:val="0000FF"/>
          </w:rPr>
          <w:t>Form of 2015 Equity Incentive Award Plan Restricted Stock Agreement (incorporated by reference to Exhibit 10.41 to the</w:t>
        </w:r>
      </w:hyperlink>
      <w:r>
        <w:rPr>
          <w:rFonts w:ascii="Arial" w:cs="Arial" w:eastAsia="Arial" w:hAnsi="Arial"/>
          <w:sz w:val="18"/>
          <w:szCs w:val="18"/>
          <w:u w:val="single" w:color="auto"/>
          <w:color w:val="0000FF"/>
        </w:rPr>
        <w:t xml:space="preserve"> </w:t>
      </w:r>
      <w:hyperlink r:id="rId455">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1188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6">
                      <a:extLst>
                        <a:ext uri="{28A0092B-C50C-407E-A947-70E740481C1C}"/>
                      </a:extLst>
                    </a:blip>
                    <a:srcRect/>
                    <a:stretch>
                      <a:fillRect/>
                    </a:stretch>
                  </pic:blipFill>
                  <pic:spPr bwMode="auto">
                    <a:xfrm>
                      <a:off x="0" y="0"/>
                      <a:ext cx="611886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53263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7">
                      <a:extLst>
                        <a:ext uri="{28A0092B-C50C-407E-A947-70E740481C1C}"/>
                      </a:extLst>
                    </a:blip>
                    <a:srcRect/>
                    <a:stretch>
                      <a:fillRect/>
                    </a:stretch>
                  </pic:blipFill>
                  <pic:spPr bwMode="auto">
                    <a:xfrm>
                      <a:off x="0" y="0"/>
                      <a:ext cx="5326380" cy="8255"/>
                    </a:xfrm>
                    <a:prstGeom prst="rect">
                      <a:avLst/>
                    </a:prstGeom>
                    <a:noFill/>
                  </pic:spPr>
                </pic:pic>
              </a:graphicData>
            </a:graphic>
          </wp:anchor>
        </w:drawing>
      </w:r>
    </w:p>
    <w:p>
      <w:pPr>
        <w:spacing w:after="0" w:line="92" w:lineRule="exact"/>
        <w:rPr>
          <w:sz w:val="20"/>
          <w:szCs w:val="20"/>
          <w:color w:val="auto"/>
        </w:rPr>
      </w:pPr>
    </w:p>
    <w:p>
      <w:pPr>
        <w:ind w:left="960" w:right="32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458">
        <w:r>
          <w:rPr>
            <w:rFonts w:ascii="Arial" w:cs="Arial" w:eastAsia="Arial" w:hAnsi="Arial"/>
            <w:sz w:val="18"/>
            <w:szCs w:val="18"/>
            <w:u w:val="single" w:color="auto"/>
            <w:color w:val="0000FF"/>
          </w:rPr>
          <w:t>Form of 2015 Equity Incentive Award Plan Restricted Stock Unit Agreement (incorporated by reference to Exhibit 10.42 to the</w:t>
        </w:r>
      </w:hyperlink>
      <w:r>
        <w:rPr>
          <w:rFonts w:ascii="Arial" w:cs="Arial" w:eastAsia="Arial" w:hAnsi="Arial"/>
          <w:sz w:val="18"/>
          <w:szCs w:val="18"/>
          <w:u w:val="single" w:color="auto"/>
          <w:color w:val="0000FF"/>
        </w:rPr>
        <w:t xml:space="preserve"> </w:t>
      </w:r>
      <w:hyperlink r:id="rId458">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35381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635381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53263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5326380" cy="8255"/>
                    </a:xfrm>
                    <a:prstGeom prst="rect">
                      <a:avLst/>
                    </a:prstGeom>
                    <a:noFill/>
                  </pic:spPr>
                </pic:pic>
              </a:graphicData>
            </a:graphic>
          </wp:anchor>
        </w:drawing>
      </w:r>
    </w:p>
    <w:p>
      <w:pPr>
        <w:spacing w:after="0" w:line="92" w:lineRule="exact"/>
        <w:rPr>
          <w:sz w:val="20"/>
          <w:szCs w:val="20"/>
          <w:color w:val="auto"/>
        </w:rPr>
      </w:pPr>
    </w:p>
    <w:p>
      <w:pPr>
        <w:jc w:val="center"/>
        <w:ind w:right="840"/>
        <w:spacing w:after="0" w:line="27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461">
        <w:r>
          <w:rPr>
            <w:rFonts w:ascii="Arial" w:cs="Arial" w:eastAsia="Arial" w:hAnsi="Arial"/>
            <w:sz w:val="18"/>
            <w:szCs w:val="18"/>
            <w:u w:val="single" w:color="auto"/>
            <w:color w:val="0000FF"/>
          </w:rPr>
          <w:t>Form of 2015 Equity Incentive Award Plan Stock Option Agreement (incorporated by reference to Exhibit 10.43 to the</w:t>
        </w:r>
      </w:hyperlink>
      <w:r>
        <w:rPr>
          <w:rFonts w:ascii="Arial" w:cs="Arial" w:eastAsia="Arial" w:hAnsi="Arial"/>
          <w:sz w:val="18"/>
          <w:szCs w:val="18"/>
          <w:color w:val="auto"/>
        </w:rPr>
        <w:t xml:space="preserve"> </w:t>
      </w:r>
      <w:hyperlink r:id="rId461">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59416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2">
                      <a:extLst>
                        <a:ext uri="{28A0092B-C50C-407E-A947-70E740481C1C}"/>
                      </a:extLst>
                    </a:blip>
                    <a:srcRect/>
                    <a:stretch>
                      <a:fillRect/>
                    </a:stretch>
                  </pic:blipFill>
                  <pic:spPr bwMode="auto">
                    <a:xfrm>
                      <a:off x="0" y="0"/>
                      <a:ext cx="594169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53263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3">
                      <a:extLst>
                        <a:ext uri="{28A0092B-C50C-407E-A947-70E740481C1C}"/>
                      </a:extLst>
                    </a:blip>
                    <a:srcRect/>
                    <a:stretch>
                      <a:fillRect/>
                    </a:stretch>
                  </pic:blipFill>
                  <pic:spPr bwMode="auto">
                    <a:xfrm>
                      <a:off x="0" y="0"/>
                      <a:ext cx="5326380" cy="8255"/>
                    </a:xfrm>
                    <a:prstGeom prst="rect">
                      <a:avLst/>
                    </a:prstGeom>
                    <a:noFill/>
                  </pic:spPr>
                </pic:pic>
              </a:graphicData>
            </a:graphic>
          </wp:anchor>
        </w:drawing>
      </w:r>
    </w:p>
    <w:p>
      <w:pPr>
        <w:spacing w:after="0" w:line="92" w:lineRule="exact"/>
        <w:rPr>
          <w:sz w:val="20"/>
          <w:szCs w:val="20"/>
          <w:color w:val="auto"/>
        </w:rPr>
      </w:pPr>
    </w:p>
    <w:p>
      <w:pPr>
        <w:ind w:left="960" w:right="10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464">
        <w:r>
          <w:rPr>
            <w:rFonts w:ascii="Arial" w:cs="Arial" w:eastAsia="Arial" w:hAnsi="Arial"/>
            <w:sz w:val="18"/>
            <w:szCs w:val="18"/>
            <w:u w:val="single" w:color="auto"/>
            <w:color w:val="0000FF"/>
          </w:rPr>
          <w:t>Form of 2015 Equity Incentive Award Plan Performance Stock Unit Agreement (incorporated by reference to Exhibit 10.25 to the</w:t>
        </w:r>
      </w:hyperlink>
      <w:r>
        <w:rPr>
          <w:rFonts w:ascii="Arial" w:cs="Arial" w:eastAsia="Arial" w:hAnsi="Arial"/>
          <w:sz w:val="18"/>
          <w:szCs w:val="18"/>
          <w:u w:val="single" w:color="auto"/>
          <w:color w:val="0000FF"/>
        </w:rPr>
        <w:t xml:space="preserve"> </w:t>
      </w:r>
      <w:hyperlink r:id="rId464">
        <w:r>
          <w:rPr>
            <w:rFonts w:ascii="Arial" w:cs="Arial" w:eastAsia="Arial" w:hAnsi="Arial"/>
            <w:sz w:val="18"/>
            <w:szCs w:val="18"/>
            <w:u w:val="single" w:color="auto"/>
            <w:color w:val="0000FF"/>
          </w:rPr>
          <w:t>Registrant’s Annual Report on Form 10-K for the year ended December 31, 2016 filed February 24,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49351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649351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53263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5326380" cy="8255"/>
                    </a:xfrm>
                    <a:prstGeom prst="rect">
                      <a:avLst/>
                    </a:prstGeom>
                    <a:noFill/>
                  </pic:spPr>
                </pic:pic>
              </a:graphicData>
            </a:graphic>
          </wp:anchor>
        </w:drawing>
      </w:r>
    </w:p>
    <w:p>
      <w:pPr>
        <w:spacing w:after="0" w:line="92" w:lineRule="exact"/>
        <w:rPr>
          <w:sz w:val="20"/>
          <w:szCs w:val="20"/>
          <w:color w:val="auto"/>
        </w:rPr>
      </w:pPr>
    </w:p>
    <w:p>
      <w:pPr>
        <w:ind w:left="960" w:right="10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467">
        <w:r>
          <w:rPr>
            <w:rFonts w:ascii="Arial" w:cs="Arial" w:eastAsia="Arial" w:hAnsi="Arial"/>
            <w:sz w:val="18"/>
            <w:szCs w:val="18"/>
            <w:u w:val="single" w:color="auto"/>
            <w:color w:val="0000FF"/>
          </w:rPr>
          <w:t>Allison Transmission Holdings, Inc. 2011 Equity Incentive Award Plan (incorporated by reference to Exhibit 10.10 to Amendment</w:t>
        </w:r>
      </w:hyperlink>
      <w:r>
        <w:rPr>
          <w:rFonts w:ascii="Arial" w:cs="Arial" w:eastAsia="Arial" w:hAnsi="Arial"/>
          <w:sz w:val="18"/>
          <w:szCs w:val="18"/>
          <w:u w:val="single" w:color="auto"/>
          <w:color w:val="0000FF"/>
        </w:rPr>
        <w:t xml:space="preserve"> </w:t>
      </w:r>
      <w:hyperlink r:id="rId467">
        <w:r>
          <w:rPr>
            <w:rFonts w:ascii="Arial" w:cs="Arial" w:eastAsia="Arial" w:hAnsi="Arial"/>
            <w:sz w:val="18"/>
            <w:szCs w:val="18"/>
            <w:u w:val="single" w:color="auto"/>
            <w:color w:val="0000FF"/>
          </w:rPr>
          <w:t>No. 3 to the Registrant’s Registration Statement on Form S-1 filed June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4871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8">
                      <a:extLst>
                        <a:ext uri="{28A0092B-C50C-407E-A947-70E740481C1C}"/>
                      </a:extLst>
                    </a:blip>
                    <a:srcRect/>
                    <a:stretch>
                      <a:fillRect/>
                    </a:stretch>
                  </pic:blipFill>
                  <pic:spPr bwMode="auto">
                    <a:xfrm>
                      <a:off x="0" y="0"/>
                      <a:ext cx="648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1059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9">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92" w:lineRule="exact"/>
        <w:rPr>
          <w:sz w:val="20"/>
          <w:szCs w:val="20"/>
          <w:color w:val="auto"/>
        </w:rPr>
      </w:pPr>
    </w:p>
    <w:p>
      <w:pPr>
        <w:ind w:left="960" w:right="62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470">
        <w:r>
          <w:rPr>
            <w:rFonts w:ascii="Arial" w:cs="Arial" w:eastAsia="Arial" w:hAnsi="Arial"/>
            <w:sz w:val="18"/>
            <w:szCs w:val="18"/>
            <w:u w:val="single" w:color="auto"/>
            <w:color w:val="0000FF"/>
          </w:rPr>
          <w:t>Form of 2011 Equity Incentive Award Plan Restricted Stock Unit Agreement (incorporated by reference to Exhibit 10.12 to</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Amendment No. 3 to the Registrant’s Registration Statement on Form S-1 filed June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1550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75297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4752975" cy="8255"/>
                    </a:xfrm>
                    <a:prstGeom prst="rect">
                      <a:avLst/>
                    </a:prstGeom>
                    <a:noFill/>
                  </pic:spPr>
                </pic:pic>
              </a:graphicData>
            </a:graphic>
          </wp:anchor>
        </w:drawing>
      </w:r>
    </w:p>
    <w:p>
      <w:pPr>
        <w:spacing w:after="0" w:line="92" w:lineRule="exact"/>
        <w:rPr>
          <w:sz w:val="20"/>
          <w:szCs w:val="20"/>
          <w:color w:val="auto"/>
        </w:rPr>
      </w:pPr>
    </w:p>
    <w:p>
      <w:pPr>
        <w:ind w:left="960" w:right="26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73">
        <w:r>
          <w:rPr>
            <w:rFonts w:ascii="Arial" w:cs="Arial" w:eastAsia="Arial" w:hAnsi="Arial"/>
            <w:sz w:val="18"/>
            <w:szCs w:val="18"/>
            <w:u w:val="single" w:color="auto"/>
            <w:color w:val="0000FF"/>
          </w:rPr>
          <w:t>Form of 2011 Equity Incentive Award Plan Stock Option Agreement (incorporated by reference to Exhibit 10.13 to Amendment</w:t>
        </w:r>
      </w:hyperlink>
      <w:r>
        <w:rPr>
          <w:rFonts w:ascii="Arial" w:cs="Arial" w:eastAsia="Arial" w:hAnsi="Arial"/>
          <w:sz w:val="18"/>
          <w:szCs w:val="18"/>
          <w:u w:val="single" w:color="auto"/>
          <w:color w:val="0000FF"/>
        </w:rPr>
        <w:t xml:space="preserve"> </w:t>
      </w:r>
      <w:hyperlink r:id="rId473">
        <w:r>
          <w:rPr>
            <w:rFonts w:ascii="Arial" w:cs="Arial" w:eastAsia="Arial" w:hAnsi="Arial"/>
            <w:sz w:val="18"/>
            <w:szCs w:val="18"/>
            <w:u w:val="single" w:color="auto"/>
            <w:color w:val="0000FF"/>
          </w:rPr>
          <w:t>No. 3 to the Registrant’s Registration Statement on Form S-1 filed June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39000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639000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10591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92" w:lineRule="exact"/>
        <w:rPr>
          <w:sz w:val="20"/>
          <w:szCs w:val="20"/>
          <w:color w:val="auto"/>
        </w:rPr>
      </w:pPr>
    </w:p>
    <w:p>
      <w:pPr>
        <w:ind w:left="960" w:right="26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76">
        <w:r>
          <w:rPr>
            <w:rFonts w:ascii="Arial" w:cs="Arial" w:eastAsia="Arial" w:hAnsi="Arial"/>
            <w:sz w:val="18"/>
            <w:szCs w:val="18"/>
            <w:u w:val="single" w:color="auto"/>
            <w:color w:val="0000FF"/>
          </w:rPr>
          <w:t>Form Amendment to Stock Option Agreement under the Allison Transmission Holdings, Inc. 2011 Equity Incentive Award Plan</w:t>
        </w:r>
      </w:hyperlink>
      <w:r>
        <w:rPr>
          <w:rFonts w:ascii="Arial" w:cs="Arial" w:eastAsia="Arial" w:hAnsi="Arial"/>
          <w:sz w:val="18"/>
          <w:szCs w:val="18"/>
          <w:u w:val="single" w:color="auto"/>
          <w:color w:val="0000FF"/>
        </w:rPr>
        <w:t xml:space="preserve"> </w:t>
      </w:r>
      <w:hyperlink r:id="rId476">
        <w:r>
          <w:rPr>
            <w:rFonts w:ascii="Arial" w:cs="Arial" w:eastAsia="Arial" w:hAnsi="Arial"/>
            <w:sz w:val="18"/>
            <w:szCs w:val="18"/>
            <w:u w:val="single" w:color="auto"/>
            <w:color w:val="0000FF"/>
          </w:rPr>
          <w:t>and Equity Incentive Plan of Allison Transmission Holdings, Inc. (incorporated by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3855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7">
                      <a:extLst>
                        <a:ext uri="{28A0092B-C50C-407E-A947-70E740481C1C}"/>
                      </a:extLst>
                    </a:blip>
                    <a:srcRect/>
                    <a:stretch>
                      <a:fillRect/>
                    </a:stretch>
                  </pic:blipFill>
                  <pic:spPr bwMode="auto">
                    <a:xfrm>
                      <a:off x="0" y="0"/>
                      <a:ext cx="638556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0995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8">
                      <a:extLst>
                        <a:ext uri="{28A0092B-C50C-407E-A947-70E740481C1C}"/>
                      </a:extLst>
                    </a:blip>
                    <a:srcRect/>
                    <a:stretch>
                      <a:fillRect/>
                    </a:stretch>
                  </pic:blipFill>
                  <pic:spPr bwMode="auto">
                    <a:xfrm>
                      <a:off x="0" y="0"/>
                      <a:ext cx="4099560" cy="8255"/>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left="960" w:right="220"/>
        <w:spacing w:after="0" w:line="271" w:lineRule="auto"/>
        <w:rPr>
          <w:rFonts w:ascii="Arial" w:cs="Arial" w:eastAsia="Arial" w:hAnsi="Arial"/>
          <w:sz w:val="18"/>
          <w:szCs w:val="18"/>
          <w:u w:val="single" w:color="auto"/>
          <w:color w:val="0000FF"/>
        </w:rPr>
      </w:pPr>
      <w:hyperlink r:id="rId476">
        <w:r>
          <w:rPr>
            <w:rFonts w:ascii="Arial" w:cs="Arial" w:eastAsia="Arial" w:hAnsi="Arial"/>
            <w:sz w:val="18"/>
            <w:szCs w:val="18"/>
            <w:u w:val="single" w:color="auto"/>
            <w:color w:val="0000FF"/>
          </w:rPr>
          <w:t>reference to Exhibit 10.27 to the Registrant’s Quarterly Report on Form 10-Q for the quarter ended June 30, 2013 filed July 30,</w:t>
        </w:r>
      </w:hyperlink>
      <w:r>
        <w:rPr>
          <w:rFonts w:ascii="Arial" w:cs="Arial" w:eastAsia="Arial" w:hAnsi="Arial"/>
          <w:sz w:val="18"/>
          <w:szCs w:val="18"/>
          <w:u w:val="single" w:color="auto"/>
          <w:color w:val="0000FF"/>
        </w:rPr>
        <w:t xml:space="preserve"> </w:t>
      </w:r>
      <w:hyperlink r:id="rId476">
        <w:r>
          <w:rPr>
            <w:rFonts w:ascii="Arial" w:cs="Arial" w:eastAsia="Arial" w:hAnsi="Arial"/>
            <w:sz w:val="18"/>
            <w:szCs w:val="18"/>
            <w:u w:val="single" w:color="auto"/>
            <w:color w:val="0000FF"/>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41731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1">
                      <a:extLst>
                        <a:ext uri="{28A0092B-C50C-407E-A947-70E740481C1C}"/>
                      </a:extLst>
                    </a:blip>
                    <a:srcRect/>
                    <a:stretch>
                      <a:fillRect/>
                    </a:stretch>
                  </pic:blipFill>
                  <pic:spPr bwMode="auto">
                    <a:xfrm>
                      <a:off x="0" y="0"/>
                      <a:ext cx="641731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2921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2">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92" w:lineRule="exact"/>
        <w:rPr>
          <w:sz w:val="20"/>
          <w:szCs w:val="20"/>
          <w:color w:val="auto"/>
        </w:rPr>
      </w:pPr>
    </w:p>
    <w:p>
      <w:pPr>
        <w:ind w:left="960" w:right="98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483">
        <w:r>
          <w:rPr>
            <w:rFonts w:ascii="Arial" w:cs="Arial" w:eastAsia="Arial" w:hAnsi="Arial"/>
            <w:sz w:val="18"/>
            <w:szCs w:val="18"/>
            <w:u w:val="single" w:color="auto"/>
            <w:color w:val="0000FF"/>
          </w:rPr>
          <w:t>Form of 2011 Equity Incentive Award Plan Stock Option Agreement (incorporated by reference to Exhibit 10.29 to the</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Registrant’s Quarterly Report on Form 10-Q for the quarter ended September 30, 2013 filed October 29,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593280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4">
                      <a:extLst>
                        <a:ext uri="{28A0092B-C50C-407E-A947-70E740481C1C}"/>
                      </a:extLst>
                    </a:blip>
                    <a:srcRect/>
                    <a:stretch>
                      <a:fillRect/>
                    </a:stretch>
                  </pic:blipFill>
                  <pic:spPr bwMode="auto">
                    <a:xfrm>
                      <a:off x="0" y="0"/>
                      <a:ext cx="593280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557403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5">
                      <a:extLst>
                        <a:ext uri="{28A0092B-C50C-407E-A947-70E740481C1C}"/>
                      </a:extLst>
                    </a:blip>
                    <a:srcRect/>
                    <a:stretch>
                      <a:fillRect/>
                    </a:stretch>
                  </pic:blipFill>
                  <pic:spPr bwMode="auto">
                    <a:xfrm>
                      <a:off x="0" y="0"/>
                      <a:ext cx="5574030" cy="8255"/>
                    </a:xfrm>
                    <a:prstGeom prst="rect">
                      <a:avLst/>
                    </a:prstGeom>
                    <a:noFill/>
                  </pic:spPr>
                </pic:pic>
              </a:graphicData>
            </a:graphic>
          </wp:anchor>
        </w:drawing>
      </w:r>
    </w:p>
    <w:p>
      <w:pPr>
        <w:spacing w:after="0" w:line="92" w:lineRule="exact"/>
        <w:rPr>
          <w:sz w:val="20"/>
          <w:szCs w:val="20"/>
          <w:color w:val="auto"/>
        </w:rPr>
      </w:pPr>
    </w:p>
    <w:p>
      <w:pPr>
        <w:ind w:left="960" w:right="78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486">
        <w:r>
          <w:rPr>
            <w:rFonts w:ascii="Arial" w:cs="Arial" w:eastAsia="Arial" w:hAnsi="Arial"/>
            <w:sz w:val="18"/>
            <w:szCs w:val="18"/>
            <w:u w:val="single" w:color="auto"/>
            <w:color w:val="0000FF"/>
          </w:rPr>
          <w:t>Deferred Compensation Plan of Allison Transmission Inc. (incorporated by reference to Exhibit 10.21 to the Registrant’s</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Quarterly Report on Form 10-Q for the quarter ended June 30, 2012 filed July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0579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605790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4278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4427855" cy="8255"/>
                    </a:xfrm>
                    <a:prstGeom prst="rect">
                      <a:avLst/>
                    </a:prstGeom>
                    <a:noFill/>
                  </pic:spPr>
                </pic:pic>
              </a:graphicData>
            </a:graphic>
          </wp:anchor>
        </w:drawing>
      </w:r>
    </w:p>
    <w:p>
      <w:pPr>
        <w:spacing w:after="0" w:line="92" w:lineRule="exact"/>
        <w:rPr>
          <w:sz w:val="20"/>
          <w:szCs w:val="20"/>
          <w:color w:val="auto"/>
        </w:rPr>
      </w:pPr>
    </w:p>
    <w:p>
      <w:pPr>
        <w:ind w:left="960" w:right="42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489">
        <w:r>
          <w:rPr>
            <w:rFonts w:ascii="Arial" w:cs="Arial" w:eastAsia="Arial" w:hAnsi="Arial"/>
            <w:sz w:val="18"/>
            <w:szCs w:val="18"/>
            <w:u w:val="single" w:color="auto"/>
            <w:color w:val="0000FF"/>
          </w:rPr>
          <w:t>Sixth Amended and Restated Non-Employee Director Compensation Policy (incorporated by reference to Exhibit 10.1 to the</w:t>
        </w:r>
      </w:hyperlink>
      <w:r>
        <w:rPr>
          <w:rFonts w:ascii="Arial" w:cs="Arial" w:eastAsia="Arial" w:hAnsi="Arial"/>
          <w:sz w:val="18"/>
          <w:szCs w:val="18"/>
          <w:u w:val="single" w:color="auto"/>
          <w:color w:val="0000FF"/>
        </w:rPr>
        <w:t xml:space="preserve"> </w:t>
      </w:r>
      <w:hyperlink r:id="rId489">
        <w:r>
          <w:rPr>
            <w:rFonts w:ascii="Arial" w:cs="Arial" w:eastAsia="Arial" w:hAnsi="Arial"/>
            <w:sz w:val="18"/>
            <w:szCs w:val="18"/>
            <w:u w:val="single" w:color="auto"/>
            <w:color w:val="0000FF"/>
          </w:rPr>
          <w:t>Registrant’s Quarterly Report on Form 10-Q for the quarter ended June 30, 2022 filed August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28015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628015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514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5148580" cy="8255"/>
                    </a:xfrm>
                    <a:prstGeom prst="rect">
                      <a:avLst/>
                    </a:prstGeom>
                    <a:noFill/>
                  </pic:spPr>
                </pic:pic>
              </a:graphicData>
            </a:graphic>
          </wp:anchor>
        </w:drawing>
      </w:r>
    </w:p>
    <w:p>
      <w:pPr>
        <w:spacing w:after="0" w:line="92" w:lineRule="exact"/>
        <w:rPr>
          <w:sz w:val="20"/>
          <w:szCs w:val="20"/>
          <w:color w:val="auto"/>
        </w:rPr>
      </w:pPr>
    </w:p>
    <w:p>
      <w:pPr>
        <w:ind w:left="960" w:right="260" w:hanging="830"/>
        <w:spacing w:after="0" w:line="252"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492">
        <w:r>
          <w:rPr>
            <w:rFonts w:ascii="Arial" w:cs="Arial" w:eastAsia="Arial" w:hAnsi="Arial"/>
            <w:sz w:val="18"/>
            <w:szCs w:val="18"/>
            <w:u w:val="single" w:color="auto"/>
            <w:color w:val="0000FF"/>
          </w:rPr>
          <w:t>Amended and Restated Non-Employee Director Deferred Compensation Plan of Allison Transmission Holdings, Inc.</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(incorporated by reference to Exhibit 10.38 to the Registrant’s Quarterly Report on Form 10-Q for the quarter ended March 31,</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2015 filed April 28,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-290195</wp:posOffset>
            </wp:positionV>
            <wp:extent cx="58756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58756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-161925</wp:posOffset>
            </wp:positionV>
            <wp:extent cx="63919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639191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-33020</wp:posOffset>
            </wp:positionV>
            <wp:extent cx="126873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60" w:right="6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496">
        <w:r>
          <w:rPr>
            <w:rFonts w:ascii="Arial" w:cs="Arial" w:eastAsia="Arial" w:hAnsi="Arial"/>
            <w:sz w:val="18"/>
            <w:szCs w:val="18"/>
            <w:u w:val="single" w:color="auto"/>
            <w:color w:val="0000FF"/>
          </w:rPr>
          <w:t>Form of Allison Transmission Holdings, Inc. Indemnification Agreement (incorporated by reference to Exhibit 10.9 to Amendment</w:t>
        </w:r>
      </w:hyperlink>
      <w:r>
        <w:rPr>
          <w:rFonts w:ascii="Arial" w:cs="Arial" w:eastAsia="Arial" w:hAnsi="Arial"/>
          <w:sz w:val="18"/>
          <w:szCs w:val="18"/>
          <w:u w:val="single" w:color="auto"/>
          <w:color w:val="0000FF"/>
        </w:rPr>
        <w:t xml:space="preserve"> </w:t>
      </w:r>
      <w:hyperlink r:id="rId496">
        <w:r>
          <w:rPr>
            <w:rFonts w:ascii="Arial" w:cs="Arial" w:eastAsia="Arial" w:hAnsi="Arial"/>
            <w:sz w:val="18"/>
            <w:szCs w:val="18"/>
            <w:u w:val="single" w:color="auto"/>
            <w:color w:val="0000FF"/>
          </w:rPr>
          <w:t>No. 2 to the Registrant’s Registration Statement on Form S-1 filed May 16, 2011 )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5100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7">
                      <a:extLst>
                        <a:ext uri="{28A0092B-C50C-407E-A947-70E740481C1C}"/>
                      </a:extLst>
                    </a:blip>
                    <a:srcRect/>
                    <a:stretch>
                      <a:fillRect/>
                    </a:stretch>
                  </pic:blipFill>
                  <pic:spPr bwMode="auto">
                    <a:xfrm>
                      <a:off x="0" y="0"/>
                      <a:ext cx="651002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10591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8">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92" w:lineRule="exact"/>
        <w:rPr>
          <w:sz w:val="20"/>
          <w:szCs w:val="20"/>
          <w:color w:val="auto"/>
        </w:rPr>
      </w:pPr>
    </w:p>
    <w:p>
      <w:pPr>
        <w:ind w:left="960" w:right="40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499">
        <w:r>
          <w:rPr>
            <w:rFonts w:ascii="Arial" w:cs="Arial" w:eastAsia="Arial" w:hAnsi="Arial"/>
            <w:sz w:val="18"/>
            <w:szCs w:val="18"/>
            <w:u w:val="single" w:color="auto"/>
            <w:color w:val="0000FF"/>
          </w:rPr>
          <w:t>Allison Transmission, Inc. Executive Change in Control and Severance Plan (incorporated by reference to Exhibit 10.1 to the</w:t>
        </w:r>
      </w:hyperlink>
      <w:r>
        <w:rPr>
          <w:rFonts w:ascii="Arial" w:cs="Arial" w:eastAsia="Arial" w:hAnsi="Arial"/>
          <w:sz w:val="18"/>
          <w:szCs w:val="18"/>
          <w:u w:val="single" w:color="auto"/>
          <w:color w:val="0000FF"/>
        </w:rPr>
        <w:t xml:space="preserve"> </w:t>
      </w:r>
      <w:hyperlink r:id="rId499">
        <w:r>
          <w:rPr>
            <w:rFonts w:ascii="Arial" w:cs="Arial" w:eastAsia="Arial" w:hAnsi="Arial"/>
            <w:sz w:val="18"/>
            <w:szCs w:val="18"/>
            <w:u w:val="single" w:color="auto"/>
            <w:color w:val="0000FF"/>
          </w:rPr>
          <w:t>Registrant’s Current Report on Form 8-K filed July 19,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30110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0">
                      <a:extLst>
                        <a:ext uri="{28A0092B-C50C-407E-A947-70E740481C1C}"/>
                      </a:extLst>
                    </a:blip>
                    <a:srcRect/>
                    <a:stretch>
                      <a:fillRect/>
                    </a:stretch>
                  </pic:blipFill>
                  <pic:spPr bwMode="auto">
                    <a:xfrm>
                      <a:off x="0" y="0"/>
                      <a:ext cx="630110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304228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1">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spacing w:after="0" w:line="92" w:lineRule="exact"/>
        <w:rPr>
          <w:sz w:val="20"/>
          <w:szCs w:val="20"/>
          <w:color w:val="auto"/>
        </w:rPr>
      </w:pPr>
    </w:p>
    <w:p>
      <w:pPr>
        <w:jc w:val="center"/>
        <w:ind w:right="20"/>
        <w:spacing w:after="0"/>
        <w:tabs>
          <w:tab w:leader="none" w:pos="300" w:val="left"/>
        </w:tabs>
        <w:rPr>
          <w:rFonts w:ascii="Arial" w:cs="Arial" w:eastAsia="Arial" w:hAnsi="Arial"/>
          <w:sz w:val="17"/>
          <w:szCs w:val="17"/>
          <w:u w:val="single" w:color="auto"/>
          <w:color w:val="0000FF"/>
        </w:rPr>
      </w:pPr>
      <w:r>
        <w:rPr>
          <w:rFonts w:ascii="Arial" w:cs="Arial" w:eastAsia="Arial" w:hAnsi="Arial"/>
          <w:sz w:val="18"/>
          <w:szCs w:val="18"/>
          <w:color w:val="auto"/>
        </w:rPr>
        <w:t>10.23*</w:t>
      </w:r>
      <w:r>
        <w:rPr>
          <w:sz w:val="20"/>
          <w:szCs w:val="20"/>
          <w:color w:val="auto"/>
        </w:rPr>
        <w:tab/>
      </w:r>
      <w:hyperlink r:id="rId502">
        <w:r>
          <w:rPr>
            <w:rFonts w:ascii="Arial" w:cs="Arial" w:eastAsia="Arial" w:hAnsi="Arial"/>
            <w:sz w:val="17"/>
            <w:szCs w:val="17"/>
            <w:u w:val="single" w:color="auto"/>
            <w:color w:val="0000FF"/>
          </w:rPr>
          <w:t>Severance and Change in Control Agreement, between Allison Transmission, Inc. and David S. Graziosi, dated as of March 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-7620</wp:posOffset>
            </wp:positionV>
            <wp:extent cx="645922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3">
                      <a:extLst>
                        <a:ext uri="{28A0092B-C50C-407E-A947-70E740481C1C}"/>
                      </a:extLst>
                    </a:blip>
                    <a:srcRect/>
                    <a:stretch>
                      <a:fillRect/>
                    </a:stretch>
                  </pic:blipFill>
                  <pic:spPr bwMode="auto">
                    <a:xfrm>
                      <a:off x="0" y="0"/>
                      <a:ext cx="6459220" cy="8255"/>
                    </a:xfrm>
                    <a:prstGeom prst="rect">
                      <a:avLst/>
                    </a:prstGeom>
                    <a:noFill/>
                  </pic:spPr>
                </pic:pic>
              </a:graphicData>
            </a:graphic>
          </wp:anchor>
        </w:drawing>
      </w:r>
    </w:p>
    <w:p>
      <w:pPr>
        <w:jc w:val="center"/>
        <w:ind w:right="60"/>
        <w:spacing w:after="0"/>
        <w:rPr>
          <w:rFonts w:ascii="Arial" w:cs="Arial" w:eastAsia="Arial" w:hAnsi="Arial"/>
          <w:sz w:val="18"/>
          <w:szCs w:val="18"/>
          <w:u w:val="single" w:color="auto"/>
          <w:color w:val="0000FF"/>
        </w:rPr>
      </w:pPr>
      <w:hyperlink r:id="rId502">
        <w:r>
          <w:rPr>
            <w:rFonts w:ascii="Arial" w:cs="Arial" w:eastAsia="Arial" w:hAnsi="Arial"/>
            <w:sz w:val="18"/>
            <w:szCs w:val="18"/>
            <w:u w:val="single" w:color="auto"/>
            <w:color w:val="0000FF"/>
          </w:rPr>
          <w:t>2018 (incorporated by reference to Exhibit 10.1 to the Registrant’s Current Report on Form 8-K filed March 23,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-19050</wp:posOffset>
            </wp:positionV>
            <wp:extent cx="588454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4">
                      <a:extLst>
                        <a:ext uri="{28A0092B-C50C-407E-A947-70E740481C1C}"/>
                      </a:extLst>
                    </a:blip>
                    <a:srcRect/>
                    <a:stretch>
                      <a:fillRect/>
                    </a:stretch>
                  </pic:blipFill>
                  <pic:spPr bwMode="auto">
                    <a:xfrm>
                      <a:off x="0" y="0"/>
                      <a:ext cx="5884545" cy="8255"/>
                    </a:xfrm>
                    <a:prstGeom prst="rect">
                      <a:avLst/>
                    </a:prstGeom>
                    <a:noFill/>
                  </pic:spPr>
                </pic:pic>
              </a:graphicData>
            </a:graphic>
          </wp:anchor>
        </w:drawing>
      </w:r>
    </w:p>
    <w:p>
      <w:pPr>
        <w:spacing w:after="0" w:line="133" w:lineRule="exact"/>
        <w:rPr>
          <w:sz w:val="20"/>
          <w:szCs w:val="20"/>
          <w:color w:val="auto"/>
        </w:rPr>
      </w:pPr>
    </w:p>
    <w:p>
      <w:pPr>
        <w:ind w:left="960" w:right="54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505">
        <w:r>
          <w:rPr>
            <w:rFonts w:ascii="Arial" w:cs="Arial" w:eastAsia="Arial" w:hAnsi="Arial"/>
            <w:sz w:val="18"/>
            <w:szCs w:val="18"/>
            <w:u w:val="single" w:color="auto"/>
            <w:color w:val="0000FF"/>
          </w:rPr>
          <w:t>Separation Agreement, between Allison Transmission, Inc. and Randall R. Kirk, dated as of May 26, 2021 (incorporated by</w:t>
        </w:r>
      </w:hyperlink>
      <w:r>
        <w:rPr>
          <w:rFonts w:ascii="Arial" w:cs="Arial" w:eastAsia="Arial" w:hAnsi="Arial"/>
          <w:sz w:val="18"/>
          <w:szCs w:val="18"/>
          <w:u w:val="single" w:color="auto"/>
          <w:color w:val="0000FF"/>
        </w:rPr>
        <w:t xml:space="preserve"> </w:t>
      </w:r>
      <w:hyperlink r:id="rId505">
        <w:r>
          <w:rPr>
            <w:rFonts w:ascii="Arial" w:cs="Arial" w:eastAsia="Arial" w:hAnsi="Arial"/>
            <w:sz w:val="18"/>
            <w:szCs w:val="18"/>
            <w:u w:val="single" w:color="auto"/>
            <w:color w:val="0000FF"/>
          </w:rPr>
          <w:t>reference to Exhibit 10.1 to the Registrant's Current Report on Form 8-K filed May 27,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2122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6">
                      <a:extLst>
                        <a:ext uri="{28A0092B-C50C-407E-A947-70E740481C1C}"/>
                      </a:extLst>
                    </a:blip>
                    <a:srcRect/>
                    <a:stretch>
                      <a:fillRect/>
                    </a:stretch>
                  </pic:blipFill>
                  <pic:spPr bwMode="auto">
                    <a:xfrm>
                      <a:off x="0" y="0"/>
                      <a:ext cx="621220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63931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7">
                      <a:extLst>
                        <a:ext uri="{28A0092B-C50C-407E-A947-70E740481C1C}"/>
                      </a:extLst>
                    </a:blip>
                    <a:srcRect/>
                    <a:stretch>
                      <a:fillRect/>
                    </a:stretch>
                  </pic:blipFill>
                  <pic:spPr bwMode="auto">
                    <a:xfrm>
                      <a:off x="0" y="0"/>
                      <a:ext cx="4639310" cy="8255"/>
                    </a:xfrm>
                    <a:prstGeom prst="rect">
                      <a:avLst/>
                    </a:prstGeom>
                    <a:noFill/>
                  </pic:spPr>
                </pic:pic>
              </a:graphicData>
            </a:graphic>
          </wp:anchor>
        </w:drawing>
      </w:r>
    </w:p>
    <w:p>
      <w:pPr>
        <w:spacing w:after="0" w:line="92" w:lineRule="exact"/>
        <w:rPr>
          <w:sz w:val="20"/>
          <w:szCs w:val="20"/>
          <w:color w:val="auto"/>
        </w:rPr>
      </w:pPr>
    </w:p>
    <w:p>
      <w:pPr>
        <w:ind w:left="960" w:right="20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508">
        <w:r>
          <w:rPr>
            <w:rFonts w:ascii="Arial" w:cs="Arial" w:eastAsia="Arial" w:hAnsi="Arial"/>
            <w:sz w:val="18"/>
            <w:szCs w:val="18"/>
            <w:u w:val="single" w:color="auto"/>
            <w:color w:val="0000FF"/>
          </w:rPr>
          <w:t>Separation Agreement, between Allison Transmission, Inc. and Michael A. Dick, dated as of January 26, 2022 (incorporated by</w:t>
        </w:r>
      </w:hyperlink>
      <w:r>
        <w:rPr>
          <w:rFonts w:ascii="Arial" w:cs="Arial" w:eastAsia="Arial" w:hAnsi="Arial"/>
          <w:sz w:val="18"/>
          <w:szCs w:val="18"/>
          <w:u w:val="single" w:color="auto"/>
          <w:color w:val="0000FF"/>
        </w:rPr>
        <w:t xml:space="preserve"> </w:t>
      </w:r>
      <w:hyperlink r:id="rId508">
        <w:r>
          <w:rPr>
            <w:rFonts w:ascii="Arial" w:cs="Arial" w:eastAsia="Arial" w:hAnsi="Arial"/>
            <w:sz w:val="18"/>
            <w:szCs w:val="18"/>
            <w:u w:val="single" w:color="auto"/>
            <w:color w:val="0000FF"/>
          </w:rPr>
          <w:t>reference to Exhibit 10.1 to the Registration’s Current Report on Form 8-K filed January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42810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9">
                      <a:extLst>
                        <a:ext uri="{28A0092B-C50C-407E-A947-70E740481C1C}"/>
                      </a:extLst>
                    </a:blip>
                    <a:srcRect/>
                    <a:stretch>
                      <a:fillRect/>
                    </a:stretch>
                  </pic:blipFill>
                  <pic:spPr bwMode="auto">
                    <a:xfrm>
                      <a:off x="0" y="0"/>
                      <a:ext cx="642810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9206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0">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92" w:lineRule="exact"/>
        <w:rPr>
          <w:sz w:val="20"/>
          <w:szCs w:val="20"/>
          <w:color w:val="auto"/>
        </w:rPr>
      </w:pPr>
    </w:p>
    <w:p>
      <w:pPr>
        <w:ind w:left="960" w:right="400" w:hanging="830"/>
        <w:spacing w:after="0" w:line="271"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14.1</w:t>
      </w:r>
      <w:r>
        <w:rPr>
          <w:sz w:val="20"/>
          <w:szCs w:val="20"/>
          <w:color w:val="auto"/>
        </w:rPr>
        <w:tab/>
      </w:r>
      <w:hyperlink r:id="rId511">
        <w:r>
          <w:rPr>
            <w:rFonts w:ascii="Arial" w:cs="Arial" w:eastAsia="Arial" w:hAnsi="Arial"/>
            <w:sz w:val="18"/>
            <w:szCs w:val="18"/>
            <w:u w:val="single" w:color="auto"/>
            <w:color w:val="0000FF"/>
          </w:rPr>
          <w:t>Code of Business Conduct (incorporated by reference to Exhibit 14.1 to the Registrant’s Annual Report on Form 10-K for the</w:t>
        </w:r>
      </w:hyperlink>
      <w:r>
        <w:rPr>
          <w:rFonts w:ascii="Arial" w:cs="Arial" w:eastAsia="Arial" w:hAnsi="Arial"/>
          <w:sz w:val="18"/>
          <w:szCs w:val="18"/>
          <w:u w:val="single" w:color="auto"/>
          <w:color w:val="0000FF"/>
        </w:rPr>
        <w:t xml:space="preserve"> </w:t>
      </w:r>
      <w:hyperlink r:id="rId511">
        <w:r>
          <w:rPr>
            <w:rFonts w:ascii="Arial" w:cs="Arial" w:eastAsia="Arial" w:hAnsi="Arial"/>
            <w:sz w:val="18"/>
            <w:szCs w:val="18"/>
            <w:u w:val="single" w:color="auto"/>
            <w:color w:val="0000FF"/>
          </w:rPr>
          <w:t>fiscal year ended December 31, 2018 filed February 26,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30301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2">
                      <a:extLst>
                        <a:ext uri="{28A0092B-C50C-407E-A947-70E740481C1C}"/>
                      </a:extLst>
                    </a:blip>
                    <a:srcRect/>
                    <a:stretch>
                      <a:fillRect/>
                    </a:stretch>
                  </pic:blipFill>
                  <pic:spPr bwMode="auto">
                    <a:xfrm>
                      <a:off x="0" y="0"/>
                      <a:ext cx="630301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314007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spacing w:after="0" w:line="92"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List of Subsidiaries of Allison Transmission Holdings, Inc.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-7620</wp:posOffset>
            </wp:positionV>
            <wp:extent cx="366204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3662045" cy="8255"/>
                    </a:xfrm>
                    <a:prstGeom prst="rect">
                      <a:avLst/>
                    </a:prstGeom>
                    <a:noFill/>
                  </pic:spPr>
                </pic:pic>
              </a:graphicData>
            </a:graphic>
          </wp:anchor>
        </w:drawing>
      </w:r>
    </w:p>
    <w:p>
      <w:pPr>
        <w:spacing w:after="0" w:line="151"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PricewaterhouseCoopers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-7620</wp:posOffset>
            </wp:positionV>
            <wp:extent cx="28797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5">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151" w:lineRule="exact"/>
        <w:rPr>
          <w:sz w:val="20"/>
          <w:szCs w:val="20"/>
          <w:color w:val="auto"/>
        </w:rPr>
      </w:pPr>
    </w:p>
    <w:p>
      <w:pPr>
        <w:ind w:left="960" w:right="500" w:hanging="830"/>
        <w:spacing w:after="0" w:line="271" w:lineRule="auto"/>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pursuant to Rule 13a-14(a)/15d-14(a) of the Securities Exchange Act of 1934 of the Chief Executive Officer,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23951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6">
                      <a:extLst>
                        <a:ext uri="{28A0092B-C50C-407E-A947-70E740481C1C}"/>
                      </a:extLst>
                    </a:blip>
                    <a:srcRect/>
                    <a:stretch>
                      <a:fillRect/>
                    </a:stretch>
                  </pic:blipFill>
                  <pic:spPr bwMode="auto">
                    <a:xfrm>
                      <a:off x="0" y="0"/>
                      <a:ext cx="623951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20624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7">
                      <a:extLst>
                        <a:ext uri="{28A0092B-C50C-407E-A947-70E740481C1C}"/>
                      </a:extLst>
                    </a:blip>
                    <a:srcRect/>
                    <a:stretch>
                      <a:fillRect/>
                    </a:stretch>
                  </pic:blipFill>
                  <pic:spPr bwMode="auto">
                    <a:xfrm>
                      <a:off x="0" y="0"/>
                      <a:ext cx="4206240" cy="8255"/>
                    </a:xfrm>
                    <a:prstGeom prst="rect">
                      <a:avLst/>
                    </a:prstGeom>
                    <a:noFill/>
                  </pic:spPr>
                </pic:pic>
              </a:graphicData>
            </a:graphic>
          </wp:anchor>
        </w:drawing>
      </w:r>
    </w:p>
    <w:p>
      <w:pPr>
        <w:spacing w:after="0" w:line="92" w:lineRule="exact"/>
        <w:rPr>
          <w:sz w:val="20"/>
          <w:szCs w:val="20"/>
          <w:color w:val="auto"/>
        </w:rPr>
      </w:pPr>
    </w:p>
    <w:p>
      <w:pPr>
        <w:ind w:left="960" w:right="560" w:hanging="830"/>
        <w:spacing w:after="0" w:line="271" w:lineRule="auto"/>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pursuant to Rule 13a-14(a)/15d-14(a) of the Securities Exchange Act of 1934 of the Chief Financial Officer,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20141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8">
                      <a:extLst>
                        <a:ext uri="{28A0092B-C50C-407E-A947-70E740481C1C}"/>
                      </a:extLst>
                    </a:blip>
                    <a:srcRect/>
                    <a:stretch>
                      <a:fillRect/>
                    </a:stretch>
                  </pic:blipFill>
                  <pic:spPr bwMode="auto">
                    <a:xfrm>
                      <a:off x="0" y="0"/>
                      <a:ext cx="620141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20624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9">
                      <a:extLst>
                        <a:ext uri="{28A0092B-C50C-407E-A947-70E740481C1C}"/>
                      </a:extLst>
                    </a:blip>
                    <a:srcRect/>
                    <a:stretch>
                      <a:fillRect/>
                    </a:stretch>
                  </pic:blipFill>
                  <pic:spPr bwMode="auto">
                    <a:xfrm>
                      <a:off x="0" y="0"/>
                      <a:ext cx="4206240" cy="8255"/>
                    </a:xfrm>
                    <a:prstGeom prst="rect">
                      <a:avLst/>
                    </a:prstGeom>
                    <a:noFill/>
                  </pic:spPr>
                </pic:pic>
              </a:graphicData>
            </a:graphic>
          </wp:anchor>
        </w:drawing>
      </w:r>
    </w:p>
    <w:p>
      <w:pPr>
        <w:spacing w:after="0" w:line="92" w:lineRule="exact"/>
        <w:rPr>
          <w:sz w:val="20"/>
          <w:szCs w:val="20"/>
          <w:color w:val="auto"/>
        </w:rPr>
      </w:pPr>
    </w:p>
    <w:p>
      <w:pPr>
        <w:ind w:left="960" w:right="260" w:hanging="830"/>
        <w:spacing w:after="0" w:line="271" w:lineRule="auto"/>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-172720</wp:posOffset>
            </wp:positionV>
            <wp:extent cx="638175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0">
                      <a:extLst>
                        <a:ext uri="{28A0092B-C50C-407E-A947-70E740481C1C}"/>
                      </a:extLst>
                    </a:blip>
                    <a:srcRect/>
                    <a:stretch>
                      <a:fillRect/>
                    </a:stretch>
                  </pic:blipFill>
                  <pic:spPr bwMode="auto">
                    <a:xfrm>
                      <a:off x="0" y="0"/>
                      <a:ext cx="638175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-44450</wp:posOffset>
            </wp:positionV>
            <wp:extent cx="46926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1">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92" w:lineRule="exact"/>
        <w:rPr>
          <w:sz w:val="20"/>
          <w:szCs w:val="20"/>
          <w:color w:val="auto"/>
        </w:rPr>
      </w:pPr>
    </w:p>
    <w:p>
      <w:pPr>
        <w:ind w:left="960" w:hanging="939"/>
        <w:spacing w:after="0" w:line="241"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Annual Report on Form 10-K for the fiscal year ended December 31, 2022, formatted in Inline XBRL (eXtensible Business Reporting Language): (i) the Consolidated Balance Sheets; (ii) the Consolidated Statements of Comprehensive Income; (iii) the Consolidated Statements of Cash Flows; (iv) the Consolidated Statements of Stockholders’ Equity; (v) the Notes to Consolidated Financial Statements; (vi) the Parent Company only Balance Sheets; (vii) the Parent Company only Statements of Comprehensive Income; (viii) the Parent Company only Statements of Cash Flows; and (ix) the Parent Company only Footnote</w:t>
      </w:r>
    </w:p>
    <w:p>
      <w:pPr>
        <w:spacing w:after="0" w:line="142" w:lineRule="exact"/>
        <w:rPr>
          <w:sz w:val="20"/>
          <w:szCs w:val="20"/>
          <w:color w:val="auto"/>
        </w:rPr>
      </w:pPr>
    </w:p>
    <w:p>
      <w:pPr>
        <w:ind w:left="960" w:right="200" w:hanging="939"/>
        <w:spacing w:after="0" w:line="271"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Annual Report on Form 10-K for the fiscal year ended December 31, 2022, formatted in Inline XBRL and contained in Exhibit 101</w:t>
      </w:r>
    </w:p>
    <w:p>
      <w:pPr>
        <w:spacing w:after="0" w:line="13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5843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2">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Intentionally left blank.</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6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Allison Transmission Holdings, Inc.</w:t>
      </w:r>
    </w:p>
    <w:p>
      <w:pPr>
        <w:spacing w:after="0" w:line="4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6480" w:val="left"/>
          <w:tab w:leader="none" w:pos="7180" w:val="left"/>
        </w:tabs>
        <w:rPr>
          <w:sz w:val="20"/>
          <w:szCs w:val="20"/>
          <w:color w:val="auto"/>
        </w:rPr>
      </w:pPr>
      <w:r>
        <w:rPr>
          <w:rFonts w:ascii="Arial" w:cs="Arial" w:eastAsia="Arial" w:hAnsi="Arial"/>
          <w:sz w:val="18"/>
          <w:szCs w:val="18"/>
          <w:color w:val="auto"/>
        </w:rPr>
        <w:t>Date: February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17780</wp:posOffset>
            </wp:positionV>
            <wp:extent cx="256857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7">
                      <a:extLst>
                        <a:ext uri="{28A0092B-C50C-407E-A947-70E740481C1C}"/>
                      </a:extLst>
                    </a:blip>
                    <a:srcRect/>
                    <a:stretch>
                      <a:fillRect/>
                    </a:stretch>
                  </pic:blipFill>
                  <pic:spPr bwMode="auto">
                    <a:xfrm>
                      <a:off x="0" y="0"/>
                      <a:ext cx="2568575" cy="8255"/>
                    </a:xfrm>
                    <a:prstGeom prst="rect">
                      <a:avLst/>
                    </a:prstGeom>
                    <a:noFill/>
                  </pic:spPr>
                </pic:pic>
              </a:graphicData>
            </a:graphic>
          </wp:anchor>
        </w:drawing>
      </w:r>
    </w:p>
    <w:p>
      <w:pPr>
        <w:spacing w:after="0" w:line="2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S. Graziosi</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4"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836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8"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9" w:lineRule="exact"/>
        <w:rPr>
          <w:sz w:val="20"/>
          <w:szCs w:val="20"/>
          <w:color w:val="auto"/>
        </w:rPr>
      </w:pPr>
    </w:p>
    <w:p>
      <w:pPr>
        <w:ind w:left="960"/>
        <w:spacing w:after="0"/>
        <w:tabs>
          <w:tab w:leader="none" w:pos="5640" w:val="left"/>
          <w:tab w:leader="none" w:pos="994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CAPACITY</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160"/>
          </w:cols>
          <w:pgMar w:left="320" w:top="122" w:right="419" w:bottom="1440" w:gutter="0" w:footer="0" w:header="0"/>
        </w:sectPr>
      </w:pPr>
    </w:p>
    <w:p>
      <w:pPr>
        <w:spacing w:after="0" w:line="342"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/s/ David S. Graziosi David S. Graziosi</w:t>
      </w:r>
    </w:p>
    <w:p>
      <w:pPr>
        <w:spacing w:after="0" w:line="234"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/s/ G. Frederick Bohley G. Frederick Bohley</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Judy Altmaier</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Judy Altmaier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Stan A. Askren</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Stan A. Askren</w:t>
      </w:r>
    </w:p>
    <w:p>
      <w:pPr>
        <w:spacing w:after="0" w:line="274"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/s/ D. Scott Barbour D. Scott Barbour</w:t>
      </w:r>
    </w:p>
    <w:p>
      <w:pPr>
        <w:spacing w:after="0" w:line="234" w:lineRule="exact"/>
        <w:rPr>
          <w:sz w:val="20"/>
          <w:szCs w:val="20"/>
          <w:color w:val="auto"/>
        </w:rPr>
      </w:pPr>
    </w:p>
    <w:p>
      <w:pPr>
        <w:ind w:left="120" w:right="380"/>
        <w:spacing w:after="0" w:line="301" w:lineRule="auto"/>
        <w:rPr>
          <w:sz w:val="20"/>
          <w:szCs w:val="20"/>
          <w:color w:val="auto"/>
        </w:rPr>
      </w:pPr>
      <w:r>
        <w:rPr>
          <w:rFonts w:ascii="Arial" w:cs="Arial" w:eastAsia="Arial" w:hAnsi="Arial"/>
          <w:sz w:val="17"/>
          <w:szCs w:val="17"/>
          <w:color w:val="auto"/>
        </w:rPr>
        <w:t>/s/ Philip J. Christman Philip J. Christman</w:t>
      </w:r>
    </w:p>
    <w:p>
      <w:pPr>
        <w:spacing w:after="0" w:line="211"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/s/ David C. Everitt David C. Everitt</w:t>
      </w:r>
    </w:p>
    <w:p>
      <w:pPr>
        <w:spacing w:after="0" w:line="234" w:lineRule="exact"/>
        <w:rPr>
          <w:sz w:val="20"/>
          <w:szCs w:val="20"/>
          <w:color w:val="auto"/>
        </w:rPr>
      </w:pPr>
    </w:p>
    <w:p>
      <w:pPr>
        <w:ind w:left="120" w:right="220"/>
        <w:spacing w:after="0" w:line="301" w:lineRule="auto"/>
        <w:rPr>
          <w:sz w:val="20"/>
          <w:szCs w:val="20"/>
          <w:color w:val="auto"/>
        </w:rPr>
      </w:pPr>
      <w:r>
        <w:rPr>
          <w:rFonts w:ascii="Arial" w:cs="Arial" w:eastAsia="Arial" w:hAnsi="Arial"/>
          <w:sz w:val="17"/>
          <w:szCs w:val="17"/>
          <w:color w:val="auto"/>
        </w:rPr>
        <w:t>/s/ Alvaro Garcia-Tunon Alvaro Garcia-Tunon</w:t>
      </w:r>
    </w:p>
    <w:p>
      <w:pPr>
        <w:spacing w:after="0" w:line="211"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/s/ Carolann I. Haznedar Carolann I. Haznedar</w:t>
      </w:r>
    </w:p>
    <w:p>
      <w:pPr>
        <w:spacing w:after="0" w:line="234" w:lineRule="exact"/>
        <w:rPr>
          <w:sz w:val="20"/>
          <w:szCs w:val="20"/>
          <w:color w:val="auto"/>
        </w:rPr>
      </w:pPr>
    </w:p>
    <w:p>
      <w:pPr>
        <w:ind w:left="120" w:right="580"/>
        <w:spacing w:after="0" w:line="301" w:lineRule="auto"/>
        <w:rPr>
          <w:sz w:val="20"/>
          <w:szCs w:val="20"/>
          <w:color w:val="auto"/>
        </w:rPr>
      </w:pPr>
      <w:r>
        <w:rPr>
          <w:rFonts w:ascii="Arial" w:cs="Arial" w:eastAsia="Arial" w:hAnsi="Arial"/>
          <w:sz w:val="17"/>
          <w:szCs w:val="17"/>
          <w:color w:val="auto"/>
        </w:rPr>
        <w:t>/s/ Richard P. Lavin Richard P. Lavin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Sasha Ostojic</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Sasha Ostojic</w:t>
      </w:r>
    </w:p>
    <w:p>
      <w:pPr>
        <w:spacing w:after="0" w:line="247" w:lineRule="exact"/>
        <w:rPr>
          <w:sz w:val="20"/>
          <w:szCs w:val="20"/>
          <w:color w:val="auto"/>
        </w:rPr>
      </w:pPr>
    </w:p>
    <w:p>
      <w:pPr>
        <w:ind w:left="120" w:right="480"/>
        <w:spacing w:after="0" w:line="301" w:lineRule="auto"/>
        <w:rPr>
          <w:sz w:val="20"/>
          <w:szCs w:val="20"/>
          <w:color w:val="auto"/>
        </w:rPr>
      </w:pPr>
      <w:r>
        <w:rPr>
          <w:rFonts w:ascii="Arial" w:cs="Arial" w:eastAsia="Arial" w:hAnsi="Arial"/>
          <w:sz w:val="17"/>
          <w:szCs w:val="17"/>
          <w:color w:val="auto"/>
        </w:rPr>
        <w:t>/s/ Gustave F. Perna Gustave F. Perna</w:t>
      </w:r>
    </w:p>
    <w:p>
      <w:pPr>
        <w:spacing w:after="0" w:line="184" w:lineRule="exact"/>
        <w:rPr>
          <w:sz w:val="20"/>
          <w:szCs w:val="20"/>
          <w:color w:val="auto"/>
        </w:rPr>
      </w:pPr>
    </w:p>
    <w:p>
      <w:pPr>
        <w:ind w:left="120" w:right="340"/>
        <w:spacing w:after="0" w:line="301" w:lineRule="auto"/>
        <w:rPr>
          <w:sz w:val="20"/>
          <w:szCs w:val="20"/>
          <w:color w:val="auto"/>
        </w:rPr>
      </w:pPr>
      <w:r>
        <w:rPr>
          <w:rFonts w:ascii="Arial" w:cs="Arial" w:eastAsia="Arial" w:hAnsi="Arial"/>
          <w:sz w:val="17"/>
          <w:szCs w:val="17"/>
          <w:color w:val="auto"/>
        </w:rPr>
        <w:t>/s/ Thomas W. Rabaut Thomas W. Rabaut</w:t>
      </w:r>
    </w:p>
    <w:p>
      <w:pPr>
        <w:spacing w:after="0" w:line="184" w:lineRule="exact"/>
        <w:rPr>
          <w:sz w:val="20"/>
          <w:szCs w:val="20"/>
          <w:color w:val="auto"/>
        </w:rPr>
      </w:pPr>
    </w:p>
    <w:p>
      <w:pPr>
        <w:ind w:left="120" w:right="260"/>
        <w:spacing w:after="0" w:line="301" w:lineRule="auto"/>
        <w:rPr>
          <w:sz w:val="20"/>
          <w:szCs w:val="20"/>
          <w:color w:val="auto"/>
        </w:rPr>
      </w:pPr>
      <w:r>
        <w:rPr>
          <w:rFonts w:ascii="Arial" w:cs="Arial" w:eastAsia="Arial" w:hAnsi="Arial"/>
          <w:sz w:val="17"/>
          <w:szCs w:val="17"/>
          <w:color w:val="auto"/>
        </w:rPr>
        <w:t>/s/ Richard V. Reynolds Richard V. Reynolds</w:t>
      </w:r>
    </w:p>
    <w:p>
      <w:pPr>
        <w:spacing w:after="0" w:line="184" w:lineRule="exact"/>
        <w:rPr>
          <w:sz w:val="20"/>
          <w:szCs w:val="20"/>
          <w:color w:val="auto"/>
        </w:rPr>
      </w:pPr>
    </w:p>
    <w:p>
      <w:pPr>
        <w:ind w:left="120" w:right="560"/>
        <w:spacing w:after="0" w:line="301" w:lineRule="auto"/>
        <w:rPr>
          <w:sz w:val="20"/>
          <w:szCs w:val="20"/>
          <w:color w:val="auto"/>
        </w:rPr>
      </w:pPr>
      <w:r>
        <w:rPr>
          <w:rFonts w:ascii="Arial" w:cs="Arial" w:eastAsia="Arial" w:hAnsi="Arial"/>
          <w:sz w:val="17"/>
          <w:szCs w:val="17"/>
          <w:color w:val="auto"/>
        </w:rPr>
        <w:t>/s/ Krishna Shivram Krishna Shivram</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400" w:type="dxa"/>
            <w:vAlign w:val="bottom"/>
          </w:tcPr>
          <w:p>
            <w:pPr>
              <w:spacing w:after="0"/>
              <w:rPr>
                <w:sz w:val="20"/>
                <w:szCs w:val="20"/>
                <w:color w:val="auto"/>
              </w:rPr>
            </w:pPr>
            <w:r>
              <w:rPr>
                <w:rFonts w:ascii="Arial" w:cs="Arial" w:eastAsia="Arial" w:hAnsi="Arial"/>
                <w:sz w:val="18"/>
                <w:szCs w:val="18"/>
                <w:color w:val="auto"/>
              </w:rPr>
              <w:t>Chairman, President and Chief Executive Officer (Principal Executive Officer)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16, 2023</w:t>
            </w:r>
          </w:p>
        </w:tc>
      </w:tr>
      <w:tr>
        <w:trPr>
          <w:trHeight w:val="665"/>
        </w:trPr>
        <w:tc>
          <w:tcPr>
            <w:tcW w:w="640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 (Principal</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16, 2023</w:t>
            </w:r>
          </w:p>
        </w:tc>
      </w:tr>
      <w:tr>
        <w:trPr>
          <w:trHeight w:val="239"/>
        </w:trPr>
        <w:tc>
          <w:tcPr>
            <w:tcW w:w="6400" w:type="dxa"/>
            <w:vAlign w:val="bottom"/>
          </w:tcPr>
          <w:p>
            <w:pPr>
              <w:spacing w:after="0"/>
              <w:rPr>
                <w:sz w:val="20"/>
                <w:szCs w:val="20"/>
                <w:color w:val="auto"/>
              </w:rPr>
            </w:pPr>
            <w:r>
              <w:rPr>
                <w:rFonts w:ascii="Arial" w:cs="Arial" w:eastAsia="Arial" w:hAnsi="Arial"/>
                <w:sz w:val="18"/>
                <w:szCs w:val="18"/>
                <w:color w:val="auto"/>
              </w:rPr>
              <w:t>Financial Officer and Principal Accounting Officer)</w:t>
            </w:r>
          </w:p>
        </w:tc>
        <w:tc>
          <w:tcPr>
            <w:tcW w:w="1800" w:type="dxa"/>
            <w:vAlign w:val="bottom"/>
          </w:tcPr>
          <w:p>
            <w:pPr>
              <w:spacing w:after="0"/>
              <w:rPr>
                <w:sz w:val="20"/>
                <w:szCs w:val="20"/>
                <w:color w:val="auto"/>
              </w:rPr>
            </w:pPr>
          </w:p>
        </w:tc>
      </w:tr>
      <w:tr>
        <w:trPr>
          <w:trHeight w:val="499"/>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16, 2023</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16, 2023</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16, 2023</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16, 2023</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16, 2023</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16, 2023</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16, 2023</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00"/>
              <w:spacing w:after="0"/>
              <w:rPr>
                <w:sz w:val="20"/>
                <w:szCs w:val="20"/>
                <w:color w:val="auto"/>
              </w:rPr>
            </w:pPr>
            <w:r>
              <w:rPr>
                <w:rFonts w:ascii="Arial" w:cs="Arial" w:eastAsia="Arial" w:hAnsi="Arial"/>
                <w:sz w:val="18"/>
                <w:szCs w:val="18"/>
                <w:color w:val="auto"/>
              </w:rPr>
              <w:t>February 16, 2023</w:t>
            </w:r>
          </w:p>
        </w:tc>
      </w:tr>
      <w:tr>
        <w:trPr>
          <w:trHeight w:val="701"/>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40"/>
              <w:spacing w:after="0"/>
              <w:rPr>
                <w:sz w:val="20"/>
                <w:szCs w:val="20"/>
                <w:color w:val="auto"/>
              </w:rPr>
            </w:pPr>
            <w:r>
              <w:rPr>
                <w:rFonts w:ascii="Arial" w:cs="Arial" w:eastAsia="Arial" w:hAnsi="Arial"/>
                <w:sz w:val="18"/>
                <w:szCs w:val="18"/>
                <w:color w:val="auto"/>
                <w:w w:val="97"/>
              </w:rPr>
              <w:t>February 16, 2023</w:t>
            </w:r>
          </w:p>
        </w:tc>
      </w:tr>
      <w:tr>
        <w:trPr>
          <w:trHeight w:val="674"/>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40"/>
              <w:spacing w:after="0"/>
              <w:rPr>
                <w:sz w:val="20"/>
                <w:szCs w:val="20"/>
                <w:color w:val="auto"/>
              </w:rPr>
            </w:pPr>
            <w:r>
              <w:rPr>
                <w:rFonts w:ascii="Arial" w:cs="Arial" w:eastAsia="Arial" w:hAnsi="Arial"/>
                <w:sz w:val="18"/>
                <w:szCs w:val="18"/>
                <w:color w:val="auto"/>
                <w:w w:val="97"/>
              </w:rPr>
              <w:t>February 16, 2023</w:t>
            </w:r>
          </w:p>
        </w:tc>
      </w:tr>
      <w:tr>
        <w:trPr>
          <w:trHeight w:val="674"/>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40"/>
              <w:spacing w:after="0"/>
              <w:rPr>
                <w:sz w:val="20"/>
                <w:szCs w:val="20"/>
                <w:color w:val="auto"/>
              </w:rPr>
            </w:pPr>
            <w:r>
              <w:rPr>
                <w:rFonts w:ascii="Arial" w:cs="Arial" w:eastAsia="Arial" w:hAnsi="Arial"/>
                <w:sz w:val="18"/>
                <w:szCs w:val="18"/>
                <w:color w:val="auto"/>
                <w:w w:val="97"/>
              </w:rPr>
              <w:t>February 16, 2023</w:t>
            </w:r>
          </w:p>
        </w:tc>
      </w:tr>
      <w:tr>
        <w:trPr>
          <w:trHeight w:val="674"/>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40"/>
              <w:spacing w:after="0"/>
              <w:rPr>
                <w:sz w:val="20"/>
                <w:szCs w:val="20"/>
                <w:color w:val="auto"/>
              </w:rPr>
            </w:pPr>
            <w:r>
              <w:rPr>
                <w:rFonts w:ascii="Arial" w:cs="Arial" w:eastAsia="Arial" w:hAnsi="Arial"/>
                <w:sz w:val="18"/>
                <w:szCs w:val="18"/>
                <w:color w:val="auto"/>
                <w:w w:val="97"/>
              </w:rPr>
              <w:t>February 16, 2023</w:t>
            </w:r>
          </w:p>
        </w:tc>
      </w:tr>
      <w:tr>
        <w:trPr>
          <w:trHeight w:val="674"/>
        </w:trPr>
        <w:tc>
          <w:tcPr>
            <w:tcW w:w="640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40"/>
              <w:spacing w:after="0"/>
              <w:rPr>
                <w:sz w:val="20"/>
                <w:szCs w:val="20"/>
                <w:color w:val="auto"/>
              </w:rPr>
            </w:pPr>
            <w:r>
              <w:rPr>
                <w:rFonts w:ascii="Arial" w:cs="Arial" w:eastAsia="Arial" w:hAnsi="Arial"/>
                <w:sz w:val="18"/>
                <w:szCs w:val="18"/>
                <w:color w:val="auto"/>
                <w:w w:val="97"/>
              </w:rPr>
              <w:t>February 16, 2023</w:t>
            </w:r>
          </w:p>
        </w:tc>
      </w:tr>
    </w:tbl>
    <w:p>
      <w:pPr>
        <w:spacing w:after="0" w:line="451" w:lineRule="exact"/>
        <w:rPr>
          <w:sz w:val="20"/>
          <w:szCs w:val="20"/>
          <w:color w:val="auto"/>
        </w:rPr>
      </w:pPr>
    </w:p>
    <w:p>
      <w:pPr>
        <w:sectPr>
          <w:pgSz w:w="11900" w:h="16838" w:orient="portrait"/>
          <w:cols w:equalWidth="0" w:num="2">
            <w:col w:w="2240" w:space="720"/>
            <w:col w:w="8200"/>
          </w:cols>
          <w:pgMar w:left="320" w:top="122"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620"/>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84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41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Country of</w:t>
            </w:r>
          </w:p>
        </w:tc>
      </w:tr>
      <w:tr>
        <w:trPr>
          <w:trHeight w:val="185"/>
        </w:trPr>
        <w:tc>
          <w:tcPr>
            <w:tcW w:w="20" w:type="dxa"/>
            <w:vAlign w:val="bottom"/>
          </w:tcPr>
          <w:p>
            <w:pPr>
              <w:spacing w:after="0"/>
              <w:rPr>
                <w:sz w:val="16"/>
                <w:szCs w:val="16"/>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36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Organization</w:t>
            </w:r>
          </w:p>
        </w:tc>
      </w:tr>
      <w:tr>
        <w:trPr>
          <w:trHeight w:val="243"/>
        </w:trPr>
        <w:tc>
          <w:tcPr>
            <w:tcW w:w="2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Allison Transmission, Inc.</w:t>
            </w:r>
          </w:p>
        </w:tc>
        <w:tc>
          <w:tcPr>
            <w:tcW w:w="5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641"/>
        </w:trPr>
        <w:tc>
          <w:tcPr>
            <w:tcW w:w="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ind w:right="5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333-180285 and 333-204224) of Allison Transmission Holdings, Inc. of our report dated February 16, 2023 relating to the financial statements and financial statement schedule and the effectiveness of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Indianapolis, Indiana</w:t>
      </w:r>
    </w:p>
    <w:p>
      <w:pPr>
        <w:spacing w:after="0" w:line="237" w:lineRule="auto"/>
        <w:rPr>
          <w:sz w:val="20"/>
          <w:szCs w:val="20"/>
          <w:color w:val="auto"/>
        </w:rPr>
      </w:pPr>
      <w:r>
        <w:rPr>
          <w:rFonts w:ascii="Georgia" w:cs="Georgia" w:eastAsia="Georgia" w:hAnsi="Georgia"/>
          <w:sz w:val="18"/>
          <w:szCs w:val="18"/>
          <w:color w:val="auto"/>
        </w:rPr>
        <w:t>February 16, 2023</w:t>
      </w:r>
    </w:p>
    <w:p>
      <w:pPr>
        <w:spacing w:after="0" w:line="238" w:lineRule="auto"/>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6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743"/>
        <w:spacing w:after="0" w:line="265"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743"/>
        <w:spacing w:after="0" w:line="265"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743"/>
        <w:spacing w:after="0" w:line="265"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16, 2023</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3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Chairman, 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Frederick Bohley, certify that:</w:t>
      </w:r>
    </w:p>
    <w:p>
      <w:pPr>
        <w:spacing w:after="0" w:line="225" w:lineRule="exact"/>
        <w:rPr>
          <w:sz w:val="20"/>
          <w:szCs w:val="20"/>
          <w:color w:val="auto"/>
        </w:rPr>
      </w:pPr>
    </w:p>
    <w:p>
      <w:pPr>
        <w:ind w:left="760" w:hanging="75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6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743"/>
        <w:spacing w:after="0" w:line="265"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743"/>
        <w:spacing w:after="0" w:line="265"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743"/>
        <w:spacing w:after="0" w:line="265"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16, 2023</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24891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6">
                      <a:extLst>
                        <a:ext uri="{28A0092B-C50C-407E-A947-70E740481C1C}"/>
                      </a:extLst>
                    </a:blip>
                    <a:srcRect/>
                    <a:stretch>
                      <a:fillRect/>
                    </a:stretch>
                  </pic:blipFill>
                  <pic:spPr bwMode="auto">
                    <a:xfrm>
                      <a:off x="0" y="0"/>
                      <a:ext cx="524891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25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22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Allison Transmission Holdings, Inc. (the “Company”) on Form 10-K for the fiscal year ended December 31, 2022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82" w:lineRule="exact"/>
        <w:rPr>
          <w:sz w:val="20"/>
          <w:szCs w:val="20"/>
          <w:color w:val="auto"/>
        </w:rPr>
      </w:pPr>
    </w:p>
    <w:p>
      <w:pPr>
        <w:ind w:left="760" w:hanging="75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16, 2023</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8">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3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Chairman, 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16, 2023</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36"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8"/>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
      <w:numFmt w:val="bullet"/>
      <w:start w:val="1"/>
    </w:lvl>
    <w:lvl w:ilvl="1">
      <w:lvlJc w:val="left"/>
      <w:lvlText w:val="%2"/>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1" Type="http://schemas.openxmlformats.org/officeDocument/2006/relationships/image" Target="media/image405.png"/><Relationship Id="rId422" Type="http://schemas.openxmlformats.org/officeDocument/2006/relationships/image" Target="media/image406.png"/><Relationship Id="rId423" Type="http://schemas.openxmlformats.org/officeDocument/2006/relationships/image" Target="media/image407.png"/><Relationship Id="rId425" Type="http://schemas.openxmlformats.org/officeDocument/2006/relationships/image" Target="media/image408.png"/><Relationship Id="rId426" Type="http://schemas.openxmlformats.org/officeDocument/2006/relationships/image" Target="media/image409.png"/><Relationship Id="rId427" Type="http://schemas.openxmlformats.org/officeDocument/2006/relationships/image" Target="media/image410.png"/><Relationship Id="rId428" Type="http://schemas.openxmlformats.org/officeDocument/2006/relationships/image" Target="media/image411.png"/><Relationship Id="rId429"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7" Type="http://schemas.openxmlformats.org/officeDocument/2006/relationships/image" Target="media/image426.png"/><Relationship Id="rId448" Type="http://schemas.openxmlformats.org/officeDocument/2006/relationships/image" Target="media/image427.png"/><Relationship Id="rId449"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6" Type="http://schemas.openxmlformats.org/officeDocument/2006/relationships/image" Target="media/image433.png"/><Relationship Id="rId457"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2" Type="http://schemas.openxmlformats.org/officeDocument/2006/relationships/image" Target="media/image437.png"/><Relationship Id="rId463"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8" Type="http://schemas.openxmlformats.org/officeDocument/2006/relationships/image" Target="media/image441.png"/><Relationship Id="rId469"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7" Type="http://schemas.openxmlformats.org/officeDocument/2006/relationships/image" Target="media/image447.png"/><Relationship Id="rId478" Type="http://schemas.openxmlformats.org/officeDocument/2006/relationships/image" Target="media/image448.png"/><Relationship Id="rId479" Type="http://schemas.openxmlformats.org/officeDocument/2006/relationships/image" Target="media/image449.png"/><Relationship Id="rId480" Type="http://schemas.openxmlformats.org/officeDocument/2006/relationships/image" Target="media/image450.png"/><Relationship Id="rId481" Type="http://schemas.openxmlformats.org/officeDocument/2006/relationships/image" Target="media/image451.png"/><Relationship Id="rId482" Type="http://schemas.openxmlformats.org/officeDocument/2006/relationships/image" Target="media/image452.png"/><Relationship Id="rId484" Type="http://schemas.openxmlformats.org/officeDocument/2006/relationships/image" Target="media/image453.png"/><Relationship Id="rId485"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7" Type="http://schemas.openxmlformats.org/officeDocument/2006/relationships/image" Target="media/image462.png"/><Relationship Id="rId498" Type="http://schemas.openxmlformats.org/officeDocument/2006/relationships/image" Target="media/image463.png"/><Relationship Id="rId500" Type="http://schemas.openxmlformats.org/officeDocument/2006/relationships/image" Target="media/image464.png"/><Relationship Id="rId501" Type="http://schemas.openxmlformats.org/officeDocument/2006/relationships/image" Target="media/image465.png"/><Relationship Id="rId503" Type="http://schemas.openxmlformats.org/officeDocument/2006/relationships/image" Target="media/image466.png"/><Relationship Id="rId504" Type="http://schemas.openxmlformats.org/officeDocument/2006/relationships/image" Target="media/image467.png"/><Relationship Id="rId506" Type="http://schemas.openxmlformats.org/officeDocument/2006/relationships/image" Target="media/image468.png"/><Relationship Id="rId507" Type="http://schemas.openxmlformats.org/officeDocument/2006/relationships/image" Target="media/image469.png"/><Relationship Id="rId509" Type="http://schemas.openxmlformats.org/officeDocument/2006/relationships/image" Target="media/image470.png"/><Relationship Id="rId510" Type="http://schemas.openxmlformats.org/officeDocument/2006/relationships/image" Target="media/image471.png"/><Relationship Id="rId512"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5" Type="http://schemas.openxmlformats.org/officeDocument/2006/relationships/image" Target="media/image475.png"/><Relationship Id="rId516" Type="http://schemas.openxmlformats.org/officeDocument/2006/relationships/image" Target="media/image476.png"/><Relationship Id="rId517" Type="http://schemas.openxmlformats.org/officeDocument/2006/relationships/image" Target="media/image477.png"/><Relationship Id="rId518" Type="http://schemas.openxmlformats.org/officeDocument/2006/relationships/image" Target="media/image478.png"/><Relationship Id="rId519" Type="http://schemas.openxmlformats.org/officeDocument/2006/relationships/image" Target="media/image479.png"/><Relationship Id="rId520" Type="http://schemas.openxmlformats.org/officeDocument/2006/relationships/image" Target="media/image480.png"/><Relationship Id="rId521" Type="http://schemas.openxmlformats.org/officeDocument/2006/relationships/image" Target="media/image481.png"/><Relationship Id="rId522" Type="http://schemas.openxmlformats.org/officeDocument/2006/relationships/image" Target="media/image482.png"/><Relationship Id="rId523" Type="http://schemas.openxmlformats.org/officeDocument/2006/relationships/image" Target="media/image483.png"/><Relationship Id="rId524" Type="http://schemas.openxmlformats.org/officeDocument/2006/relationships/image" Target="media/image484.png"/><Relationship Id="rId525" Type="http://schemas.openxmlformats.org/officeDocument/2006/relationships/image" Target="media/image485.png"/><Relationship Id="rId526" Type="http://schemas.openxmlformats.org/officeDocument/2006/relationships/image" Target="media/image486.png"/><Relationship Id="rId527" Type="http://schemas.openxmlformats.org/officeDocument/2006/relationships/image" Target="media/image487.png"/><Relationship Id="rId528" Type="http://schemas.openxmlformats.org/officeDocument/2006/relationships/image" Target="media/image488.png"/><Relationship Id="rId529" Type="http://schemas.openxmlformats.org/officeDocument/2006/relationships/image" Target="media/image489.png"/><Relationship Id="rId530" Type="http://schemas.openxmlformats.org/officeDocument/2006/relationships/image" Target="media/image490.png"/><Relationship Id="rId531"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5" Type="http://schemas.openxmlformats.org/officeDocument/2006/relationships/image" Target="media/image495.png"/><Relationship Id="rId536" Type="http://schemas.openxmlformats.org/officeDocument/2006/relationships/image" Target="media/image496.png"/><Relationship Id="rId537" Type="http://schemas.openxmlformats.org/officeDocument/2006/relationships/image" Target="media/image497.png"/><Relationship Id="rId538" Type="http://schemas.openxmlformats.org/officeDocument/2006/relationships/image" Target="media/image498.png"/><Relationship Id="rId539" Type="http://schemas.openxmlformats.org/officeDocument/2006/relationships/image" Target="media/image499.png"/><Relationship Id="rId540" Type="http://schemas.openxmlformats.org/officeDocument/2006/relationships/image" Target="media/image500.png"/><Relationship Id="rId407" Type="http://schemas.openxmlformats.org/officeDocument/2006/relationships/hyperlink" Target="https://www.sec.gov/Archives/edgar/data/1411207/000119312512184036/d323375dex31.htm" TargetMode="External"/><Relationship Id="rId408" Type="http://schemas.openxmlformats.org/officeDocument/2006/relationships/hyperlink" Target="https://www.sec.gov/Archives/edgar/data/1411207/000119312516594496/d183115dex31.htm" TargetMode="External"/><Relationship Id="rId409" Type="http://schemas.openxmlformats.org/officeDocument/2006/relationships/hyperlink" Target="https://www.sec.gov/Archives/edgar/data/1411207/000119312520139220/d908091dex31.htm" TargetMode="External"/><Relationship Id="rId410" Type="http://schemas.openxmlformats.org/officeDocument/2006/relationships/hyperlink" Target="https://www.sec.gov/Archives/edgar/data/1411207/000119312511166896/dex41.htm" TargetMode="External"/><Relationship Id="rId411" Type="http://schemas.openxmlformats.org/officeDocument/2006/relationships/hyperlink" Target="https://www.sec.gov/Archives/edgar/data/1411207/000119312517294436/d420544dex41.htm" TargetMode="External"/><Relationship Id="rId412" Type="http://schemas.openxmlformats.org/officeDocument/2006/relationships/hyperlink" Target="https://www.sec.gov/Archives/edgar/data/1411207/000119312519092833/d714412dex41.htm" TargetMode="External"/><Relationship Id="rId413" Type="http://schemas.openxmlformats.org/officeDocument/2006/relationships/hyperlink" Target="https://www.sec.gov/Archives/edgar/data/1411207/000119312520298238/d199880dex41.htm" TargetMode="External"/><Relationship Id="rId414" Type="http://schemas.openxmlformats.org/officeDocument/2006/relationships/hyperlink" Target="https://www.sec.gov/Archives/edgar/data/1411207/000156459020007355/alsn-ex45_551.htm" TargetMode="External"/><Relationship Id="rId417" Type="http://schemas.openxmlformats.org/officeDocument/2006/relationships/hyperlink" Target="https://www.sec.gov/Archives/edgar/data/1411207/000119312519092833/d714412dex101.htm" TargetMode="External"/><Relationship Id="rId424" Type="http://schemas.openxmlformats.org/officeDocument/2006/relationships/hyperlink" Target="https://www.sec.gov/Archives/edgar/data/1411207/000119312519267347/d811015dex101.htm" TargetMode="External"/><Relationship Id="rId430" Type="http://schemas.openxmlformats.org/officeDocument/2006/relationships/hyperlink" Target="https://www.sec.gov/Archives/edgar/data/1411207/000119312520298238/d199880dex101.htm" TargetMode="External"/><Relationship Id="rId438" Type="http://schemas.openxmlformats.org/officeDocument/2006/relationships/hyperlink" Target="https://www.sec.gov/Archives/edgar/data/1411207/000119312511071161/dex103.htm" TargetMode="External"/><Relationship Id="rId442" Type="http://schemas.openxmlformats.org/officeDocument/2006/relationships/hyperlink" Target="https://www.sec.gov/Archives/edgar/data/1411207/000119312511071161/dex104.htm" TargetMode="External"/><Relationship Id="rId446" Type="http://schemas.openxmlformats.org/officeDocument/2006/relationships/hyperlink" Target="https://www.sec.gov/Archives/edgar/data/1411207/000119312511071161/dex105.htm" TargetMode="External"/><Relationship Id="rId450" Type="http://schemas.openxmlformats.org/officeDocument/2006/relationships/hyperlink" Target="https://www.sec.gov/Archives/edgar/data/1411207/000119312515117078/d889372ddef14a.htm" TargetMode="External"/><Relationship Id="rId455" Type="http://schemas.openxmlformats.org/officeDocument/2006/relationships/hyperlink" Target="https://www.sec.gov/Archives/edgar/data/1411207/000119312516469168/d107528dex1041.htm" TargetMode="External"/><Relationship Id="rId458" Type="http://schemas.openxmlformats.org/officeDocument/2006/relationships/hyperlink" Target="https://www.sec.gov/Archives/edgar/data/1411207/000119312516469168/d107528dex1042.htm" TargetMode="External"/><Relationship Id="rId461" Type="http://schemas.openxmlformats.org/officeDocument/2006/relationships/hyperlink" Target="https://www.sec.gov/Archives/edgar/data/1411207/000119312516469168/d107528dex1043.htm" TargetMode="External"/><Relationship Id="rId464" Type="http://schemas.openxmlformats.org/officeDocument/2006/relationships/hyperlink" Target="https://www.sec.gov/Archives/edgar/data/1411207/000119312517056079/d290286dex1025.htm" TargetMode="External"/><Relationship Id="rId467" Type="http://schemas.openxmlformats.org/officeDocument/2006/relationships/hyperlink" Target="https://www.sec.gov/Archives/edgar/data/1411207/000119312511166896/dex1010.htm" TargetMode="External"/><Relationship Id="rId470" Type="http://schemas.openxmlformats.org/officeDocument/2006/relationships/hyperlink" Target="https://www.sec.gov/Archives/edgar/data/1411207/000119312511166896/dex1012.htm" TargetMode="External"/><Relationship Id="rId473" Type="http://schemas.openxmlformats.org/officeDocument/2006/relationships/hyperlink" Target="https://www.sec.gov/Archives/edgar/data/1411207/000119312511166896/dex1013.htm" TargetMode="External"/><Relationship Id="rId476" Type="http://schemas.openxmlformats.org/officeDocument/2006/relationships/hyperlink" Target="https://www.sec.gov/Archives/edgar/data/1411207/000119312513310167/d552917dex1027.htm" TargetMode="External"/><Relationship Id="rId483" Type="http://schemas.openxmlformats.org/officeDocument/2006/relationships/hyperlink" Target="https://www.sec.gov/Archives/edgar/data/1411207/000119312513414609/d599468dex1029.htm" TargetMode="External"/><Relationship Id="rId486" Type="http://schemas.openxmlformats.org/officeDocument/2006/relationships/hyperlink" Target="https://www.sec.gov/Archives/edgar/data/1411207/000119312512325816/d357243dex1021.htm" TargetMode="External"/><Relationship Id="rId489" Type="http://schemas.openxmlformats.org/officeDocument/2006/relationships/hyperlink" Target="https://www.sec.gov/Archives/edgar/data/1411207/000095017022014503/alsn-ex10_1.htm" TargetMode="External"/><Relationship Id="rId492" Type="http://schemas.openxmlformats.org/officeDocument/2006/relationships/hyperlink" Target="https://www.sec.gov/Archives/edgar/data/1411207/000119312515152186/d898569dex1038.htm" TargetMode="External"/><Relationship Id="rId496" Type="http://schemas.openxmlformats.org/officeDocument/2006/relationships/hyperlink" Target="https://www.sec.gov/Archives/edgar/data/1411207/000119312511139969/dex109.htm" TargetMode="External"/><Relationship Id="rId499" Type="http://schemas.openxmlformats.org/officeDocument/2006/relationships/hyperlink" Target="https://www.sec.gov/Archives/edgar/data/1411207/000119312522196981/d385067dex101.htm" TargetMode="External"/><Relationship Id="rId502" Type="http://schemas.openxmlformats.org/officeDocument/2006/relationships/hyperlink" Target="https://www.sec.gov/Archives/edgar/data/1411207/000119312518094155/d558656dex101.htm" TargetMode="External"/><Relationship Id="rId505" Type="http://schemas.openxmlformats.org/officeDocument/2006/relationships/hyperlink" Target="https://www.sec.gov/Archives/edgar/data/1411207/000119312521175396/d159234dex101.htm" TargetMode="External"/><Relationship Id="rId508" Type="http://schemas.openxmlformats.org/officeDocument/2006/relationships/hyperlink" Target="https://www.sec.gov/Archives/edgar/data/1411207/000119312522019786/d299801dex101.htm" TargetMode="External"/><Relationship Id="rId511" Type="http://schemas.openxmlformats.org/officeDocument/2006/relationships/hyperlink" Target="https://www.sec.gov/Archives/edgar/data/1411207/000141120719000050/exhibit141codeofcondu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2023-02-16T07:59:09Z</dcterms:created>
  <dcterms:modified xsi:type="dcterms:W3CDTF">2023-02-16T07:59:09Z</dcterms:modified>
</cp:coreProperties>
</file>