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Ostojic Sasha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ALLISON TRANSMISSION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ALLISON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INDIANAPOLIS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46222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Allison Transmission Holdings Inc</w:t>
              </w:r>
            </w:hyperlink>
            <w:r>
              <w:rPr/>
              <w:t xml:space="preserve"> [ </w:t>
            </w:r>
            <w:r>
              <w:rPr>
                <w:rFonts w:ascii="Times;serif" w:hAnsi="Times;serif"/>
                <w:color w:val="0000FF"/>
                <w:sz w:val="24"/>
                <w:shd w:fill="FFFFFF" w:val="clear"/>
              </w:rPr>
              <w:t>ALSN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18"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400"/>
        <w:gridCol w:w="401"/>
        <w:gridCol w:w="906"/>
        <w:gridCol w:w="801"/>
        <w:gridCol w:w="891"/>
        <w:gridCol w:w="636"/>
        <w:gridCol w:w="801"/>
        <w:gridCol w:w="936"/>
        <w:gridCol w:w="831"/>
        <w:gridCol w:w="846"/>
      </w:tblGrid>
      <w:tr>
        <w:trPr>
          <w:tblHeader w:val="true"/>
        </w:trPr>
        <w:tc>
          <w:tcPr>
            <w:tcW w:w="1191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w:t>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accrued on previously awarded restricted stock units ("RSUs") and vest proportionately with the RSUs to which they relate. Each dividend equivalent right is the economic equivalent of one share of Allison Transmission Holdings, Inc.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Preston B. Ray,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42133" TargetMode="External"/><Relationship Id="rId5" Type="http://schemas.openxmlformats.org/officeDocument/2006/relationships/hyperlink" Target="http://www.sec.gov/cgi-bin/browse-edgar?action=getcompany&amp;CIK=000141120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612</Words>
  <Characters>3353</Characters>
  <CharactersWithSpaces>3894</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